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核酸电泳系统</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2021-JL13(03)-W30066</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核酸电泳系统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核酸电泳系统</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核酸电泳系统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435540979"/>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核酸电泳系统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bookmarkStart w:id="26" w:name="_GoBack"/>
            <w:bookmarkEnd w:id="26"/>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40432230"/>
      <w:bookmarkStart w:id="11" w:name="_Toc435540980"/>
      <w:bookmarkStart w:id="12" w:name="_Toc285612601"/>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435540982"/>
      <w:bookmarkStart w:id="23" w:name="_Toc390713970"/>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before="156" w:beforeLines="50" w:line="240" w:lineRule="atLeast"/>
        <w:jc w:val="center"/>
        <w:rPr>
          <w:rFonts w:hint="eastAsia" w:ascii="方正小标宋简体" w:eastAsia="方正小标宋简体" w:cs="Times New Roman"/>
          <w:bCs/>
          <w:kern w:val="0"/>
          <w:sz w:val="40"/>
          <w:szCs w:val="44"/>
          <w:lang w:eastAsia="zh-CN"/>
        </w:rPr>
      </w:pPr>
      <w:r>
        <w:rPr>
          <w:rFonts w:hint="eastAsia" w:ascii="方正小标宋简体" w:hAnsi="宋体" w:eastAsia="方正小标宋简体" w:cs="宋体"/>
          <w:bCs/>
          <w:kern w:val="0"/>
          <w:sz w:val="40"/>
          <w:szCs w:val="44"/>
        </w:rPr>
        <w:t>核酸电泳系统</w:t>
      </w:r>
      <w:r>
        <w:rPr>
          <w:rFonts w:hint="eastAsia" w:ascii="方正小标宋简体" w:hAnsi="宋体" w:eastAsia="方正小标宋简体" w:cs="宋体"/>
          <w:bCs/>
          <w:kern w:val="0"/>
          <w:sz w:val="40"/>
          <w:szCs w:val="44"/>
          <w:lang w:eastAsia="zh-CN"/>
        </w:rPr>
        <w:t>技术要求</w:t>
      </w:r>
    </w:p>
    <w:tbl>
      <w:tblPr>
        <w:tblStyle w:val="17"/>
        <w:tblW w:w="9002" w:type="dxa"/>
        <w:jc w:val="center"/>
        <w:tblLayout w:type="autofit"/>
        <w:tblCellMar>
          <w:top w:w="0" w:type="dxa"/>
          <w:left w:w="0" w:type="dxa"/>
          <w:bottom w:w="0" w:type="dxa"/>
          <w:right w:w="0" w:type="dxa"/>
        </w:tblCellMar>
      </w:tblPr>
      <w:tblGrid>
        <w:gridCol w:w="765"/>
        <w:gridCol w:w="1860"/>
        <w:gridCol w:w="5635"/>
        <w:gridCol w:w="742"/>
      </w:tblGrid>
      <w:tr>
        <w:tblPrEx>
          <w:tblCellMar>
            <w:top w:w="0" w:type="dxa"/>
            <w:left w:w="0" w:type="dxa"/>
            <w:bottom w:w="0" w:type="dxa"/>
            <w:right w:w="0" w:type="dxa"/>
          </w:tblCellMar>
        </w:tblPrEx>
        <w:trPr>
          <w:trHeight w:val="6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kern w:val="0"/>
                <w:szCs w:val="21"/>
                <w:lang w:bidi="ar"/>
              </w:rPr>
            </w:pPr>
            <w:r>
              <w:rPr>
                <w:rFonts w:hint="eastAsia" w:cs="宋体" w:asciiTheme="minorEastAsia" w:hAnsiTheme="minorEastAsia"/>
                <w:b/>
                <w:color w:val="000000"/>
                <w:kern w:val="0"/>
                <w:szCs w:val="21"/>
                <w:lang w:bidi="ar"/>
              </w:rPr>
              <w:t>技术和性能参数</w:t>
            </w:r>
          </w:p>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名称</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技术参数和性能要求</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备注</w:t>
            </w:r>
          </w:p>
        </w:tc>
      </w:tr>
      <w:tr>
        <w:tblPrEx>
          <w:tblCellMar>
            <w:top w:w="0" w:type="dxa"/>
            <w:left w:w="0" w:type="dxa"/>
            <w:bottom w:w="0" w:type="dxa"/>
            <w:right w:w="0" w:type="dxa"/>
          </w:tblCellMar>
        </w:tblPrEx>
        <w:trPr>
          <w:trHeight w:val="72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设备使用需求</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设备用途</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适用于鉴定、分析、制备DNA以及测定其分子量。</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实验对象</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核酸样品</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特殊功能需求</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主要技术参数</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898"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凝胶盘带有荧光标尺并能紫外透光，尺寸大小涵盖7x15cm和15x10cm。</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★参数2</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可分离样品≥60个。</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▲参数3</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电压可设范围：10～300V，电流范围：5～400mA，电源功率：≥75W。</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▲参数4</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具有反差卡（contrast card）方便上样操作。</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▲参数5</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箭头指示电场方向保证正确的凝胶方向。</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▲参数6</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颜色及标签标记电极和基座，确保盖子与槽安装正确。</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▲参数7</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配制胶工具，辅制多种大小不同的手灌胶。</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参数8</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电极夹更换简便，易于取出简洁的清洗步骤。</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参数9</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具有防渗漏设计。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2.10 </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参数10</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电源可恒压或恒流输出。</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2.11 </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参数11</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时间设定：1～999min。</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2.12 </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参数12</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通过国际安全标准—IEC1010-1认证。</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 xml:space="preserve">2.13 </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参数13</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可同时输出4组电源。</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配置需求</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配置1</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宽式水平电泳槽1套（包括7x15cm和15x10cm凝胶盘各1个，15孔、20孔梳子各1把，反差卡1个，制胶器和辅制门各1个）</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配置2</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基础电泳仪电源1台</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售后服务</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cs="宋体" w:asciiTheme="minorEastAsia" w:hAnsiTheme="minorEastAsia"/>
                <w:b/>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保修年限</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≥3年</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出现故障回应时间</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维修到达现场时间≤ 6小时（本地）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维修到达现场时间≤24小时（外地）</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维修支持</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配件供应时间≥10年</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耗材及零配件</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提供耗材及主要零配件目录（含报价）</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维修资料</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提供详细操作手册、维修保养手册、安装手册等</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维修工具</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提供维修专用工具1套</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预防性维修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/定期维护保养</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保修期内提供定期维护保养服务</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维修密码支持</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开放</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升级</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终身免费软件升级</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使用培训</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工程师培训</w:t>
            </w:r>
          </w:p>
        </w:tc>
        <w:tc>
          <w:tcPr>
            <w:tcW w:w="5635"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cs="宋体" w:asciiTheme="minorEastAsia" w:hAnsiTheme="minorEastAsia"/>
                <w:color w:val="000000"/>
                <w:szCs w:val="21"/>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F1C3038"/>
    <w:rsid w:val="28721247"/>
    <w:rsid w:val="3BB30E33"/>
    <w:rsid w:val="48ED6FEB"/>
    <w:rsid w:val="4A186F9A"/>
    <w:rsid w:val="54507F18"/>
    <w:rsid w:val="583B70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