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cs="Times New Roman"/>
          <w:bCs/>
          <w:kern w:val="0"/>
          <w:sz w:val="44"/>
          <w:szCs w:val="44"/>
        </w:rPr>
      </w:pPr>
      <w:r>
        <w:rPr>
          <w:rFonts w:hint="eastAsia" w:hAnsi="宋体" w:cs="Times New Roman"/>
          <w:bCs/>
          <w:kern w:val="0"/>
          <w:sz w:val="44"/>
          <w:szCs w:val="44"/>
        </w:rPr>
        <w:t>中央监护站</w:t>
      </w:r>
      <w:r>
        <w:rPr>
          <w:rFonts w:hint="eastAsia" w:ascii="宋体" w:hAnsi="宋体" w:cs="宋体"/>
          <w:bCs/>
          <w:kern w:val="0"/>
          <w:sz w:val="44"/>
          <w:szCs w:val="44"/>
        </w:rPr>
        <w:t>技术参数</w:t>
      </w:r>
    </w:p>
    <w:tbl>
      <w:tblPr>
        <w:tblStyle w:val="18"/>
        <w:tblW w:w="9305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43"/>
        <w:gridCol w:w="3969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设备使用需求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设备用途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用于对患者各项生命体征进行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监测</w:t>
            </w:r>
            <w:r>
              <w:rPr>
                <w:rFonts w:cs="Times New Roman" w:eastAsiaTheme="minorEastAsia"/>
                <w:sz w:val="18"/>
                <w:szCs w:val="18"/>
              </w:rPr>
              <w:t>，监测数据可以显示、存储、回顾和打印；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1.2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color w:val="000000"/>
                <w:kern w:val="0"/>
              </w:rPr>
              <w:t>实验对象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需进行生命体征监测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的</w:t>
            </w:r>
            <w:r>
              <w:rPr>
                <w:rFonts w:cs="Times New Roman" w:eastAsiaTheme="minorEastAsia"/>
                <w:sz w:val="18"/>
                <w:szCs w:val="18"/>
              </w:rPr>
              <w:t>患者；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1.3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color w:val="000000"/>
                <w:kern w:val="0"/>
              </w:rPr>
            </w:pPr>
            <w:r>
              <w:rPr>
                <w:rFonts w:cs="Times New Roman" w:eastAsiaTheme="minorEastAsia"/>
                <w:bCs/>
                <w:kern w:val="0"/>
              </w:rPr>
              <w:t>特殊功能需求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cs="Times New Roman" w:eastAsiaTheme="minorEastAsia"/>
                <w:sz w:val="18"/>
                <w:szCs w:val="18"/>
              </w:rPr>
              <w:t>无；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主要技术参数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（一行只写一个参数）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contextualSpacing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中心监护系统支持有线、无线、遥测多元化的组网方式，中心监护网络中支持≥1200台床旁设备互连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中心监护系统支持中央站, 工作站, 浏览站, 远程</w:t>
            </w:r>
            <w:r>
              <w:rPr>
                <w:rFonts w:cs="Times New Roman" w:eastAsiaTheme="minorEastAsia"/>
                <w:sz w:val="18"/>
                <w:szCs w:val="18"/>
              </w:rPr>
              <w:t>查询系统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等多种产品形态互连，工作站支持远程集中监护中央站上接收的病人，</w:t>
            </w:r>
            <w:r>
              <w:rPr>
                <w:rFonts w:cs="Times New Roman" w:eastAsiaTheme="minorEastAsia"/>
                <w:sz w:val="18"/>
                <w:szCs w:val="18"/>
              </w:rPr>
              <w:t>并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提供不同控制权限的设置，满足不同临床场景下的部署要求</w:t>
            </w:r>
            <w:r>
              <w:rPr>
                <w:rFonts w:cs="Times New Roman" w:eastAsiaTheme="minorEastAsia"/>
                <w:sz w:val="18"/>
                <w:szCs w:val="18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ascii="Segoe UI Symbol" w:hAnsi="Segoe UI Symbol" w:cs="Segoe UI Symbol" w:eastAsiaTheme="minorEastAsia"/>
                <w:kern w:val="0"/>
              </w:rPr>
              <w:t>★</w:t>
            </w:r>
            <w:r>
              <w:rPr>
                <w:rFonts w:cs="Times New Roman" w:eastAsiaTheme="minorEastAsia"/>
                <w:kern w:val="0"/>
              </w:rPr>
              <w:t>参数3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中央站提供其他产品形态访问中央站的权限设置，且提供单个床位是否允许外部进行访问的设置</w:t>
            </w:r>
            <w:r>
              <w:rPr>
                <w:rFonts w:cs="Times New Roman" w:eastAsiaTheme="minorEastAsia"/>
                <w:sz w:val="18"/>
                <w:szCs w:val="18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中心监护系统可支持参数监测ECG， ST, QT/QTc， RESP，SPO2， PR， TEMP，</w:t>
            </w:r>
            <w:r>
              <w:rPr>
                <w:rFonts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 xml:space="preserve">NIBP， IBP， </w:t>
            </w:r>
            <w:r>
              <w:rPr>
                <w:rFonts w:cs="Times New Roman" w:eastAsiaTheme="minorEastAsia"/>
                <w:sz w:val="18"/>
                <w:szCs w:val="18"/>
              </w:rPr>
              <w:t>C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.</w:t>
            </w:r>
            <w:r>
              <w:rPr>
                <w:rFonts w:cs="Times New Roman" w:eastAsiaTheme="minorEastAsia"/>
                <w:sz w:val="18"/>
                <w:szCs w:val="18"/>
              </w:rPr>
              <w:t>O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.，CCO， ScvO2，ICG，BIS，RM，CO2，</w:t>
            </w:r>
            <w:r>
              <w:rPr>
                <w:rFonts w:cs="Times New Roman" w:eastAsiaTheme="minorEastAsia"/>
                <w:sz w:val="18"/>
                <w:szCs w:val="18"/>
              </w:rPr>
              <w:t>AG</w:t>
            </w:r>
            <w:r>
              <w:rPr>
                <w:rFonts w:hint="eastAsia" w:cs="Times New Roman" w:eastAsiaTheme="minorEastAsia"/>
                <w:sz w:val="18"/>
                <w:szCs w:val="18"/>
              </w:rPr>
              <w:t>，EEG，NMT，rSO2，TcGas</w:t>
            </w:r>
            <w:r>
              <w:rPr>
                <w:rFonts w:cs="Times New Roman" w:eastAsiaTheme="minorEastAsia"/>
                <w:sz w:val="18"/>
                <w:szCs w:val="18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可同时集中监护≥64个病人， 单个屏幕可支持≥16个病人的同时集中监护，支持≥4个显示屏显示</w:t>
            </w:r>
            <w:r>
              <w:rPr>
                <w:rFonts w:cs="Times New Roman" w:eastAsiaTheme="minorEastAsia"/>
                <w:sz w:val="18"/>
                <w:szCs w:val="18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重点观察床支持多导心电、呼吸氧合图、动态短趋势、NIBP LIST等多种视图显示，适用不同科室的观察习惯；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▲参数7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支持≥240小时长趋势回顾和≥4小时短趋势回顾，≥240小时全息波形回顾，≥720条报警事件回顾，≥720条12导分析报告回顾，≥240小时的ST片段回顾，≥720条C.O. 测量结果回顾，≥100条呼吸氧合事件回顾</w:t>
            </w:r>
            <w:r>
              <w:rPr>
                <w:rFonts w:cs="Times New Roman" w:eastAsiaTheme="minorEastAsia"/>
                <w:sz w:val="18"/>
                <w:szCs w:val="18"/>
              </w:rPr>
              <w:t>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中心监护系统支持Window 7中、英文操作系统；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中心监护系统支持19寸以上液晶屏幕显示，1280×1024高分辨率彩色液晶显示；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多床观察时每床支持5个参数、4道波形的观察，支持大字体显示；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多床支持床标识显示，可用来区分护理组、病人组等；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  <w:kern w:val="0"/>
              </w:rPr>
              <w:t>参数12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contextualSpacing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支持至少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75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条药物计算结果回顾，至少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条血液动力学计算结果回顾，至少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条氧合计算结果回顾，至少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条通气计算结果回顾，至少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条肾功能计算结果回顾；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  <w:r>
              <w:rPr>
                <w:rFonts w:cs="Times New Roman" w:eastAsia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contextualSpacing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支持报警报告、波形报告、趋势报告、ARR统计报告、24h动态血压报告等；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contextualSpacing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可远程控制对床旁监护仪进行病人信息设置，解除病人，进行standby；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参数15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支持远程控制床旁监护仪报警暂停、报警复位，设置报警开关、报警级别、报警上下限等；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  <w:r>
              <w:rPr>
                <w:rFonts w:cs="Times New Roman" w:eastAsia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  <w:kern w:val="0"/>
              </w:rPr>
              <w:t>参数16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支持远程控制床旁监护仪启动NIBP测量，设置NIBP测量模式和时间间隔；</w:t>
            </w:r>
          </w:p>
          <w:p>
            <w:pPr>
              <w:pStyle w:val="23"/>
              <w:ind w:firstLine="0" w:firstLineChars="0"/>
              <w:contextualSpacing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  <w:kern w:val="0"/>
              </w:rPr>
              <w:t>参数17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widowControl/>
              <w:ind w:firstLine="0" w:firstLineChars="0"/>
              <w:contextualSpacing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支持远程控制床旁监护仪进入隐私、夜间模式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2.18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  <w:kern w:val="0"/>
              </w:rPr>
              <w:t>参数18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cs="Times New Roman" w:eastAsiaTheme="minorEastAsia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sz w:val="18"/>
                <w:szCs w:val="18"/>
              </w:rPr>
              <w:t>提供声、光、文字多重报警提醒功能，提供高、中、低三级报警。具有报警自动记录或打印功能。保存报警时刻前后32秒的波形；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配置需求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（一行只写一个配置）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eastAsiaTheme="minorEastAsia"/>
                <w:kern w:val="0"/>
                <w:sz w:val="18"/>
                <w:szCs w:val="18"/>
              </w:rPr>
              <w:t>中央站</w:t>
            </w:r>
            <w:r>
              <w:rPr>
                <w:rFonts w:cs="Times New Roman" w:eastAsiaTheme="minorEastAsia"/>
                <w:kern w:val="0"/>
                <w:sz w:val="18"/>
                <w:szCs w:val="18"/>
              </w:rPr>
              <w:t>主机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</w:rPr>
              <w:t>，</w:t>
            </w:r>
            <w:r>
              <w:rPr>
                <w:rFonts w:cs="Times New Roman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276" w:lineRule="auto"/>
              <w:ind w:firstLine="0" w:firstLineChars="0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</w:rPr>
              <w:t>中央站软件，</w:t>
            </w:r>
            <w:r>
              <w:rPr>
                <w:rFonts w:ascii="Times New Roman" w:hAnsi="Times New Roman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cs="Times New Roman" w:eastAsiaTheme="minorEastAsia"/>
                <w:kern w:val="0"/>
              </w:rPr>
              <w:t>配置3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276" w:lineRule="auto"/>
              <w:ind w:firstLine="0" w:firstLineChars="0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</w:rPr>
              <w:t>中央站显示器，</w:t>
            </w:r>
            <w:r>
              <w:rPr>
                <w:rFonts w:ascii="Times New Roman" w:hAnsi="Times New Roman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hint="eastAsia" w:cs="Times New Roman" w:eastAsiaTheme="minorEastAsia"/>
                <w:kern w:val="0"/>
              </w:rPr>
              <w:t>3</w:t>
            </w:r>
            <w:r>
              <w:rPr>
                <w:rFonts w:cs="Times New Roman" w:eastAsiaTheme="minorEastAsia"/>
                <w:kern w:val="0"/>
              </w:rPr>
              <w:t>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</w:rPr>
            </w:pPr>
            <w:r>
              <w:rPr>
                <w:rFonts w:hint="eastAsia" w:cs="Times New Roman" w:eastAsiaTheme="minorEastAsia"/>
                <w:kern w:val="0"/>
              </w:rPr>
              <w:t>配置4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276" w:lineRule="auto"/>
              <w:ind w:firstLine="0" w:firstLineChars="0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</w:rPr>
              <w:t>中央站附件，</w:t>
            </w:r>
            <w:r>
              <w:rPr>
                <w:rFonts w:ascii="Times New Roman" w:hAnsi="Times New Roman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jc w:val="center"/>
              <w:rPr>
                <w:rFonts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售后服务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保修年限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≥3年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出现故障回应时间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维修到达现场时间≤ 12小时（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市内</w:t>
            </w: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）</w:t>
            </w: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维修到达现场时间≤24小时（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市外</w:t>
            </w: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配件供应时间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不限时间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耗材及零配件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提供耗材及主要零配件目录（含报价）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维修资料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提供详细操作手册、维修保养手册、安装手册等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维修工具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提供维修专用工具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清单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预防性维修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/定期维护保养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保修期内提供定期维护保养服务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≥1次/年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维修密码支持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开放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升级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终身免费软件升级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使用培训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支持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工程师培训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  <w:t>支持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20" w:lineRule="exact"/>
        <w:jc w:val="left"/>
        <w:rPr>
          <w:rFonts w:cs="Times New Roman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C4"/>
    <w:multiLevelType w:val="multilevel"/>
    <w:tmpl w:val="007E1BC4"/>
    <w:lvl w:ilvl="0" w:tentative="0">
      <w:start w:val="1"/>
      <w:numFmt w:val="decimal"/>
      <w:pStyle w:val="2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25B5"/>
    <w:rsid w:val="00054325"/>
    <w:rsid w:val="00092DFE"/>
    <w:rsid w:val="000C76D2"/>
    <w:rsid w:val="000E3819"/>
    <w:rsid w:val="001002D8"/>
    <w:rsid w:val="00121D58"/>
    <w:rsid w:val="00121D8B"/>
    <w:rsid w:val="001B6550"/>
    <w:rsid w:val="00272CAA"/>
    <w:rsid w:val="002A5EAB"/>
    <w:rsid w:val="002D7624"/>
    <w:rsid w:val="00315101"/>
    <w:rsid w:val="00335172"/>
    <w:rsid w:val="003464C4"/>
    <w:rsid w:val="0043040F"/>
    <w:rsid w:val="00443A0C"/>
    <w:rsid w:val="0045015C"/>
    <w:rsid w:val="0049035A"/>
    <w:rsid w:val="004A471D"/>
    <w:rsid w:val="004C583D"/>
    <w:rsid w:val="004E2C30"/>
    <w:rsid w:val="00502B82"/>
    <w:rsid w:val="0050327D"/>
    <w:rsid w:val="00506BA0"/>
    <w:rsid w:val="00547BA6"/>
    <w:rsid w:val="00575AFE"/>
    <w:rsid w:val="00591C95"/>
    <w:rsid w:val="00607FDF"/>
    <w:rsid w:val="006226EF"/>
    <w:rsid w:val="00683650"/>
    <w:rsid w:val="00684B15"/>
    <w:rsid w:val="006A5308"/>
    <w:rsid w:val="006E09F1"/>
    <w:rsid w:val="006E1BBB"/>
    <w:rsid w:val="00722727"/>
    <w:rsid w:val="00745008"/>
    <w:rsid w:val="00784DA0"/>
    <w:rsid w:val="00793BE3"/>
    <w:rsid w:val="007D1102"/>
    <w:rsid w:val="008D6A7A"/>
    <w:rsid w:val="008F16C7"/>
    <w:rsid w:val="009266FC"/>
    <w:rsid w:val="00937C2A"/>
    <w:rsid w:val="00943CF3"/>
    <w:rsid w:val="00996239"/>
    <w:rsid w:val="00A709A4"/>
    <w:rsid w:val="00A75514"/>
    <w:rsid w:val="00A77867"/>
    <w:rsid w:val="00B50550"/>
    <w:rsid w:val="00B7411A"/>
    <w:rsid w:val="00BB5B81"/>
    <w:rsid w:val="00BE10BD"/>
    <w:rsid w:val="00C303C7"/>
    <w:rsid w:val="00C425B5"/>
    <w:rsid w:val="00C942A9"/>
    <w:rsid w:val="00CE4B4F"/>
    <w:rsid w:val="00CE71F6"/>
    <w:rsid w:val="00D30681"/>
    <w:rsid w:val="00D3102C"/>
    <w:rsid w:val="00D43A86"/>
    <w:rsid w:val="00D55DA2"/>
    <w:rsid w:val="00DF1CB7"/>
    <w:rsid w:val="00E0174C"/>
    <w:rsid w:val="00E2067C"/>
    <w:rsid w:val="00E46388"/>
    <w:rsid w:val="00E87D11"/>
    <w:rsid w:val="00EB636D"/>
    <w:rsid w:val="00EC2C28"/>
    <w:rsid w:val="00EC59A3"/>
    <w:rsid w:val="00EE256D"/>
    <w:rsid w:val="00F028C4"/>
    <w:rsid w:val="00F2317D"/>
    <w:rsid w:val="00FA7646"/>
    <w:rsid w:val="1B997ECF"/>
    <w:rsid w:val="24AE4782"/>
    <w:rsid w:val="2B236BB7"/>
    <w:rsid w:val="2F2B33A1"/>
    <w:rsid w:val="2F471C72"/>
    <w:rsid w:val="2F4A1681"/>
    <w:rsid w:val="3149634A"/>
    <w:rsid w:val="3647670B"/>
    <w:rsid w:val="393D49F5"/>
    <w:rsid w:val="42253E7A"/>
    <w:rsid w:val="428A7B2F"/>
    <w:rsid w:val="47483DAD"/>
    <w:rsid w:val="47BE1233"/>
    <w:rsid w:val="488E2A45"/>
    <w:rsid w:val="4B284490"/>
    <w:rsid w:val="54104954"/>
    <w:rsid w:val="6D6C0ED4"/>
    <w:rsid w:val="6FC24BC4"/>
    <w:rsid w:val="72A008E7"/>
    <w:rsid w:val="779A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link w:val="28"/>
    <w:qFormat/>
    <w:uiPriority w:val="0"/>
    <w:pPr>
      <w:keepNext/>
      <w:keepLines/>
      <w:pageBreakBefore/>
      <w:numPr>
        <w:ilvl w:val="0"/>
        <w:numId w:val="1"/>
      </w:numPr>
      <w:spacing w:before="240" w:after="120" w:line="240" w:lineRule="auto"/>
      <w:jc w:val="center"/>
      <w:outlineLvl w:val="0"/>
    </w:pPr>
    <w:rPr>
      <w:rFonts w:cs="Times New Roman"/>
      <w:b/>
      <w:bCs/>
      <w:kern w:val="44"/>
      <w:sz w:val="36"/>
      <w:szCs w:val="44"/>
    </w:rPr>
  </w:style>
  <w:style w:type="paragraph" w:styleId="4">
    <w:name w:val="heading 2"/>
    <w:basedOn w:val="1"/>
    <w:next w:val="3"/>
    <w:link w:val="29"/>
    <w:qFormat/>
    <w:uiPriority w:val="0"/>
    <w:pPr>
      <w:keepNext/>
      <w:keepLines/>
      <w:numPr>
        <w:ilvl w:val="1"/>
        <w:numId w:val="1"/>
      </w:numPr>
      <w:tabs>
        <w:tab w:val="left" w:pos="525"/>
      </w:tabs>
      <w:spacing w:before="60" w:line="240" w:lineRule="auto"/>
      <w:outlineLvl w:val="1"/>
    </w:pPr>
    <w:rPr>
      <w:rFonts w:cs="Times New Roman"/>
      <w:b/>
      <w:bCs/>
      <w:sz w:val="32"/>
      <w:szCs w:val="32"/>
    </w:rPr>
  </w:style>
  <w:style w:type="paragraph" w:styleId="5">
    <w:name w:val="heading 3"/>
    <w:basedOn w:val="1"/>
    <w:next w:val="3"/>
    <w:link w:val="30"/>
    <w:qFormat/>
    <w:uiPriority w:val="0"/>
    <w:pPr>
      <w:keepNext/>
      <w:keepLines/>
      <w:numPr>
        <w:ilvl w:val="2"/>
        <w:numId w:val="1"/>
      </w:numPr>
      <w:spacing w:before="60" w:line="240" w:lineRule="auto"/>
      <w:outlineLvl w:val="2"/>
    </w:pPr>
    <w:rPr>
      <w:rFonts w:cs="Times New Roman"/>
      <w:b/>
      <w:bCs/>
      <w:sz w:val="28"/>
      <w:szCs w:val="32"/>
    </w:rPr>
  </w:style>
  <w:style w:type="paragraph" w:styleId="6">
    <w:name w:val="heading 4"/>
    <w:basedOn w:val="1"/>
    <w:next w:val="3"/>
    <w:link w:val="31"/>
    <w:qFormat/>
    <w:uiPriority w:val="0"/>
    <w:pPr>
      <w:keepNext/>
      <w:keepLines/>
      <w:numPr>
        <w:ilvl w:val="3"/>
        <w:numId w:val="1"/>
      </w:numPr>
      <w:tabs>
        <w:tab w:val="left" w:pos="840"/>
      </w:tabs>
      <w:spacing w:before="60" w:line="240" w:lineRule="auto"/>
      <w:outlineLvl w:val="3"/>
    </w:pPr>
    <w:rPr>
      <w:rFonts w:cs="Times New Roman"/>
      <w:b/>
      <w:bCs/>
      <w:szCs w:val="28"/>
    </w:rPr>
  </w:style>
  <w:style w:type="paragraph" w:styleId="7">
    <w:name w:val="heading 5"/>
    <w:basedOn w:val="1"/>
    <w:next w:val="3"/>
    <w:link w:val="32"/>
    <w:qFormat/>
    <w:uiPriority w:val="0"/>
    <w:pPr>
      <w:keepNext/>
      <w:keepLines/>
      <w:numPr>
        <w:ilvl w:val="4"/>
        <w:numId w:val="1"/>
      </w:numPr>
      <w:tabs>
        <w:tab w:val="left" w:pos="945"/>
      </w:tabs>
      <w:spacing w:before="60" w:line="240" w:lineRule="auto"/>
      <w:outlineLvl w:val="4"/>
    </w:pPr>
    <w:rPr>
      <w:rFonts w:cs="Times New Roman"/>
      <w:b/>
      <w:bCs/>
      <w:sz w:val="21"/>
      <w:szCs w:val="28"/>
    </w:rPr>
  </w:style>
  <w:style w:type="paragraph" w:styleId="8">
    <w:name w:val="heading 6"/>
    <w:basedOn w:val="1"/>
    <w:next w:val="3"/>
    <w:link w:val="33"/>
    <w:qFormat/>
    <w:uiPriority w:val="0"/>
    <w:pPr>
      <w:numPr>
        <w:ilvl w:val="5"/>
        <w:numId w:val="1"/>
      </w:numPr>
      <w:spacing w:before="60" w:line="240" w:lineRule="auto"/>
      <w:outlineLvl w:val="5"/>
    </w:pPr>
    <w:rPr>
      <w:rFonts w:cs="Times New Roman"/>
      <w:b/>
      <w:bCs/>
      <w:sz w:val="21"/>
    </w:rPr>
  </w:style>
  <w:style w:type="paragraph" w:styleId="9">
    <w:name w:val="heading 7"/>
    <w:basedOn w:val="1"/>
    <w:next w:val="3"/>
    <w:link w:val="34"/>
    <w:qFormat/>
    <w:uiPriority w:val="0"/>
    <w:pPr>
      <w:numPr>
        <w:ilvl w:val="6"/>
        <w:numId w:val="1"/>
      </w:numPr>
      <w:spacing w:before="60" w:line="240" w:lineRule="auto"/>
      <w:outlineLvl w:val="6"/>
    </w:pPr>
    <w:rPr>
      <w:rFonts w:cs="Times New Roman"/>
      <w:b/>
      <w:bCs/>
      <w:sz w:val="21"/>
    </w:rPr>
  </w:style>
  <w:style w:type="paragraph" w:styleId="10">
    <w:name w:val="heading 8"/>
    <w:basedOn w:val="1"/>
    <w:next w:val="3"/>
    <w:link w:val="35"/>
    <w:qFormat/>
    <w:uiPriority w:val="0"/>
    <w:pPr>
      <w:numPr>
        <w:ilvl w:val="7"/>
        <w:numId w:val="1"/>
      </w:numPr>
      <w:spacing w:before="60" w:line="240" w:lineRule="auto"/>
      <w:outlineLvl w:val="7"/>
    </w:pPr>
    <w:rPr>
      <w:rFonts w:cs="Times New Roman"/>
      <w:b/>
      <w:sz w:val="21"/>
    </w:rPr>
  </w:style>
  <w:style w:type="paragraph" w:styleId="11">
    <w:name w:val="heading 9"/>
    <w:basedOn w:val="1"/>
    <w:next w:val="3"/>
    <w:link w:val="36"/>
    <w:qFormat/>
    <w:uiPriority w:val="0"/>
    <w:pPr>
      <w:numPr>
        <w:ilvl w:val="8"/>
        <w:numId w:val="1"/>
      </w:numPr>
      <w:spacing w:before="60" w:line="240" w:lineRule="auto"/>
      <w:outlineLvl w:val="8"/>
    </w:pPr>
    <w:rPr>
      <w:rFonts w:cs="Times New Roman"/>
      <w:b/>
      <w:sz w:val="21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12">
    <w:name w:val="annotation text"/>
    <w:basedOn w:val="1"/>
    <w:link w:val="26"/>
    <w:semiHidden/>
    <w:uiPriority w:val="0"/>
    <w:pPr>
      <w:spacing w:line="240" w:lineRule="auto"/>
      <w:jc w:val="left"/>
    </w:pPr>
    <w:rPr>
      <w:rFonts w:cs="Times New Roman"/>
      <w:sz w:val="21"/>
    </w:rPr>
  </w:style>
  <w:style w:type="paragraph" w:styleId="13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1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1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17">
    <w:name w:val="Normal (Web)"/>
    <w:basedOn w:val="1"/>
    <w:qFormat/>
    <w:uiPriority w:val="99"/>
  </w:style>
  <w:style w:type="character" w:styleId="20">
    <w:name w:val="annotation reference"/>
    <w:basedOn w:val="19"/>
    <w:semiHidden/>
    <w:uiPriority w:val="0"/>
    <w:rPr>
      <w:sz w:val="21"/>
      <w:szCs w:val="21"/>
    </w:rPr>
  </w:style>
  <w:style w:type="character" w:customStyle="1" w:styleId="21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22">
    <w:name w:val="页脚 字符"/>
    <w:basedOn w:val="19"/>
    <w:link w:val="14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24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  <w:style w:type="character" w:customStyle="1" w:styleId="26">
    <w:name w:val="批注文字 字符"/>
    <w:basedOn w:val="19"/>
    <w:link w:val="12"/>
    <w:semiHidden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27">
    <w:name w:val="批注框文本 字符"/>
    <w:basedOn w:val="19"/>
    <w:link w:val="1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1 字符"/>
    <w:basedOn w:val="19"/>
    <w:link w:val="2"/>
    <w:uiPriority w:val="0"/>
    <w:rPr>
      <w:rFonts w:ascii="Times New Roman" w:hAnsi="Times New Roman" w:cs="Times New Roman"/>
      <w:b/>
      <w:bCs/>
      <w:kern w:val="44"/>
      <w:sz w:val="36"/>
      <w:szCs w:val="44"/>
    </w:rPr>
  </w:style>
  <w:style w:type="character" w:customStyle="1" w:styleId="29">
    <w:name w:val="标题 2 字符"/>
    <w:basedOn w:val="19"/>
    <w:link w:val="4"/>
    <w:qFormat/>
    <w:uiPriority w:val="0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19"/>
    <w:link w:val="5"/>
    <w:uiPriority w:val="0"/>
    <w:rPr>
      <w:rFonts w:ascii="Times New Roman" w:hAnsi="Times New Roman" w:cs="Times New Roman"/>
      <w:b/>
      <w:bCs/>
      <w:kern w:val="2"/>
      <w:sz w:val="28"/>
      <w:szCs w:val="32"/>
    </w:rPr>
  </w:style>
  <w:style w:type="character" w:customStyle="1" w:styleId="31">
    <w:name w:val="标题 4 字符"/>
    <w:basedOn w:val="19"/>
    <w:link w:val="6"/>
    <w:uiPriority w:val="0"/>
    <w:rPr>
      <w:rFonts w:ascii="Times New Roman" w:hAnsi="Times New Roman" w:cs="Times New Roman"/>
      <w:b/>
      <w:bCs/>
      <w:kern w:val="2"/>
      <w:sz w:val="24"/>
      <w:szCs w:val="28"/>
    </w:rPr>
  </w:style>
  <w:style w:type="character" w:customStyle="1" w:styleId="32">
    <w:name w:val="标题 5 字符"/>
    <w:basedOn w:val="19"/>
    <w:link w:val="7"/>
    <w:qFormat/>
    <w:uiPriority w:val="0"/>
    <w:rPr>
      <w:rFonts w:ascii="Times New Roman" w:hAnsi="Times New Roman" w:cs="Times New Roman"/>
      <w:b/>
      <w:bCs/>
      <w:kern w:val="2"/>
      <w:sz w:val="21"/>
      <w:szCs w:val="28"/>
    </w:rPr>
  </w:style>
  <w:style w:type="character" w:customStyle="1" w:styleId="33">
    <w:name w:val="标题 6 字符"/>
    <w:basedOn w:val="19"/>
    <w:link w:val="8"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34">
    <w:name w:val="标题 7 字符"/>
    <w:basedOn w:val="19"/>
    <w:link w:val="9"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35">
    <w:name w:val="标题 8 字符"/>
    <w:basedOn w:val="19"/>
    <w:link w:val="10"/>
    <w:uiPriority w:val="0"/>
    <w:rPr>
      <w:rFonts w:ascii="Times New Roman" w:hAnsi="Times New Roman" w:cs="Times New Roman"/>
      <w:b/>
      <w:kern w:val="2"/>
      <w:sz w:val="21"/>
      <w:szCs w:val="24"/>
    </w:rPr>
  </w:style>
  <w:style w:type="character" w:customStyle="1" w:styleId="36">
    <w:name w:val="标题 9 字符"/>
    <w:basedOn w:val="19"/>
    <w:link w:val="11"/>
    <w:qFormat/>
    <w:uiPriority w:val="0"/>
    <w:rPr>
      <w:rFonts w:ascii="Times New Roman" w:hAnsi="Times New Roman" w:cs="Times New Roman"/>
      <w:b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276</Words>
  <Characters>1576</Characters>
  <Lines>13</Lines>
  <Paragraphs>3</Paragraphs>
  <TotalTime>133</TotalTime>
  <ScaleCrop>false</ScaleCrop>
  <LinksUpToDate>false</LinksUpToDate>
  <CharactersWithSpaces>1849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AutoBVT</dc:creator>
  <cp:lastModifiedBy>Administrator</cp:lastModifiedBy>
  <cp:lastPrinted>2019-10-21T02:04:00Z</cp:lastPrinted>
  <dcterms:modified xsi:type="dcterms:W3CDTF">2020-11-16T01:30:52Z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