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急救模型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2020-JL13(03)-W10116</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急救模型</w:t>
      </w:r>
      <w:r>
        <w:rPr>
          <w:rFonts w:hint="eastAsia" w:ascii="Tahoma" w:hAnsi="Tahoma" w:cs="Tahoma"/>
          <w:b/>
          <w:bCs/>
          <w:kern w:val="0"/>
          <w:sz w:val="28"/>
          <w:szCs w:val="28"/>
        </w:rPr>
        <w:t>采购</w:t>
      </w:r>
      <w:r>
        <w:rPr>
          <w:rFonts w:hint="eastAsia" w:ascii="Tahoma" w:hAnsi="Tahoma" w:cs="Tahoma"/>
          <w:b/>
          <w:bCs/>
          <w:kern w:val="0"/>
          <w:sz w:val="28"/>
          <w:szCs w:val="28"/>
          <w:lang w:eastAsia="zh-CN"/>
        </w:rPr>
        <w:t>的再次</w:t>
      </w:r>
      <w:r>
        <w:rPr>
          <w:rFonts w:ascii="Tahoma" w:hAnsi="Tahoma" w:cs="Tahoma"/>
          <w:b/>
          <w:bCs/>
          <w:kern w:val="0"/>
          <w:sz w:val="28"/>
          <w:szCs w:val="28"/>
        </w:rPr>
        <w:t>公告</w:t>
      </w:r>
      <w:r>
        <w:rPr>
          <w:rFonts w:hint="eastAsia" w:ascii="Tahoma" w:hAnsi="Tahoma" w:cs="Tahoma"/>
          <w:kern w:val="0"/>
          <w:sz w:val="28"/>
          <w:szCs w:val="28"/>
          <w:lang w:eastAsia="zh-CN"/>
        </w:rPr>
        <w:t>2020-JL13(03)-W10116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急救模型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04"/>
        <w:gridCol w:w="705"/>
        <w:gridCol w:w="1551"/>
        <w:gridCol w:w="705"/>
        <w:gridCol w:w="792"/>
        <w:gridCol w:w="1467"/>
        <w:gridCol w:w="84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8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85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8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40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jc w:val="center"/>
        </w:trPr>
        <w:tc>
          <w:tcPr>
            <w:tcW w:w="357"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气道训练模型（纤支镜可用）</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合同签订后90个日历日</w:t>
            </w:r>
          </w:p>
        </w:tc>
        <w:tc>
          <w:tcPr>
            <w:tcW w:w="468"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357" w:type="pct"/>
            <w:vMerge w:val="continue"/>
            <w:tcBorders>
              <w:left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除颤训练模型</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2</w:t>
            </w:r>
          </w:p>
        </w:tc>
        <w:tc>
          <w:tcPr>
            <w:tcW w:w="81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68" w:type="pct"/>
            <w:vMerge w:val="continue"/>
            <w:tcBorders>
              <w:left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exact"/>
          <w:jc w:val="center"/>
        </w:trPr>
        <w:tc>
          <w:tcPr>
            <w:tcW w:w="357"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88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精准心肺复苏模型（1拖6）</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856"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w:t>
            </w:r>
          </w:p>
        </w:tc>
        <w:tc>
          <w:tcPr>
            <w:tcW w:w="810"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68"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05"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35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42"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15</w:t>
      </w:r>
      <w:bookmarkStart w:id="24" w:name="_GoBack"/>
      <w:bookmarkEnd w:id="24"/>
      <w:r>
        <w:rPr>
          <w:rFonts w:hint="eastAsia" w:cs="Times New Roman" w:asciiTheme="minorEastAsia" w:hAnsiTheme="minorEastAsia"/>
          <w:color w:val="auto"/>
          <w:kern w:val="0"/>
          <w:sz w:val="24"/>
          <w:szCs w:val="24"/>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435540979"/>
      <w:bookmarkStart w:id="5" w:name="_Toc285612594"/>
      <w:bookmarkStart w:id="6" w:name="_Toc37172688"/>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99" w:type="pct"/>
        <w:jc w:val="center"/>
        <w:tblLayout w:type="autofit"/>
        <w:tblCellMar>
          <w:top w:w="0" w:type="dxa"/>
          <w:left w:w="108" w:type="dxa"/>
          <w:bottom w:w="0" w:type="dxa"/>
          <w:right w:w="108" w:type="dxa"/>
        </w:tblCellMar>
      </w:tblPr>
      <w:tblGrid>
        <w:gridCol w:w="857"/>
        <w:gridCol w:w="2285"/>
        <w:gridCol w:w="1285"/>
        <w:gridCol w:w="2440"/>
        <w:gridCol w:w="1067"/>
        <w:gridCol w:w="943"/>
      </w:tblGrid>
      <w:tr>
        <w:tblPrEx>
          <w:tblCellMar>
            <w:top w:w="0" w:type="dxa"/>
            <w:left w:w="108" w:type="dxa"/>
            <w:bottom w:w="0" w:type="dxa"/>
            <w:right w:w="108" w:type="dxa"/>
          </w:tblCellMar>
        </w:tblPrEx>
        <w:trPr>
          <w:trHeight w:val="692"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1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4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气道训练模型</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（纤支镜可用）</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705"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除颤训练模型</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1158"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w:t>
            </w:r>
          </w:p>
        </w:tc>
        <w:tc>
          <w:tcPr>
            <w:tcW w:w="22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精准心肺复苏模型</w:t>
            </w:r>
          </w:p>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（1拖6）</w:t>
            </w:r>
          </w:p>
        </w:tc>
        <w:tc>
          <w:tcPr>
            <w:tcW w:w="12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1</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急救模型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气道训练模型（纤支镜可用）</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解剖结构准确，包含可视的鼻甲骨、舌头、支气管隆突、两侧支气管和支气管；</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★2.可进行声门上气道、简易呼吸器、针刺环甲膜穿刺、鼻腔/口腔气管插管、食道气管联合管、鼻腔可视纤支镜检查、肺冲洗技术、肺堵塞和支气管堵塞等训练。</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p>
        </w:tc>
      </w:tr>
      <w:tr>
        <w:tblPrEx>
          <w:tblCellMar>
            <w:top w:w="0" w:type="dxa"/>
            <w:left w:w="108" w:type="dxa"/>
            <w:bottom w:w="0" w:type="dxa"/>
            <w:right w:w="108" w:type="dxa"/>
          </w:tblCellMar>
        </w:tblPrEx>
        <w:trPr>
          <w:trHeight w:val="2102"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除颤训练模型</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★1.可进行心电监护、除颤、胸外按压训练，可扪及颈动脉搏动；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2.智能评估操作位置、深度、潮气量等，内置ECG心电模拟≧20种；</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★3.可模仿不同年龄群和性别的胸部硬度；</w:t>
            </w:r>
          </w:p>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4.可不限定除颤仪品牌进行除颤。</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0" w:hRule="atLeast"/>
        </w:trPr>
        <w:tc>
          <w:tcPr>
            <w:tcW w:w="434"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4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精准心肺复苏模型（1拖6）</w:t>
            </w:r>
          </w:p>
        </w:tc>
        <w:tc>
          <w:tcPr>
            <w:tcW w:w="627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★1.可进行面罩（或人工通气）、CPR训练，胸外按压时有血液循环指示功能，通气时有胸廓起伏，肺囊可更换；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★2.配备≥6个心肺复苏模型；</w:t>
            </w:r>
          </w:p>
          <w:p>
            <w:pPr>
              <w:keepNext w:val="0"/>
              <w:keepLines w:val="0"/>
              <w:widowControl/>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★3.可进行平板实时反馈，自动形成报告并评分，可同时监测≥6台CPR模型操作情况。</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lang w:eastAsia="zh-CN"/>
              </w:rPr>
            </w:pP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390713968"/>
      <w:bookmarkStart w:id="11" w:name="_Toc285612601"/>
      <w:bookmarkStart w:id="12" w:name="_Toc240432230"/>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45</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气道训练模型（纤支镜可用）</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1.解剖结构准确，包含可视的鼻甲骨、舌头、支气管隆突、两侧支气管和支气管；</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★2.可进行声门上气道、简易呼吸器、针刺环甲膜穿刺、鼻腔/口腔气管插管、食道气管联合管、鼻腔可视纤支镜检查、肺冲洗技术、肺堵塞和支气管堵塞等训练。</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除颤训练模型</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★1.可进行心电监护、除颤、胸外按压训练，可扪及颈动脉搏动；</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2.智能评估操作位置、深度、潮气量等，内置ECG心电模拟≧20种；</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★3.可模仿不同年龄群和性别的胸部硬度；</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4.可不限定除颤仪品牌进行除颤。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精准心肺复苏模型（1拖6）</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★1.可进行面罩（或人工通气）、CPR训练，胸外按压时有血液循环指示功能，通气时有胸廓起伏，肺囊可更换；</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★2.配备≥6个心肺复苏模型；</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★3.可进行平板实时反馈，自动形成报告并评分，可同时监测≥6台CPR模型操作情况。</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37172690"/>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435540982"/>
      <w:bookmarkStart w:id="19" w:name="_Toc37172691"/>
      <w:bookmarkStart w:id="20" w:name="_Toc285612604"/>
      <w:bookmarkStart w:id="21" w:name="_Toc240432233"/>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5C35"/>
    <w:multiLevelType w:val="singleLevel"/>
    <w:tmpl w:val="32B15C35"/>
    <w:lvl w:ilvl="0" w:tentative="0">
      <w:start w:val="1"/>
      <w:numFmt w:val="decimal"/>
      <w:lvlText w:val="%1."/>
      <w:lvlJc w:val="left"/>
      <w:pPr>
        <w:tabs>
          <w:tab w:val="left" w:pos="312"/>
        </w:tabs>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0E453C8F"/>
    <w:rsid w:val="1B7A7855"/>
    <w:rsid w:val="2C3A1EA5"/>
    <w:rsid w:val="2FF12A20"/>
    <w:rsid w:val="38C2709D"/>
    <w:rsid w:val="3BF72575"/>
    <w:rsid w:val="45BD552E"/>
    <w:rsid w:val="46083EAF"/>
    <w:rsid w:val="4B64398A"/>
    <w:rsid w:val="4C320000"/>
    <w:rsid w:val="532C512B"/>
    <w:rsid w:val="53F71FA8"/>
    <w:rsid w:val="5450629B"/>
    <w:rsid w:val="564F3924"/>
    <w:rsid w:val="5AB16304"/>
    <w:rsid w:val="627718A1"/>
    <w:rsid w:val="74246FD8"/>
    <w:rsid w:val="76DF3F26"/>
    <w:rsid w:val="78505226"/>
    <w:rsid w:val="7E11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3</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2021-01-14T08:56:59Z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