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lang w:eastAsia="zh-CN"/>
        </w:rPr>
        <w:t>蛋白电泳系统（8.0x7.0cm）</w:t>
      </w:r>
    </w:p>
    <w:p>
      <w:pPr>
        <w:ind w:firstLine="2106" w:firstLineChars="600"/>
        <w:rPr>
          <w:rFonts w:ascii="宋体" w:hAnsi="宋体" w:eastAsia="宋体"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2021-JL13(03)-W30082</w:t>
      </w:r>
      <w:r>
        <w:rPr>
          <w:rFonts w:hint="eastAsia" w:ascii="宋体" w:hAnsi="宋体" w:eastAsia="宋体" w:cs="Times New Roman"/>
          <w:kern w:val="0"/>
          <w:sz w:val="36"/>
          <w:szCs w:val="36"/>
          <w:u w:val="single"/>
          <w:lang w:val="en-US" w:eastAsia="zh-CN"/>
        </w:rPr>
        <w:t xml:space="preserve"> </w:t>
      </w:r>
      <w:bookmarkStart w:id="26" w:name="_GoBack"/>
      <w:bookmarkEnd w:id="26"/>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蛋白电泳系统（8.0x7.0cm）</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2021-JL13(03)-W30082</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蛋白电泳系统（8.0x7.0cm）</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2021-JL13(03)-W30082</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蛋白电泳系统（8.0x7.0cm）</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5</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20</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23</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23</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435540979"/>
      <w:bookmarkStart w:id="6" w:name="_Toc285612594"/>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蛋白电泳系统（8.0x7.0cm）</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5</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435540980"/>
      <w:bookmarkStart w:id="10" w:name="_Toc390713968"/>
      <w:bookmarkStart w:id="11" w:name="_Toc240432230"/>
      <w:bookmarkStart w:id="12" w:name="_Toc285612601"/>
      <w:bookmarkStart w:id="13" w:name="_Toc37780285"/>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285612603"/>
      <w:bookmarkStart w:id="15" w:name="_Toc390713969"/>
      <w:bookmarkStart w:id="16" w:name="_Toc37172690"/>
      <w:bookmarkStart w:id="17" w:name="_Toc37780286"/>
      <w:bookmarkStart w:id="18" w:name="_Toc435540981"/>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37780287"/>
      <w:bookmarkStart w:id="21" w:name="_Toc37172691"/>
      <w:bookmarkStart w:id="22" w:name="_Toc435540982"/>
      <w:bookmarkStart w:id="23" w:name="_Toc285612604"/>
      <w:bookmarkStart w:id="24" w:name="_Toc390713970"/>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宋体" w:eastAsia="方正小标宋简体" w:cs="宋体"/>
          <w:bCs/>
          <w:kern w:val="0"/>
          <w:sz w:val="28"/>
          <w:szCs w:val="32"/>
          <w:lang w:eastAsia="zh-CN"/>
        </w:rPr>
      </w:pPr>
      <w:r>
        <w:rPr>
          <w:rFonts w:hint="eastAsia" w:ascii="方正小标宋简体" w:hAnsi="宋体" w:eastAsia="方正小标宋简体" w:cs="宋体"/>
          <w:bCs/>
          <w:kern w:val="0"/>
          <w:sz w:val="40"/>
          <w:szCs w:val="44"/>
          <w:lang w:eastAsia="zh-CN"/>
        </w:rPr>
        <w:t>蛋白电泳系统（8.0x7.0cm）</w:t>
      </w:r>
      <w:r>
        <w:rPr>
          <w:rFonts w:hint="eastAsia" w:ascii="方正小标宋简体" w:hAnsi="宋体" w:eastAsia="方正小标宋简体" w:cs="宋体"/>
          <w:bCs/>
          <w:kern w:val="0"/>
          <w:sz w:val="40"/>
          <w:szCs w:val="44"/>
        </w:rPr>
        <w:t>技术</w:t>
      </w:r>
      <w:r>
        <w:rPr>
          <w:rFonts w:hint="eastAsia" w:ascii="方正小标宋简体" w:hAnsi="宋体" w:eastAsia="方正小标宋简体" w:cs="宋体"/>
          <w:bCs/>
          <w:kern w:val="0"/>
          <w:sz w:val="40"/>
          <w:szCs w:val="44"/>
          <w:lang w:eastAsia="zh-CN"/>
        </w:rPr>
        <w:t>要求</w:t>
      </w:r>
    </w:p>
    <w:tbl>
      <w:tblPr>
        <w:tblStyle w:val="17"/>
        <w:tblW w:w="9082" w:type="dxa"/>
        <w:jc w:val="center"/>
        <w:tblLayout w:type="fixed"/>
        <w:tblCellMar>
          <w:top w:w="0" w:type="dxa"/>
          <w:left w:w="0" w:type="dxa"/>
          <w:bottom w:w="0" w:type="dxa"/>
          <w:right w:w="0" w:type="dxa"/>
        </w:tblCellMar>
      </w:tblPr>
      <w:tblGrid>
        <w:gridCol w:w="765"/>
        <w:gridCol w:w="1979"/>
        <w:gridCol w:w="5569"/>
        <w:gridCol w:w="769"/>
      </w:tblGrid>
      <w:tr>
        <w:tblPrEx>
          <w:tblCellMar>
            <w:top w:w="0" w:type="dxa"/>
            <w:left w:w="0" w:type="dxa"/>
            <w:bottom w:w="0" w:type="dxa"/>
            <w:right w:w="0" w:type="dxa"/>
          </w:tblCellMar>
        </w:tblPrEx>
        <w:trPr>
          <w:trHeight w:val="660" w:hRule="atLeast"/>
          <w:tblHeader/>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序号</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技术和性能参数</w:t>
            </w:r>
          </w:p>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名称</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技术参数和性能要求</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备注</w:t>
            </w:r>
          </w:p>
        </w:tc>
      </w:tr>
      <w:tr>
        <w:tblPrEx>
          <w:tblCellMar>
            <w:top w:w="0" w:type="dxa"/>
            <w:left w:w="0" w:type="dxa"/>
            <w:bottom w:w="0" w:type="dxa"/>
            <w:right w:w="0" w:type="dxa"/>
          </w:tblCellMar>
        </w:tblPrEx>
        <w:trPr>
          <w:trHeight w:val="53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1</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设备使用需求</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cs="宋体" w:asciiTheme="minorEastAsia" w:hAnsiTheme="minorEastAsia"/>
                <w:b/>
                <w:color w:val="000000"/>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b/>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1.1</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设备用途</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用于蛋白检测及电泳分离、蛋白质转印等</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487"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1.2</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实验对象</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蛋白样品</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51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1.3</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特殊功能需求</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b/>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2</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主要技术参数</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cs="宋体" w:asciiTheme="minorEastAsia" w:hAnsiTheme="minorEastAsia"/>
                <w:color w:val="000000"/>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466"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2.2</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★参数1</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电泳槽可同时进行4块蛋白凝胶电泳。</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547"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2.2</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★参数2</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具有加样引导器。</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53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2.3</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▲参数3</w:t>
            </w:r>
          </w:p>
        </w:tc>
        <w:tc>
          <w:tcPr>
            <w:tcW w:w="5569" w:type="dxa"/>
            <w:tcBorders>
              <w:top w:val="single" w:color="000000" w:sz="4" w:space="0"/>
              <w:left w:val="single" w:color="000000" w:sz="4" w:space="0"/>
              <w:bottom w:val="single" w:color="000000" w:sz="4" w:space="0"/>
              <w:right w:val="single" w:color="000000" w:sz="4" w:space="0"/>
            </w:tcBorders>
            <w:shd w:val="clear" w:color="auto" w:fill="FFFFFF"/>
            <w:noWrap/>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胶面积：</w:t>
            </w:r>
            <w:r>
              <w:rPr>
                <w:rFonts w:cs="Arial" w:asciiTheme="minorEastAsia" w:hAnsiTheme="minorEastAsia"/>
                <w:color w:val="000000"/>
                <w:kern w:val="0"/>
                <w:szCs w:val="21"/>
              </w:rPr>
              <w:t>≥</w:t>
            </w:r>
            <w:r>
              <w:rPr>
                <w:rFonts w:hint="eastAsia" w:cs="宋体" w:asciiTheme="minorEastAsia" w:hAnsiTheme="minorEastAsia"/>
                <w:color w:val="000000"/>
                <w:kern w:val="0"/>
                <w:szCs w:val="21"/>
              </w:rPr>
              <w:t>8×7cm。</w:t>
            </w:r>
          </w:p>
        </w:tc>
        <w:tc>
          <w:tcPr>
            <w:tcW w:w="769" w:type="dxa"/>
            <w:tcBorders>
              <w:top w:val="single" w:color="000000" w:sz="4" w:space="0"/>
              <w:left w:val="single" w:color="000000" w:sz="4" w:space="0"/>
              <w:bottom w:val="single" w:color="000000" w:sz="4" w:space="0"/>
              <w:right w:val="single" w:color="000000" w:sz="4" w:space="0"/>
            </w:tcBorders>
            <w:shd w:val="clear" w:color="auto" w:fill="FFFFFF"/>
            <w:tcMar>
              <w:top w:w="17" w:type="dxa"/>
              <w:left w:w="74" w:type="dxa"/>
              <w:right w:w="74" w:type="dxa"/>
            </w:tcMar>
            <w:vAlign w:val="center"/>
          </w:tcPr>
          <w:p>
            <w:pPr>
              <w:rPr>
                <w:rFonts w:cs="宋体" w:asciiTheme="minorEastAsia" w:hAnsiTheme="minorEastAsia"/>
                <w:color w:val="000000"/>
                <w:szCs w:val="21"/>
              </w:rPr>
            </w:pPr>
          </w:p>
        </w:tc>
      </w:tr>
      <w:tr>
        <w:tblPrEx>
          <w:tblCellMar>
            <w:top w:w="0" w:type="dxa"/>
            <w:left w:w="0" w:type="dxa"/>
            <w:bottom w:w="0" w:type="dxa"/>
            <w:right w:w="0" w:type="dxa"/>
          </w:tblCellMar>
        </w:tblPrEx>
        <w:trPr>
          <w:trHeight w:val="538"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2.4</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 参数4</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输出电压范围：10–300V，输出电流范围：5–400mA</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763"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2.5</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 参数5</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颜色标记的转印夹和电极，确保转印过程凝胶的方向正确。</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2.6</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▲参数6</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1小时内可同时转印2块7.5×10cm凝胶。</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2.7</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参数7</w:t>
            </w:r>
          </w:p>
        </w:tc>
        <w:tc>
          <w:tcPr>
            <w:tcW w:w="5569" w:type="dxa"/>
            <w:tcBorders>
              <w:top w:val="single" w:color="000000" w:sz="4" w:space="0"/>
              <w:left w:val="single" w:color="000000" w:sz="4" w:space="0"/>
              <w:bottom w:val="single" w:color="000000" w:sz="4" w:space="0"/>
              <w:right w:val="single" w:color="000000" w:sz="4" w:space="0"/>
            </w:tcBorders>
            <w:shd w:val="clear" w:color="auto" w:fill="FFFFFF"/>
            <w:noWrap/>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电极丝相距4cm，以产生强电场保证有效的蛋白转印。</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2.8</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参数8</w:t>
            </w:r>
          </w:p>
        </w:tc>
        <w:tc>
          <w:tcPr>
            <w:tcW w:w="5569" w:type="dxa"/>
            <w:tcBorders>
              <w:top w:val="single" w:color="000000" w:sz="4" w:space="0"/>
              <w:left w:val="single" w:color="000000" w:sz="4" w:space="0"/>
              <w:bottom w:val="single" w:color="000000" w:sz="4" w:space="0"/>
              <w:right w:val="single" w:color="000000" w:sz="4" w:space="0"/>
            </w:tcBorders>
            <w:shd w:val="clear" w:color="auto" w:fill="FFFFFF"/>
            <w:noWrap/>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凝胶厚度规格：0.75mm,1.0mm,1.5mm任意可选。</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84"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2.9</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参数9</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电泳槽为注塑一次成形，长玻板有封边垫条固定在上，玻板精确对齐，防止漏胶。</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2.10 </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参数10</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内置冷却装置，快速吸收转移过程中产生的热量。</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898"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2.11 </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参数11</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可与小型垂直电泳槽的缓冲液槽和盖兼容。说明：保证全套设备能匹配。</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546"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2.12 </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参数12</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功率：≥75W。</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2.13 </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参数13</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输出方式: 可恒压也可以恒流，带自动跨接功能，4对并联输出插孔。</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2.14 </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参数14</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有暂停/继续功能，有断电后自动恢复功能。</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7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2.15 </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参数15</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安全性能: 空载监测；荷载突变监测；过载/短路监测；过压保护。</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553"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3</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配置需求</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928"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3.1</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配置1</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小型垂直电泳槽（含长短玻板各5张，电泳梳5把，灌胶台2个，上样引导器1个）</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3.2</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配置2</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转印槽1台（包括凝胶支架转印夹2个，电转印模块1个，Bio-Ice冷却装置1个，转印滤纸1包）</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14"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3.3</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配置3</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基础电源1台</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53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4</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售后服务</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cs="宋体" w:asciiTheme="minorEastAsia" w:hAnsiTheme="minorEastAsia"/>
                <w:b/>
                <w:color w:val="000000"/>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b/>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4.1</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保修年限</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≥3年</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4.2</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出现故障回应时间</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维修到达现场时间≤ 6小时（本地）</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维修到达现场时间≤24小时（外地）</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44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4.3</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维修支持</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配件供应时间≥10年</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4.4</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耗材及零配件</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提供耗材及主要零配件目录（含报价）</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4.5</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维修资料</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提供详细操作手册、维修保养手册、安装手册等</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457"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4.6</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维修工具</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提供维修专用工具1套</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748"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4.7</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预防性维修</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/定期维护保养</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保修期内提供定期维护保养服务</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55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4.8</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维修密码支持</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开放</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544"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4.9</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升级</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终身免费软件升级</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524"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4.1</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使用培训</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支持</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74"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4.11</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工程师培训</w:t>
            </w:r>
          </w:p>
        </w:tc>
        <w:tc>
          <w:tcPr>
            <w:tcW w:w="55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支持</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bl>
    <w:p>
      <w:pPr>
        <w:rPr>
          <w:rFonts w:ascii="黑体" w:hAnsi="黑体" w:eastAsia="黑体"/>
          <w:sz w:val="32"/>
          <w:szCs w:val="32"/>
        </w:rPr>
      </w:pPr>
    </w:p>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29F329E"/>
    <w:rsid w:val="08920E99"/>
    <w:rsid w:val="16771E6C"/>
    <w:rsid w:val="17C01D9B"/>
    <w:rsid w:val="1E98286B"/>
    <w:rsid w:val="1EEF51FE"/>
    <w:rsid w:val="1F1C3038"/>
    <w:rsid w:val="25CA6323"/>
    <w:rsid w:val="28721247"/>
    <w:rsid w:val="3BB30E33"/>
    <w:rsid w:val="3EB1546A"/>
    <w:rsid w:val="464E6EBE"/>
    <w:rsid w:val="47881864"/>
    <w:rsid w:val="48ED6FEB"/>
    <w:rsid w:val="541A0AD3"/>
    <w:rsid w:val="54507F18"/>
    <w:rsid w:val="60931FBB"/>
    <w:rsid w:val="648F679F"/>
    <w:rsid w:val="688C0C27"/>
    <w:rsid w:val="70F02A16"/>
    <w:rsid w:val="76595B41"/>
    <w:rsid w:val="76BA7B85"/>
    <w:rsid w:val="77872A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1</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2021-02-17T03:48:41Z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