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核酸电泳槽</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2021-JL13(03)-W30063</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核酸电泳槽</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核酸电泳槽</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核酸电泳槽</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核酸电泳槽</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435540980"/>
      <w:bookmarkStart w:id="12" w:name="_Toc285612601"/>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435540982"/>
      <w:bookmarkStart w:id="23" w:name="_Toc390713970"/>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3"/>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before="156" w:beforeLines="50" w:line="240" w:lineRule="atLeast"/>
        <w:jc w:val="center"/>
        <w:rPr>
          <w:rFonts w:hint="eastAsia" w:ascii="方正小标宋简体" w:eastAsia="方正小标宋简体" w:cs="Times New Roman"/>
          <w:bCs/>
          <w:kern w:val="0"/>
          <w:sz w:val="40"/>
          <w:szCs w:val="44"/>
          <w:lang w:eastAsia="zh-CN"/>
        </w:rPr>
      </w:pPr>
      <w:bookmarkStart w:id="26" w:name="_GoBack"/>
      <w:r>
        <w:rPr>
          <w:rFonts w:hint="eastAsia" w:ascii="方正小标宋简体" w:hAnsi="宋体" w:eastAsia="方正小标宋简体" w:cs="Times New Roman"/>
          <w:bCs/>
          <w:kern w:val="0"/>
          <w:sz w:val="40"/>
          <w:szCs w:val="44"/>
        </w:rPr>
        <w:t>核酸电泳槽</w:t>
      </w:r>
      <w:bookmarkEnd w:id="26"/>
      <w:r>
        <w:rPr>
          <w:rFonts w:hint="eastAsia" w:ascii="方正小标宋简体" w:hAnsi="宋体" w:eastAsia="方正小标宋简体" w:cs="Times New Roman"/>
          <w:bCs/>
          <w:kern w:val="0"/>
          <w:sz w:val="40"/>
          <w:szCs w:val="44"/>
        </w:rPr>
        <w:t>技术</w:t>
      </w:r>
      <w:r>
        <w:rPr>
          <w:rFonts w:hint="eastAsia" w:ascii="方正小标宋简体" w:hAnsi="宋体" w:eastAsia="方正小标宋简体" w:cs="Times New Roman"/>
          <w:bCs/>
          <w:kern w:val="0"/>
          <w:sz w:val="40"/>
          <w:szCs w:val="44"/>
          <w:lang w:eastAsia="zh-CN"/>
        </w:rPr>
        <w:t>要求</w:t>
      </w:r>
    </w:p>
    <w:tbl>
      <w:tblPr>
        <w:tblStyle w:val="17"/>
        <w:tblW w:w="8981" w:type="dxa"/>
        <w:jc w:val="center"/>
        <w:tblLayout w:type="autofit"/>
        <w:tblCellMar>
          <w:top w:w="0" w:type="dxa"/>
          <w:left w:w="0" w:type="dxa"/>
          <w:bottom w:w="0" w:type="dxa"/>
          <w:right w:w="0" w:type="dxa"/>
        </w:tblCellMar>
      </w:tblPr>
      <w:tblGrid>
        <w:gridCol w:w="859"/>
        <w:gridCol w:w="1782"/>
        <w:gridCol w:w="5568"/>
        <w:gridCol w:w="772"/>
      </w:tblGrid>
      <w:tr>
        <w:tblPrEx>
          <w:tblCellMar>
            <w:top w:w="0" w:type="dxa"/>
            <w:left w:w="0" w:type="dxa"/>
            <w:bottom w:w="0" w:type="dxa"/>
            <w:right w:w="0" w:type="dxa"/>
          </w:tblCellMar>
        </w:tblPrEx>
        <w:trPr>
          <w:trHeight w:val="660" w:hRule="atLeast"/>
          <w:tblHeader/>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7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核酸水平电泳</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核酸分子</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Times New Roman" w:asciiTheme="minorEastAsia" w:hAnsiTheme="minorEastAsia"/>
                <w:color w:val="000000"/>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Times New Roman" w:asciiTheme="minorEastAsia" w:hAnsiTheme="minorEastAsia"/>
                <w:color w:val="000000"/>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跑胶台紫外透明，并带荧光标尺，方便电泳过程中观测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凝胶面积：≥15×10cm</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★参数3</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电压范围：10～300V</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▲参数4</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样品通量：≥50个</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▲参数5</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电流范围：5～400mA</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2.6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时间设定：1～900min</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2.7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多通道移液器兼容电泳梳、高度固定的电泳梳、高度可调节的电泳梳和制备型电泳梳</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具备无需封胶的制胶台，不漏胶，可制备不同规格的凝胶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2.9</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多种不同大小的手灌胶选择</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2.10</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电泳槽为注塑一次成形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缓冲液容量：≥500mL</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2.12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参数12</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电源可恒压、恒流或恒功率输出，连续可调</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2.13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参数13</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可同时输出4组电源</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2.14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参数14</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具有断电后自动恢复功能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Times New Roman" w:asciiTheme="minorEastAsia" w:hAnsiTheme="minorEastAsia"/>
                <w:color w:val="000000"/>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电泳电源1台</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3.2</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配置2</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宽式水平电泳槽1个，包括15孔、20孔梳子各1把</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3.3</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配置3</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反差卡1个</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3.4</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配置4</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制胶器1个</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3.5</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配置5</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辅制门1个</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Times New Roman" w:asciiTheme="minorEastAsia" w:hAnsiTheme="minorEastAsia"/>
                <w:b/>
                <w:color w:val="000000"/>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≥3年</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维修到达现场时间≤ 6小时（本地）</w:t>
            </w:r>
            <w:r>
              <w:rPr>
                <w:rFonts w:cs="Times New Roman" w:asciiTheme="minorEastAsia" w:hAnsiTheme="minorEastAsia"/>
                <w:color w:val="000000"/>
                <w:kern w:val="0"/>
                <w:szCs w:val="21"/>
                <w:lang w:bidi="ar"/>
              </w:rPr>
              <w:br w:type="textWrapping"/>
            </w:r>
            <w:r>
              <w:rPr>
                <w:rFonts w:cs="Times New Roman" w:asciiTheme="minorEastAsia" w:hAnsiTheme="minorEastAsia"/>
                <w:color w:val="000000"/>
                <w:kern w:val="0"/>
                <w:szCs w:val="21"/>
                <w:lang w:bidi="ar"/>
              </w:rPr>
              <w:t>维修到达现场时间≤24小时（外地）</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配件供应时间≥10年</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提供耗材及主要零配件目录（含报价）</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提供详细操作手册、维修保养手册、安装手册等</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提供维修专用工具1套</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保修期内提供定期维护保养服务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开放</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终身免费软件升级</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支持</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56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Times New Roman" w:asciiTheme="minorEastAsia" w:hAnsiTheme="minorEastAsia"/>
                <w:color w:val="000000"/>
                <w:szCs w:val="21"/>
              </w:rPr>
            </w:pPr>
            <w:r>
              <w:rPr>
                <w:rFonts w:cs="Times New Roman" w:asciiTheme="minorEastAsia" w:hAnsiTheme="minorEastAsia"/>
                <w:color w:val="000000"/>
                <w:kern w:val="0"/>
                <w:szCs w:val="21"/>
                <w:lang w:bidi="ar"/>
              </w:rPr>
              <w:t>支持</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3BB30E33"/>
    <w:rsid w:val="48ED6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2021-02-10T07:17:44Z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