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rPr>
        <w:t xml:space="preserve">血栓弹力图仪   </w:t>
      </w:r>
      <w:r>
        <w:rPr>
          <w:rFonts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2020-JL13(03)-W10067</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5</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12</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35</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38</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bookmarkStart w:id="24" w:name="_GoBack"/>
      <w:r>
        <w:rPr>
          <w:rFonts w:hint="eastAsia" w:ascii="Tahoma" w:hAnsi="Tahoma" w:cs="Tahoma"/>
          <w:b/>
          <w:bCs/>
          <w:kern w:val="0"/>
          <w:sz w:val="28"/>
          <w:szCs w:val="28"/>
        </w:rPr>
        <w:t>关于血栓弹力图仪的采购</w:t>
      </w:r>
      <w:r>
        <w:rPr>
          <w:rFonts w:ascii="Tahoma" w:hAnsi="Tahoma" w:cs="Tahoma"/>
          <w:b/>
          <w:bCs/>
          <w:kern w:val="0"/>
          <w:sz w:val="28"/>
          <w:szCs w:val="28"/>
        </w:rPr>
        <w:t>公告</w:t>
      </w:r>
      <w:r>
        <w:rPr>
          <w:rFonts w:ascii="Tahoma" w:hAnsi="Tahoma" w:cs="Tahoma"/>
          <w:kern w:val="0"/>
          <w:sz w:val="28"/>
          <w:szCs w:val="28"/>
        </w:rPr>
        <w:t>2020-JL13(03)-W10067</w:t>
      </w:r>
      <w:r>
        <w:rPr>
          <w:rFonts w:hint="eastAsia" w:ascii="Tahoma" w:hAnsi="Tahoma" w:cs="Tahoma"/>
          <w:kern w:val="0"/>
          <w:sz w:val="28"/>
          <w:szCs w:val="28"/>
          <w:lang w:eastAsia="zh-CN"/>
        </w:rPr>
        <w:t>（第二次）</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血栓弹力图仪</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项目编号：2020-JL13(03)-W10067</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4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088"/>
        <w:gridCol w:w="696"/>
        <w:gridCol w:w="1188"/>
        <w:gridCol w:w="792"/>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血栓弹力图仪</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6</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15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asciiTheme="minorEastAsia" w:hAnsiTheme="minorEastAsia"/>
                <w:szCs w:val="21"/>
              </w:rPr>
            </w:pPr>
            <w:r>
              <w:rPr>
                <w:rFonts w:hint="eastAsia" w:cs="Times New Roman" w:asciiTheme="minorEastAsia" w:hAnsiTheme="minorEastAsia"/>
                <w:kern w:val="0"/>
                <w:szCs w:val="21"/>
              </w:rPr>
              <w:t>2.</w:t>
            </w:r>
            <w:r>
              <w:rPr>
                <w:rFonts w:hint="eastAsia" w:ascii="宋体" w:hAnsi="宋体"/>
                <w:color w:val="FF0000"/>
              </w:rPr>
              <w:t xml:space="preserve"> </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9</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投标产品《医疗器械产品注册证》；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2</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25</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25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25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xml:space="preserve"> 年 </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 xml:space="preserve"> 月</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 xml:space="preserve"> 日</w:t>
      </w:r>
      <w:bookmarkEnd w:id="24"/>
    </w:p>
    <w:p>
      <w:pPr>
        <w:autoSpaceDE w:val="0"/>
        <w:autoSpaceDN w:val="0"/>
        <w:adjustRightInd w:val="0"/>
        <w:snapToGrid w:val="0"/>
        <w:spacing w:line="440" w:lineRule="exact"/>
        <w:rPr>
          <w:rFonts w:cs="Times New Roman" w:asciiTheme="minorEastAsia" w:hAnsiTheme="minorEastAsia"/>
          <w:kern w:val="0"/>
          <w:sz w:val="24"/>
          <w:szCs w:val="24"/>
        </w:rPr>
      </w:pPr>
    </w:p>
    <w:p>
      <w:pPr>
        <w:autoSpaceDE w:val="0"/>
        <w:autoSpaceDN w:val="0"/>
        <w:adjustRightInd w:val="0"/>
        <w:snapToGrid w:val="0"/>
        <w:spacing w:line="440" w:lineRule="exact"/>
        <w:rPr>
          <w:rFonts w:cs="Times New Roman" w:asciiTheme="minorEastAsia" w:hAnsiTheme="minorEastAsia"/>
          <w:kern w:val="0"/>
          <w:sz w:val="24"/>
          <w:szCs w:val="24"/>
        </w:rPr>
      </w:pPr>
    </w:p>
    <w:p>
      <w:pPr>
        <w:pStyle w:val="2"/>
        <w:adjustRightInd w:val="0"/>
        <w:snapToGrid w:val="0"/>
        <w:spacing w:line="440" w:lineRule="exact"/>
        <w:jc w:val="center"/>
        <w:rPr>
          <w:rFonts w:ascii="黑体" w:hAnsi="黑体" w:eastAsia="黑体"/>
          <w:kern w:val="0"/>
          <w:sz w:val="32"/>
          <w:szCs w:val="32"/>
          <w:lang w:val="zh-CN"/>
        </w:rPr>
      </w:pPr>
      <w:bookmarkStart w:id="4" w:name="_Toc435540979"/>
      <w:bookmarkStart w:id="5" w:name="_Toc37172688"/>
      <w:bookmarkStart w:id="6" w:name="_Toc390713967"/>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51"/>
        <w:gridCol w:w="2814"/>
        <w:gridCol w:w="1004"/>
        <w:gridCol w:w="2402"/>
        <w:gridCol w:w="1053"/>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序号</w:t>
            </w:r>
          </w:p>
        </w:tc>
        <w:tc>
          <w:tcPr>
            <w:tcW w:w="281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100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4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1053"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cs="Times New Roman" w:asciiTheme="minorEastAsia" w:hAnsiTheme="minorEastAsia"/>
                <w:kern w:val="0"/>
                <w:szCs w:val="21"/>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1</w:t>
            </w:r>
          </w:p>
        </w:tc>
        <w:tc>
          <w:tcPr>
            <w:tcW w:w="2814"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血栓弹力图仪</w:t>
            </w:r>
          </w:p>
        </w:tc>
        <w:tc>
          <w:tcPr>
            <w:tcW w:w="1004"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详见下表</w:t>
            </w:r>
          </w:p>
        </w:tc>
        <w:tc>
          <w:tcPr>
            <w:tcW w:w="1053"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套</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6</w:t>
            </w:r>
          </w:p>
        </w:tc>
      </w:tr>
      <w:bookmarkEnd w:id="8"/>
    </w:tbl>
    <w:p>
      <w:pPr>
        <w:adjustRightInd w:val="0"/>
        <w:snapToGrid w:val="0"/>
        <w:spacing w:line="440" w:lineRule="exact"/>
        <w:jc w:val="center"/>
        <w:rPr>
          <w:rFonts w:ascii="宋体" w:hAnsi="宋体" w:cs="宋体"/>
          <w:bCs/>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bCs/>
          <w:kern w:val="0"/>
          <w:sz w:val="32"/>
          <w:szCs w:val="32"/>
        </w:rPr>
      </w:pPr>
      <w:r>
        <w:rPr>
          <w:rFonts w:hint="eastAsia" w:ascii="宋体" w:hAnsi="宋体" w:eastAsia="宋体" w:cs="宋体"/>
          <w:b/>
          <w:bCs/>
          <w:kern w:val="0"/>
          <w:sz w:val="32"/>
          <w:szCs w:val="32"/>
        </w:rPr>
        <w:t>血栓弹力图仪技术要求</w:t>
      </w:r>
    </w:p>
    <w:tbl>
      <w:tblPr>
        <w:tblStyle w:val="17"/>
        <w:tblW w:w="9050" w:type="dxa"/>
        <w:tblInd w:w="-39" w:type="dxa"/>
        <w:tblLayout w:type="fixed"/>
        <w:tblCellMar>
          <w:top w:w="0" w:type="dxa"/>
          <w:left w:w="108" w:type="dxa"/>
          <w:bottom w:w="0" w:type="dxa"/>
          <w:right w:w="108" w:type="dxa"/>
        </w:tblCellMar>
      </w:tblPr>
      <w:tblGrid>
        <w:gridCol w:w="856"/>
        <w:gridCol w:w="2468"/>
        <w:gridCol w:w="4212"/>
        <w:gridCol w:w="1514"/>
      </w:tblGrid>
      <w:tr>
        <w:tblPrEx>
          <w:tblCellMar>
            <w:top w:w="0" w:type="dxa"/>
            <w:left w:w="108" w:type="dxa"/>
            <w:bottom w:w="0" w:type="dxa"/>
            <w:right w:w="108" w:type="dxa"/>
          </w:tblCellMar>
        </w:tblPrEx>
        <w:trPr>
          <w:trHeight w:val="510" w:hRule="atLeast"/>
        </w:trPr>
        <w:tc>
          <w:tcPr>
            <w:tcW w:w="856" w:type="dxa"/>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序号</w:t>
            </w:r>
          </w:p>
        </w:tc>
        <w:tc>
          <w:tcPr>
            <w:tcW w:w="2468" w:type="dxa"/>
            <w:tcBorders>
              <w:top w:val="single" w:color="auto" w:sz="8"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技术和性能参数名称</w:t>
            </w:r>
          </w:p>
        </w:tc>
        <w:tc>
          <w:tcPr>
            <w:tcW w:w="4212" w:type="dxa"/>
            <w:tcBorders>
              <w:top w:val="single" w:color="auto" w:sz="8"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技术参数和性能要求</w:t>
            </w:r>
          </w:p>
        </w:tc>
        <w:tc>
          <w:tcPr>
            <w:tcW w:w="1514" w:type="dxa"/>
            <w:tcBorders>
              <w:top w:val="single" w:color="auto" w:sz="8"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备注</w:t>
            </w:r>
          </w:p>
        </w:tc>
      </w:tr>
      <w:tr>
        <w:tblPrEx>
          <w:tblCellMar>
            <w:top w:w="0" w:type="dxa"/>
            <w:left w:w="108" w:type="dxa"/>
            <w:bottom w:w="0" w:type="dxa"/>
            <w:right w:w="108" w:type="dxa"/>
          </w:tblCellMar>
        </w:tblPrEx>
        <w:trPr>
          <w:trHeight w:val="510" w:hRule="atLeast"/>
        </w:trPr>
        <w:tc>
          <w:tcPr>
            <w:tcW w:w="856"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1</w:t>
            </w:r>
          </w:p>
        </w:tc>
        <w:tc>
          <w:tcPr>
            <w:tcW w:w="2468"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设备使用需求</w:t>
            </w:r>
          </w:p>
        </w:tc>
        <w:tc>
          <w:tcPr>
            <w:tcW w:w="4212"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p>
        </w:tc>
        <w:tc>
          <w:tcPr>
            <w:tcW w:w="1514"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b/>
                <w:bCs/>
                <w:kern w:val="0"/>
              </w:rPr>
            </w:pPr>
          </w:p>
        </w:tc>
      </w:tr>
      <w:tr>
        <w:tblPrEx>
          <w:tblCellMar>
            <w:top w:w="0" w:type="dxa"/>
            <w:left w:w="108" w:type="dxa"/>
            <w:bottom w:w="0" w:type="dxa"/>
            <w:right w:w="108" w:type="dxa"/>
          </w:tblCellMar>
        </w:tblPrEx>
        <w:trPr>
          <w:trHeight w:val="510" w:hRule="atLeast"/>
        </w:trPr>
        <w:tc>
          <w:tcPr>
            <w:tcW w:w="856"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1.1</w:t>
            </w:r>
          </w:p>
        </w:tc>
        <w:tc>
          <w:tcPr>
            <w:tcW w:w="2468"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设备用途</w:t>
            </w:r>
          </w:p>
        </w:tc>
        <w:tc>
          <w:tcPr>
            <w:tcW w:w="421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eastAsia="宋体" w:cs="Times New Roman" w:asciiTheme="majorEastAsia" w:hAnsiTheme="majorEastAsia"/>
                <w:lang w:eastAsia="zh-CN"/>
              </w:rPr>
            </w:pPr>
            <w:r>
              <w:t>动态监测整个凝血过程，全面兼顾血栓及出血风险，指导成分</w:t>
            </w:r>
            <w:r>
              <w:rPr>
                <w:rFonts w:hint="eastAsia"/>
              </w:rPr>
              <w:t>血液</w:t>
            </w:r>
            <w:r>
              <w:t>制品的输注</w:t>
            </w:r>
            <w:r>
              <w:rPr>
                <w:rFonts w:hint="eastAsia"/>
                <w:lang w:eastAsia="zh-CN"/>
              </w:rPr>
              <w:t>。</w:t>
            </w:r>
          </w:p>
        </w:tc>
        <w:tc>
          <w:tcPr>
            <w:tcW w:w="1514"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1.2</w:t>
            </w:r>
          </w:p>
        </w:tc>
        <w:tc>
          <w:tcPr>
            <w:tcW w:w="2468"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jc w:val="center"/>
              <w:rPr>
                <w:rFonts w:cs="Times New Roman" w:asciiTheme="majorEastAsia" w:hAnsiTheme="majorEastAsia" w:eastAsiaTheme="majorEastAsia"/>
                <w:color w:val="000000"/>
                <w:kern w:val="0"/>
              </w:rPr>
            </w:pPr>
            <w:r>
              <w:rPr>
                <w:rFonts w:cs="Times New Roman" w:asciiTheme="majorEastAsia" w:hAnsiTheme="majorEastAsia" w:eastAsiaTheme="majorEastAsia"/>
                <w:color w:val="000000"/>
                <w:kern w:val="0"/>
              </w:rPr>
              <w:t>实验对象</w:t>
            </w:r>
          </w:p>
        </w:tc>
        <w:tc>
          <w:tcPr>
            <w:tcW w:w="4212"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lang w:eastAsia="zh-CN"/>
              </w:rPr>
            </w:pPr>
            <w:r>
              <w:rPr>
                <w:rFonts w:hint="eastAsia"/>
              </w:rPr>
              <w:t>术前、术中、术后需要凝血监测的患者，需要成分血输注的患者</w:t>
            </w:r>
            <w:r>
              <w:rPr>
                <w:rFonts w:hint="eastAsia"/>
                <w:lang w:eastAsia="zh-CN"/>
              </w:rPr>
              <w:t>。</w:t>
            </w:r>
          </w:p>
        </w:tc>
        <w:tc>
          <w:tcPr>
            <w:tcW w:w="1514" w:type="dxa"/>
            <w:tcBorders>
              <w:top w:val="single" w:color="auto" w:sz="4" w:space="0"/>
              <w:left w:val="nil"/>
              <w:bottom w:val="single" w:color="auto" w:sz="4" w:space="0"/>
              <w:right w:val="single" w:color="auto" w:sz="8"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kern w:val="0"/>
              </w:rPr>
            </w:pPr>
            <w:r>
              <w:rPr>
                <w:rFonts w:cs="Times New Roman" w:asciiTheme="majorEastAsia" w:hAnsiTheme="majorEastAsia" w:eastAsiaTheme="majorEastAsia"/>
                <w:b/>
                <w:kern w:val="0"/>
              </w:rPr>
              <w:t>2</w:t>
            </w:r>
          </w:p>
        </w:tc>
        <w:tc>
          <w:tcPr>
            <w:tcW w:w="2468"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主要技术参数</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（一行只写一个参数）</w:t>
            </w:r>
          </w:p>
        </w:tc>
        <w:tc>
          <w:tcPr>
            <w:tcW w:w="421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p>
        </w:tc>
        <w:tc>
          <w:tcPr>
            <w:tcW w:w="1514" w:type="dxa"/>
            <w:tcBorders>
              <w:top w:val="nil"/>
              <w:left w:val="nil"/>
              <w:bottom w:val="single" w:color="auto" w:sz="4" w:space="0"/>
              <w:right w:val="single" w:color="auto" w:sz="8" w:space="0"/>
            </w:tcBorders>
            <w:vAlign w:val="center"/>
          </w:tcPr>
          <w:p>
            <w:pPr>
              <w:spacing w:line="240" w:lineRule="auto"/>
              <w:rPr>
                <w:rFonts w:ascii="宋体" w:hAnsi="宋体" w:cs="宋体"/>
                <w:b/>
                <w:bCs/>
              </w:rPr>
            </w:pPr>
          </w:p>
        </w:tc>
      </w:tr>
      <w:tr>
        <w:tblPrEx>
          <w:tblCellMar>
            <w:top w:w="0" w:type="dxa"/>
            <w:left w:w="108" w:type="dxa"/>
            <w:bottom w:w="0" w:type="dxa"/>
            <w:right w:w="108" w:type="dxa"/>
          </w:tblCellMar>
        </w:tblPrEx>
        <w:trPr>
          <w:trHeight w:val="510" w:hRule="atLeast"/>
        </w:trPr>
        <w:tc>
          <w:tcPr>
            <w:tcW w:w="856"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2.1</w:t>
            </w:r>
          </w:p>
        </w:tc>
        <w:tc>
          <w:tcPr>
            <w:tcW w:w="2468"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★参数1</w:t>
            </w:r>
          </w:p>
        </w:tc>
        <w:tc>
          <w:tcPr>
            <w:tcW w:w="421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lang w:eastAsia="zh-CN"/>
              </w:rPr>
            </w:pPr>
            <w:r>
              <w:rPr>
                <w:rFonts w:hint="eastAsia"/>
              </w:rPr>
              <w:t>检测原理：电磁法检测</w:t>
            </w:r>
            <w:r>
              <w:rPr>
                <w:rFonts w:hint="eastAsia"/>
                <w:lang w:eastAsia="zh-CN"/>
              </w:rPr>
              <w:t>，采用传统悬垂丝设计。</w:t>
            </w:r>
          </w:p>
        </w:tc>
        <w:tc>
          <w:tcPr>
            <w:tcW w:w="1514" w:type="dxa"/>
            <w:tcBorders>
              <w:top w:val="nil"/>
              <w:left w:val="nil"/>
              <w:bottom w:val="single" w:color="auto" w:sz="4" w:space="0"/>
              <w:right w:val="single" w:color="auto" w:sz="8" w:space="0"/>
            </w:tcBorders>
            <w:vAlign w:val="center"/>
          </w:tcPr>
          <w:p>
            <w:pPr>
              <w:spacing w:line="240" w:lineRule="auto"/>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 xml:space="preserve"> </w:t>
            </w: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2.2</w:t>
            </w:r>
          </w:p>
        </w:tc>
        <w:tc>
          <w:tcPr>
            <w:tcW w:w="246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★参数2</w:t>
            </w:r>
          </w:p>
        </w:tc>
        <w:tc>
          <w:tcPr>
            <w:tcW w:w="42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rFonts w:hint="eastAsia"/>
              </w:rPr>
              <w:t>仪器通道：单台仪器检测通道应≥四通道</w:t>
            </w:r>
          </w:p>
        </w:tc>
        <w:tc>
          <w:tcPr>
            <w:tcW w:w="1514" w:type="dxa"/>
            <w:tcBorders>
              <w:top w:val="single" w:color="auto" w:sz="4" w:space="0"/>
              <w:left w:val="nil"/>
              <w:bottom w:val="single" w:color="auto" w:sz="4" w:space="0"/>
              <w:right w:val="single" w:color="auto" w:sz="8" w:space="0"/>
            </w:tcBorders>
            <w:vAlign w:val="center"/>
          </w:tcPr>
          <w:p>
            <w:pPr>
              <w:spacing w:line="240" w:lineRule="auto"/>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 xml:space="preserve"> </w:t>
            </w: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2.3</w:t>
            </w:r>
          </w:p>
        </w:tc>
        <w:tc>
          <w:tcPr>
            <w:tcW w:w="246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★参数3</w:t>
            </w:r>
          </w:p>
        </w:tc>
        <w:tc>
          <w:tcPr>
            <w:tcW w:w="42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rFonts w:hint="eastAsia"/>
              </w:rPr>
              <w:t>自动化程度：仪器</w:t>
            </w:r>
            <w:r>
              <w:t>具备</w:t>
            </w:r>
            <w:r>
              <w:rPr>
                <w:rFonts w:hint="eastAsia"/>
              </w:rPr>
              <w:t>自动上下杯</w:t>
            </w:r>
            <w:r>
              <w:t>功能</w:t>
            </w:r>
          </w:p>
        </w:tc>
        <w:tc>
          <w:tcPr>
            <w:tcW w:w="1514" w:type="dxa"/>
            <w:tcBorders>
              <w:top w:val="single" w:color="auto" w:sz="4" w:space="0"/>
              <w:left w:val="nil"/>
              <w:bottom w:val="single" w:color="auto" w:sz="4" w:space="0"/>
              <w:right w:val="single" w:color="auto" w:sz="8" w:space="0"/>
            </w:tcBorders>
            <w:vAlign w:val="center"/>
          </w:tcPr>
          <w:p>
            <w:pPr>
              <w:spacing w:line="240" w:lineRule="auto"/>
              <w:rPr>
                <w:rFonts w:hint="eastAsia" w:ascii="宋体" w:hAnsi="宋体" w:cs="宋体" w:eastAsiaTheme="minorEastAsia"/>
                <w:b/>
                <w:bCs/>
                <w:sz w:val="21"/>
                <w:szCs w:val="21"/>
                <w:lang w:val="en-US" w:eastAsia="zh-CN"/>
              </w:rPr>
            </w:pPr>
            <w:r>
              <w:rPr>
                <w:rFonts w:hint="eastAsia" w:ascii="宋体" w:hAnsi="宋体" w:cs="宋体"/>
                <w:sz w:val="21"/>
                <w:szCs w:val="21"/>
                <w:lang w:val="en-US" w:eastAsia="zh-CN"/>
              </w:rPr>
              <w:t xml:space="preserve"> </w:t>
            </w: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2.4</w:t>
            </w:r>
          </w:p>
        </w:tc>
        <w:tc>
          <w:tcPr>
            <w:tcW w:w="246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w:t>
            </w:r>
            <w:r>
              <w:rPr>
                <w:rFonts w:cs="Times New Roman" w:asciiTheme="majorEastAsia" w:hAnsiTheme="majorEastAsia" w:eastAsiaTheme="majorEastAsia"/>
                <w:kern w:val="0"/>
              </w:rPr>
              <w:t>参数4</w:t>
            </w:r>
          </w:p>
        </w:tc>
        <w:tc>
          <w:tcPr>
            <w:tcW w:w="42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rFonts w:hint="eastAsia"/>
              </w:rPr>
              <w:t>数据传输：双向 LIS 链接，数据与图像自动抓取上传。</w:t>
            </w:r>
          </w:p>
        </w:tc>
        <w:tc>
          <w:tcPr>
            <w:tcW w:w="1514"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2.5</w:t>
            </w:r>
          </w:p>
        </w:tc>
        <w:tc>
          <w:tcPr>
            <w:tcW w:w="2468" w:type="dxa"/>
            <w:tcBorders>
              <w:top w:val="single" w:color="auto" w:sz="4" w:space="0"/>
              <w:left w:val="nil"/>
              <w:bottom w:val="single" w:color="auto" w:sz="4" w:space="0"/>
              <w:right w:val="single" w:color="auto" w:sz="4" w:space="0"/>
            </w:tcBorders>
            <w:vAlign w:val="center"/>
          </w:tcPr>
          <w:p>
            <w:pPr>
              <w:spacing w:line="240" w:lineRule="auto"/>
              <w:jc w:val="center"/>
              <w:rPr>
                <w:rFonts w:cs="Times New Roman" w:asciiTheme="majorEastAsia" w:hAnsiTheme="majorEastAsia" w:eastAsiaTheme="majorEastAsia"/>
              </w:rPr>
            </w:pPr>
            <w:r>
              <w:rPr>
                <w:rFonts w:hint="eastAsia" w:cs="Times New Roman" w:asciiTheme="majorEastAsia" w:hAnsiTheme="majorEastAsia" w:eastAsiaTheme="majorEastAsia"/>
                <w:kern w:val="0"/>
              </w:rPr>
              <w:t>▲</w:t>
            </w:r>
            <w:r>
              <w:rPr>
                <w:rFonts w:cs="Times New Roman" w:asciiTheme="majorEastAsia" w:hAnsiTheme="majorEastAsia" w:eastAsiaTheme="majorEastAsia"/>
                <w:kern w:val="0"/>
              </w:rPr>
              <w:t>参数5</w:t>
            </w:r>
          </w:p>
        </w:tc>
        <w:tc>
          <w:tcPr>
            <w:tcW w:w="42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rFonts w:hint="eastAsia"/>
              </w:rPr>
              <w:t>温度控制：每个通道均有独立温度控制系统，可根据需要调节</w:t>
            </w:r>
          </w:p>
        </w:tc>
        <w:tc>
          <w:tcPr>
            <w:tcW w:w="1514"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2.6</w:t>
            </w:r>
          </w:p>
        </w:tc>
        <w:tc>
          <w:tcPr>
            <w:tcW w:w="2468" w:type="dxa"/>
            <w:tcBorders>
              <w:top w:val="single" w:color="auto" w:sz="4" w:space="0"/>
              <w:left w:val="nil"/>
              <w:bottom w:val="single" w:color="auto" w:sz="4" w:space="0"/>
              <w:right w:val="single" w:color="auto" w:sz="4" w:space="0"/>
            </w:tcBorders>
            <w:vAlign w:val="center"/>
          </w:tcPr>
          <w:p>
            <w:pPr>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▲参数6</w:t>
            </w:r>
          </w:p>
        </w:tc>
        <w:tc>
          <w:tcPr>
            <w:tcW w:w="42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lang w:val="en-US"/>
              </w:rPr>
            </w:pPr>
            <w:r>
              <w:rPr>
                <w:rFonts w:hint="eastAsia"/>
                <w:lang w:val="en-US"/>
              </w:rPr>
              <w:t>具有</w:t>
            </w:r>
            <w:r>
              <w:rPr>
                <w:rFonts w:hint="eastAsia"/>
              </w:rPr>
              <w:t>原厂质控品</w:t>
            </w:r>
            <w:r>
              <w:rPr>
                <w:rFonts w:hint="eastAsia"/>
                <w:lang w:val="en-US"/>
              </w:rPr>
              <w:t>可选</w:t>
            </w:r>
          </w:p>
        </w:tc>
        <w:tc>
          <w:tcPr>
            <w:tcW w:w="1514"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2.7</w:t>
            </w:r>
          </w:p>
        </w:tc>
        <w:tc>
          <w:tcPr>
            <w:tcW w:w="2468" w:type="dxa"/>
            <w:tcBorders>
              <w:top w:val="single" w:color="auto" w:sz="4" w:space="0"/>
              <w:left w:val="nil"/>
              <w:bottom w:val="single" w:color="auto" w:sz="4" w:space="0"/>
              <w:right w:val="single" w:color="auto" w:sz="4" w:space="0"/>
            </w:tcBorders>
            <w:vAlign w:val="center"/>
          </w:tcPr>
          <w:p>
            <w:pPr>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参数7</w:t>
            </w:r>
          </w:p>
        </w:tc>
        <w:tc>
          <w:tcPr>
            <w:tcW w:w="42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一体机具备电容式触摸屏</w:t>
            </w:r>
          </w:p>
        </w:tc>
        <w:tc>
          <w:tcPr>
            <w:tcW w:w="1514"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2.8</w:t>
            </w:r>
          </w:p>
        </w:tc>
        <w:tc>
          <w:tcPr>
            <w:tcW w:w="2468" w:type="dxa"/>
            <w:tcBorders>
              <w:top w:val="single" w:color="auto" w:sz="4" w:space="0"/>
              <w:left w:val="nil"/>
              <w:bottom w:val="single" w:color="auto" w:sz="4" w:space="0"/>
              <w:right w:val="single" w:color="auto" w:sz="4" w:space="0"/>
            </w:tcBorders>
            <w:vAlign w:val="center"/>
          </w:tcPr>
          <w:p>
            <w:pPr>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参数8</w:t>
            </w:r>
          </w:p>
        </w:tc>
        <w:tc>
          <w:tcPr>
            <w:tcW w:w="42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lang w:eastAsia="zh-CN"/>
              </w:rPr>
            </w:pPr>
            <w:r>
              <w:rPr>
                <w:rFonts w:hint="eastAsia"/>
              </w:rPr>
              <w:t>输出参数：R,K,ANGLE,MA,LY30，EPL</w:t>
            </w:r>
            <w:r>
              <w:rPr>
                <w:rFonts w:hint="eastAsia"/>
                <w:lang w:eastAsia="zh-CN"/>
              </w:rPr>
              <w:t>。</w:t>
            </w:r>
          </w:p>
        </w:tc>
        <w:tc>
          <w:tcPr>
            <w:tcW w:w="1514"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2.9</w:t>
            </w:r>
          </w:p>
        </w:tc>
        <w:tc>
          <w:tcPr>
            <w:tcW w:w="2468" w:type="dxa"/>
            <w:tcBorders>
              <w:top w:val="single" w:color="auto" w:sz="4" w:space="0"/>
              <w:left w:val="nil"/>
              <w:bottom w:val="single" w:color="auto" w:sz="4" w:space="0"/>
              <w:right w:val="single" w:color="auto" w:sz="4" w:space="0"/>
            </w:tcBorders>
            <w:vAlign w:val="center"/>
          </w:tcPr>
          <w:p>
            <w:pPr>
              <w:spacing w:line="240" w:lineRule="auto"/>
              <w:jc w:val="center"/>
              <w:rPr>
                <w:rFonts w:cs="Times New Roman" w:asciiTheme="majorEastAsia" w:hAnsiTheme="majorEastAsia" w:eastAsiaTheme="majorEastAsia"/>
              </w:rPr>
            </w:pPr>
            <w:r>
              <w:rPr>
                <w:rFonts w:cs="Times New Roman" w:asciiTheme="majorEastAsia" w:hAnsiTheme="majorEastAsia" w:eastAsiaTheme="majorEastAsia"/>
                <w:kern w:val="0"/>
              </w:rPr>
              <w:t>参数9</w:t>
            </w:r>
          </w:p>
        </w:tc>
        <w:tc>
          <w:tcPr>
            <w:tcW w:w="42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精密度：所有配套试剂药监局批准的说明书上 CV 值小于 15%</w:t>
            </w:r>
          </w:p>
        </w:tc>
        <w:tc>
          <w:tcPr>
            <w:tcW w:w="1514" w:type="dxa"/>
            <w:tcBorders>
              <w:top w:val="single" w:color="auto" w:sz="4" w:space="0"/>
              <w:left w:val="nil"/>
              <w:bottom w:val="single" w:color="auto" w:sz="4" w:space="0"/>
              <w:right w:val="single" w:color="auto" w:sz="8" w:space="0"/>
            </w:tcBorders>
            <w:vAlign w:val="center"/>
          </w:tcPr>
          <w:p>
            <w:pPr>
              <w:widowControl/>
              <w:spacing w:line="240" w:lineRule="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2.10</w:t>
            </w:r>
          </w:p>
        </w:tc>
        <w:tc>
          <w:tcPr>
            <w:tcW w:w="246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asciiTheme="majorEastAsia" w:hAnsiTheme="majorEastAsia" w:eastAsiaTheme="majorEastAsia"/>
              </w:rPr>
            </w:pPr>
            <w:r>
              <w:rPr>
                <w:rFonts w:cs="Times New Roman" w:asciiTheme="majorEastAsia" w:hAnsiTheme="majorEastAsia" w:eastAsiaTheme="majorEastAsia"/>
                <w:kern w:val="0"/>
              </w:rPr>
              <w:t>参数10</w:t>
            </w:r>
          </w:p>
        </w:tc>
        <w:tc>
          <w:tcPr>
            <w:tcW w:w="42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连续工作时间不低于 24 小时</w:t>
            </w:r>
          </w:p>
        </w:tc>
        <w:tc>
          <w:tcPr>
            <w:tcW w:w="15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2.11</w:t>
            </w:r>
          </w:p>
        </w:tc>
        <w:tc>
          <w:tcPr>
            <w:tcW w:w="246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参数11</w:t>
            </w:r>
          </w:p>
        </w:tc>
        <w:tc>
          <w:tcPr>
            <w:tcW w:w="42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报告打印：中文结论+原图报告</w:t>
            </w:r>
          </w:p>
        </w:tc>
        <w:tc>
          <w:tcPr>
            <w:tcW w:w="15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2.12</w:t>
            </w:r>
          </w:p>
        </w:tc>
        <w:tc>
          <w:tcPr>
            <w:tcW w:w="2468" w:type="dxa"/>
            <w:tcBorders>
              <w:top w:val="single" w:color="auto" w:sz="4" w:space="0"/>
              <w:left w:val="nil"/>
              <w:bottom w:val="single" w:color="auto" w:sz="4" w:space="0"/>
              <w:right w:val="single" w:color="auto" w:sz="4" w:space="0"/>
            </w:tcBorders>
            <w:vAlign w:val="center"/>
          </w:tcPr>
          <w:p>
            <w:pPr>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参数12</w:t>
            </w:r>
          </w:p>
        </w:tc>
        <w:tc>
          <w:tcPr>
            <w:tcW w:w="42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试剂盒</w:t>
            </w:r>
            <w:r>
              <w:rPr>
                <w:rFonts w:hint="eastAsia"/>
                <w:lang w:eastAsia="zh-CN"/>
              </w:rPr>
              <w:t>包含：</w:t>
            </w:r>
            <w:r>
              <w:rPr>
                <w:rFonts w:hint="eastAsia"/>
              </w:rPr>
              <w:t>普通杯、</w:t>
            </w:r>
            <w:r>
              <w:rPr>
                <w:rFonts w:hint="eastAsia"/>
                <w:lang w:eastAsia="zh-CN"/>
              </w:rPr>
              <w:t>快速杯、质控品</w:t>
            </w:r>
            <w:r>
              <w:rPr>
                <w:rFonts w:hint="eastAsia"/>
              </w:rPr>
              <w:t>，</w:t>
            </w:r>
            <w:r>
              <w:rPr>
                <w:rFonts w:hint="eastAsia"/>
                <w:lang w:val="en-US"/>
              </w:rPr>
              <w:t>有效期≥</w:t>
            </w:r>
            <w:r>
              <w:rPr>
                <w:rFonts w:hint="eastAsia"/>
              </w:rPr>
              <w:t>12</w:t>
            </w:r>
            <w:r>
              <w:rPr>
                <w:rFonts w:hint="eastAsia"/>
                <w:lang w:val="en-US"/>
              </w:rPr>
              <w:t>个月</w:t>
            </w:r>
          </w:p>
        </w:tc>
        <w:tc>
          <w:tcPr>
            <w:tcW w:w="1514"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kern w:val="0"/>
              </w:rPr>
            </w:pPr>
            <w:r>
              <w:rPr>
                <w:rFonts w:cs="Times New Roman" w:asciiTheme="majorEastAsia" w:hAnsiTheme="majorEastAsia" w:eastAsiaTheme="majorEastAsia"/>
                <w:b/>
                <w:kern w:val="0"/>
              </w:rPr>
              <w:t>3</w:t>
            </w:r>
          </w:p>
        </w:tc>
        <w:tc>
          <w:tcPr>
            <w:tcW w:w="2468" w:type="dxa"/>
            <w:tcBorders>
              <w:top w:val="nil"/>
              <w:left w:val="nil"/>
              <w:bottom w:val="single" w:color="auto" w:sz="4" w:space="0"/>
              <w:right w:val="single" w:color="auto" w:sz="4" w:space="0"/>
            </w:tcBorders>
            <w:vAlign w:val="center"/>
          </w:tcPr>
          <w:p>
            <w:pPr>
              <w:widowControl/>
              <w:spacing w:line="240" w:lineRule="auto"/>
              <w:ind w:firstLine="201" w:firstLineChars="100"/>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配置需求</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（一行只写一个配置）</w:t>
            </w:r>
          </w:p>
        </w:tc>
        <w:tc>
          <w:tcPr>
            <w:tcW w:w="421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p>
        </w:tc>
        <w:tc>
          <w:tcPr>
            <w:tcW w:w="1514"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3.1</w:t>
            </w:r>
          </w:p>
        </w:tc>
        <w:tc>
          <w:tcPr>
            <w:tcW w:w="246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配置1</w:t>
            </w:r>
          </w:p>
        </w:tc>
        <w:tc>
          <w:tcPr>
            <w:tcW w:w="42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血栓弹力图主机 1台</w:t>
            </w:r>
          </w:p>
        </w:tc>
        <w:tc>
          <w:tcPr>
            <w:tcW w:w="1514"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3.2</w:t>
            </w:r>
          </w:p>
        </w:tc>
        <w:tc>
          <w:tcPr>
            <w:tcW w:w="2468"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配置2</w:t>
            </w:r>
          </w:p>
        </w:tc>
        <w:tc>
          <w:tcPr>
            <w:tcW w:w="421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电源线1根</w:t>
            </w:r>
          </w:p>
        </w:tc>
        <w:tc>
          <w:tcPr>
            <w:tcW w:w="1514"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3.3</w:t>
            </w:r>
          </w:p>
        </w:tc>
        <w:tc>
          <w:tcPr>
            <w:tcW w:w="2468"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配置3</w:t>
            </w:r>
          </w:p>
        </w:tc>
        <w:tc>
          <w:tcPr>
            <w:tcW w:w="421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调节笔1支</w:t>
            </w:r>
          </w:p>
        </w:tc>
        <w:tc>
          <w:tcPr>
            <w:tcW w:w="1514"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3.4</w:t>
            </w:r>
          </w:p>
        </w:tc>
        <w:tc>
          <w:tcPr>
            <w:tcW w:w="246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配置4</w:t>
            </w:r>
          </w:p>
        </w:tc>
        <w:tc>
          <w:tcPr>
            <w:tcW w:w="42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无线键盘1个</w:t>
            </w:r>
          </w:p>
        </w:tc>
        <w:tc>
          <w:tcPr>
            <w:tcW w:w="1514"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3.5</w:t>
            </w:r>
          </w:p>
        </w:tc>
        <w:tc>
          <w:tcPr>
            <w:tcW w:w="246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配置5</w:t>
            </w:r>
          </w:p>
        </w:tc>
        <w:tc>
          <w:tcPr>
            <w:tcW w:w="42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无线鼠标1个</w:t>
            </w:r>
          </w:p>
        </w:tc>
        <w:tc>
          <w:tcPr>
            <w:tcW w:w="1514"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3.6</w:t>
            </w:r>
          </w:p>
        </w:tc>
        <w:tc>
          <w:tcPr>
            <w:tcW w:w="246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配置6</w:t>
            </w:r>
          </w:p>
        </w:tc>
        <w:tc>
          <w:tcPr>
            <w:tcW w:w="42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反光镜1个</w:t>
            </w:r>
          </w:p>
        </w:tc>
        <w:tc>
          <w:tcPr>
            <w:tcW w:w="1514"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4</w:t>
            </w:r>
          </w:p>
        </w:tc>
        <w:tc>
          <w:tcPr>
            <w:tcW w:w="2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售后服务</w:t>
            </w:r>
          </w:p>
        </w:tc>
        <w:tc>
          <w:tcPr>
            <w:tcW w:w="42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p>
        </w:tc>
        <w:tc>
          <w:tcPr>
            <w:tcW w:w="15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w:t>
            </w:r>
          </w:p>
        </w:tc>
        <w:tc>
          <w:tcPr>
            <w:tcW w:w="246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保修年限</w:t>
            </w:r>
          </w:p>
        </w:tc>
        <w:tc>
          <w:tcPr>
            <w:tcW w:w="42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≥5年</w:t>
            </w:r>
          </w:p>
        </w:tc>
        <w:tc>
          <w:tcPr>
            <w:tcW w:w="1514"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4.2</w:t>
            </w:r>
          </w:p>
        </w:tc>
        <w:tc>
          <w:tcPr>
            <w:tcW w:w="2468"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出现故障回应时间</w:t>
            </w:r>
          </w:p>
        </w:tc>
        <w:tc>
          <w:tcPr>
            <w:tcW w:w="421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维修到达现场时间≤ 2小时（本地）</w:t>
            </w:r>
            <w:r>
              <w:rPr>
                <w:rFonts w:hint="eastAsia"/>
              </w:rPr>
              <w:br w:type="textWrapping"/>
            </w:r>
            <w:r>
              <w:rPr>
                <w:rFonts w:hint="eastAsia"/>
              </w:rPr>
              <w:t>维修到达现场时间≤24小时（外地）</w:t>
            </w:r>
          </w:p>
        </w:tc>
        <w:tc>
          <w:tcPr>
            <w:tcW w:w="1514"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4.3</w:t>
            </w:r>
          </w:p>
        </w:tc>
        <w:tc>
          <w:tcPr>
            <w:tcW w:w="2468"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维修支持</w:t>
            </w:r>
          </w:p>
        </w:tc>
        <w:tc>
          <w:tcPr>
            <w:tcW w:w="421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零部件供应时间≥10年</w:t>
            </w:r>
          </w:p>
        </w:tc>
        <w:tc>
          <w:tcPr>
            <w:tcW w:w="1514"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4.5</w:t>
            </w:r>
          </w:p>
        </w:tc>
        <w:tc>
          <w:tcPr>
            <w:tcW w:w="2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维修资料</w:t>
            </w:r>
          </w:p>
        </w:tc>
        <w:tc>
          <w:tcPr>
            <w:tcW w:w="42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提供详细操作手册、维修保养手册、安装手册等</w:t>
            </w:r>
          </w:p>
        </w:tc>
        <w:tc>
          <w:tcPr>
            <w:tcW w:w="15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4.6</w:t>
            </w:r>
          </w:p>
        </w:tc>
        <w:tc>
          <w:tcPr>
            <w:tcW w:w="246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维修工具</w:t>
            </w:r>
          </w:p>
        </w:tc>
        <w:tc>
          <w:tcPr>
            <w:tcW w:w="42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提供维修专用工具1套</w:t>
            </w:r>
          </w:p>
        </w:tc>
        <w:tc>
          <w:tcPr>
            <w:tcW w:w="1514"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4.7</w:t>
            </w:r>
          </w:p>
        </w:tc>
        <w:tc>
          <w:tcPr>
            <w:tcW w:w="2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预防性维修</w:t>
            </w:r>
            <w:r>
              <w:rPr>
                <w:rFonts w:cs="Times New Roman" w:asciiTheme="majorEastAsia" w:hAnsiTheme="majorEastAsia" w:eastAsiaTheme="majorEastAsia"/>
                <w:kern w:val="0"/>
              </w:rPr>
              <w:br w:type="textWrapping"/>
            </w:r>
            <w:r>
              <w:rPr>
                <w:rFonts w:cs="Times New Roman" w:asciiTheme="majorEastAsia" w:hAnsiTheme="majorEastAsia" w:eastAsiaTheme="majorEastAsia"/>
                <w:kern w:val="0"/>
              </w:rPr>
              <w:t>/定期维护保养</w:t>
            </w:r>
          </w:p>
        </w:tc>
        <w:tc>
          <w:tcPr>
            <w:tcW w:w="42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保修期内提供定期维护保养服务</w:t>
            </w:r>
          </w:p>
        </w:tc>
        <w:tc>
          <w:tcPr>
            <w:tcW w:w="15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4.8</w:t>
            </w:r>
          </w:p>
        </w:tc>
        <w:tc>
          <w:tcPr>
            <w:tcW w:w="246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维修密码支持</w:t>
            </w:r>
          </w:p>
        </w:tc>
        <w:tc>
          <w:tcPr>
            <w:tcW w:w="42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开放</w:t>
            </w:r>
          </w:p>
        </w:tc>
        <w:tc>
          <w:tcPr>
            <w:tcW w:w="1514"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4.9</w:t>
            </w:r>
          </w:p>
        </w:tc>
        <w:tc>
          <w:tcPr>
            <w:tcW w:w="2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升级</w:t>
            </w:r>
          </w:p>
        </w:tc>
        <w:tc>
          <w:tcPr>
            <w:tcW w:w="42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终身免费软件升级</w:t>
            </w:r>
          </w:p>
        </w:tc>
        <w:tc>
          <w:tcPr>
            <w:tcW w:w="15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4.10</w:t>
            </w:r>
          </w:p>
        </w:tc>
        <w:tc>
          <w:tcPr>
            <w:tcW w:w="24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使用培训</w:t>
            </w:r>
          </w:p>
        </w:tc>
        <w:tc>
          <w:tcPr>
            <w:tcW w:w="42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支持</w:t>
            </w:r>
          </w:p>
        </w:tc>
        <w:tc>
          <w:tcPr>
            <w:tcW w:w="15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10" w:hRule="atLeast"/>
        </w:trPr>
        <w:tc>
          <w:tcPr>
            <w:tcW w:w="856"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4.11</w:t>
            </w:r>
          </w:p>
        </w:tc>
        <w:tc>
          <w:tcPr>
            <w:tcW w:w="246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工程师培训</w:t>
            </w:r>
          </w:p>
        </w:tc>
        <w:tc>
          <w:tcPr>
            <w:tcW w:w="42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rPr>
              <w:t>支持</w:t>
            </w:r>
          </w:p>
        </w:tc>
        <w:tc>
          <w:tcPr>
            <w:tcW w:w="1514"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7.所有设备应在投标/报价文件商务条款中列出5年以后全保费用金额（如： 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b/>
          <w:sz w:val="24"/>
          <w:szCs w:val="24"/>
        </w:rPr>
      </w:pPr>
      <w:r>
        <w:rPr>
          <w:rFonts w:hint="eastAsia" w:cs="Arial" w:asciiTheme="minorEastAsia" w:hAnsiTheme="minorEastAsia"/>
          <w:b/>
          <w:sz w:val="24"/>
          <w:szCs w:val="24"/>
        </w:rPr>
        <w:t>10.此次招标设备需配套使用耗材（试剂），耗材（试剂）需要一并进行报价，纳入计算经济分。</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b/>
          <w:sz w:val="24"/>
          <w:szCs w:val="24"/>
        </w:rPr>
        <w:t>11、中标供应商应在中标后将本次招标设备所需配套使用耗材（试剂）在采购人驻地药交所平台挂网，且挂网价格不高于本次报价。否则不予签订设备采购合同</w:t>
      </w:r>
      <w:r>
        <w:rPr>
          <w:rFonts w:hint="eastAsia" w:cs="Arial" w:asciiTheme="minorEastAsia" w:hAnsiTheme="minorEastAsia"/>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3" w:type="default"/>
          <w:footerReference r:id="rId4"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7172689"/>
      <w:bookmarkStart w:id="10" w:name="_Toc240432230"/>
      <w:bookmarkStart w:id="11" w:name="_Toc390713968"/>
      <w:bookmarkStart w:id="12" w:name="_Toc285612601"/>
      <w:bookmarkStart w:id="13" w:name="_Toc43554098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相关信息在《军队采购网》（www.plap.cn）、中国政府采购网（www.ccgp.gov.cn）及我院官网（www.xnyy.cn）上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(3)专机配套耗材（试剂）明细表（附件3）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(1)投标函（附件4）</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(5)主要商务条款响应偏离表（附件8）</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(9)生产厂家售后服务承诺（进口设备由总代提供，附件12）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(12)技术评审表（附件14）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adjustRightInd w:val="0"/>
              <w:snapToGrid w:val="0"/>
              <w:spacing w:line="340" w:lineRule="atLeas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340" w:lineRule="atLeas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708"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Borders>
              <w:bottom w:val="single" w:color="auto" w:sz="4" w:space="0"/>
            </w:tcBorders>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价格分由设备价格分及专机配套耗材（试剂）价格分组成。</w:t>
            </w:r>
          </w:p>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p>
        </w:tc>
        <w:tc>
          <w:tcPr>
            <w:tcW w:w="708" w:type="dxa"/>
            <w:tcBorders>
              <w:bottom w:val="single" w:color="auto" w:sz="4" w:space="0"/>
            </w:tcBorders>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852"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7088" w:type="dxa"/>
            <w:gridSpan w:val="2"/>
            <w:tcBorders>
              <w:top w:val="single" w:color="auto" w:sz="4" w:space="0"/>
              <w:bottom w:val="single" w:color="auto" w:sz="4" w:space="0"/>
            </w:tcBorders>
          </w:tcPr>
          <w:p>
            <w:pPr>
              <w:adjustRightInd w:val="0"/>
              <w:snapToGrid w:val="0"/>
              <w:spacing w:line="340" w:lineRule="atLeas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设备价格分=（评审基准价/设备报价）×标准分值</w:t>
            </w:r>
          </w:p>
        </w:tc>
        <w:tc>
          <w:tcPr>
            <w:tcW w:w="708" w:type="dxa"/>
            <w:tcBorders>
              <w:top w:val="single" w:color="auto" w:sz="4" w:space="0"/>
              <w:bottom w:val="single" w:color="auto" w:sz="4" w:space="0"/>
            </w:tcBorders>
            <w:vAlign w:val="center"/>
          </w:tcPr>
          <w:p>
            <w:pPr>
              <w:adjustRightInd w:val="0"/>
              <w:snapToGrid w:val="0"/>
              <w:spacing w:line="340" w:lineRule="atLeas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852"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7088" w:type="dxa"/>
            <w:gridSpan w:val="2"/>
            <w:tcBorders>
              <w:top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专机配套耗材（试剂）价格分=（评审基准价/耗材（试剂）报价）×标准分值</w:t>
            </w:r>
          </w:p>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b/>
                <w:kern w:val="0"/>
                <w:sz w:val="21"/>
                <w:szCs w:val="21"/>
              </w:rPr>
              <w:t>耗材（试剂）报价计算标准</w:t>
            </w:r>
            <w:r>
              <w:rPr>
                <w:rFonts w:hint="eastAsia" w:cs="Times New Roman" w:asciiTheme="majorEastAsia" w:hAnsiTheme="majorEastAsia" w:eastAsiaTheme="majorEastAsia"/>
                <w:kern w:val="0"/>
                <w:sz w:val="21"/>
                <w:szCs w:val="21"/>
              </w:rPr>
              <w:t>：</w:t>
            </w:r>
            <w:r>
              <w:rPr>
                <w:rFonts w:hint="eastAsia" w:ascii="宋体" w:hAnsi="宋体" w:eastAsia="宋体" w:cs="宋体"/>
                <w:color w:val="000000"/>
                <w:kern w:val="0"/>
                <w:sz w:val="20"/>
                <w:szCs w:val="20"/>
              </w:rPr>
              <w:t>血栓弹力图(普通杯)检测试剂盒</w:t>
            </w:r>
            <w:r>
              <w:rPr>
                <w:rFonts w:cs="Times New Roman" w:asciiTheme="majorEastAsia" w:hAnsiTheme="majorEastAsia" w:eastAsiaTheme="majorEastAsia"/>
                <w:kern w:val="0"/>
                <w:sz w:val="21"/>
                <w:szCs w:val="21"/>
              </w:rPr>
              <w:t xml:space="preserve"> </w:t>
            </w:r>
          </w:p>
        </w:tc>
        <w:tc>
          <w:tcPr>
            <w:tcW w:w="708" w:type="dxa"/>
            <w:tcBorders>
              <w:top w:val="single" w:color="auto" w:sz="4" w:space="0"/>
            </w:tcBorders>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0" w:hRule="atLeast"/>
        </w:trPr>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340" w:lineRule="atLeast"/>
              <w:rPr>
                <w:rFonts w:cs="Times New Roman" w:asciiTheme="majorEastAsia" w:hAnsiTheme="majorEastAsia" w:eastAsiaTheme="majorEastAsia"/>
                <w:kern w:val="0"/>
                <w:sz w:val="21"/>
                <w:szCs w:val="21"/>
              </w:rPr>
            </w:pPr>
          </w:p>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708"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340" w:lineRule="atLeas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（6分）</w:t>
            </w:r>
          </w:p>
        </w:tc>
        <w:tc>
          <w:tcPr>
            <w:tcW w:w="6946" w:type="dxa"/>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1分，最低得0分。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产品技术性能指标参数满足偏离情况（30分）</w:t>
            </w:r>
          </w:p>
        </w:tc>
        <w:tc>
          <w:tcPr>
            <w:tcW w:w="6946" w:type="dxa"/>
            <w:tcBorders>
              <w:bottom w:val="single" w:color="auto" w:sz="4" w:space="0"/>
            </w:tcBorders>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adjustRightInd w:val="0"/>
              <w:snapToGrid w:val="0"/>
              <w:spacing w:line="340" w:lineRule="atLeas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4.产品配置不齐全或性能用途与招标要求不符，“产品技术性能指标参数满足偏离情况”总得分为0分。 </w:t>
            </w:r>
          </w:p>
        </w:tc>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rPr>
              <w:t>★</w:t>
            </w:r>
            <w:r>
              <w:rPr>
                <w:rFonts w:hint="eastAsia"/>
              </w:rPr>
              <w:t>检测原理：电磁法检测</w:t>
            </w:r>
            <w:r>
              <w:rPr>
                <w:rFonts w:hint="eastAsia"/>
                <w:lang w:eastAsia="zh-CN"/>
              </w:rPr>
              <w:t>，采用传统悬垂丝设计。</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rPr>
              <w:t>★</w:t>
            </w:r>
            <w:r>
              <w:rPr>
                <w:rFonts w:hint="eastAsia"/>
              </w:rPr>
              <w:t>仪器通道：单台仪器检测通道应≥四通道</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rPr>
              <w:t>★</w:t>
            </w:r>
            <w:r>
              <w:rPr>
                <w:rFonts w:hint="eastAsia"/>
              </w:rPr>
              <w:t>自动化程度：仪器</w:t>
            </w:r>
            <w:r>
              <w:t>具备</w:t>
            </w:r>
            <w:r>
              <w:rPr>
                <w:rFonts w:hint="eastAsia"/>
              </w:rPr>
              <w:t>自动上下杯</w:t>
            </w:r>
            <w:r>
              <w:t>功能</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rPr>
              <w:t>▲</w:t>
            </w:r>
            <w:r>
              <w:rPr>
                <w:rFonts w:hint="eastAsia"/>
              </w:rPr>
              <w:t>数据传输：双向 LIS 链接，数据与图像自动抓取上传。</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rPr>
              <w:t>▲</w:t>
            </w:r>
            <w:r>
              <w:rPr>
                <w:rFonts w:hint="eastAsia"/>
              </w:rPr>
              <w:t>温度控制：每个通道均有独立温度控制系统，可根据需要调节</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rPr>
              <w:t>▲</w:t>
            </w:r>
            <w:r>
              <w:rPr>
                <w:rFonts w:hint="eastAsia"/>
                <w:lang w:val="en-US"/>
              </w:rPr>
              <w:t>具有</w:t>
            </w:r>
            <w:r>
              <w:rPr>
                <w:rFonts w:hint="eastAsia"/>
              </w:rPr>
              <w:t>原厂质控品</w:t>
            </w:r>
            <w:r>
              <w:rPr>
                <w:rFonts w:hint="eastAsia"/>
                <w:lang w:val="en-US"/>
              </w:rPr>
              <w:t>可选</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cs="Times New Roman" w:asciiTheme="majorEastAsia" w:hAnsiTheme="majorEastAsia" w:eastAsiaTheme="majorEastAsia"/>
                <w:kern w:val="0"/>
                <w:sz w:val="21"/>
                <w:szCs w:val="21"/>
              </w:rPr>
            </w:pPr>
            <w:r>
              <w:rPr>
                <w:rFonts w:hint="eastAsia"/>
              </w:rPr>
              <w:t>一体机具备电容式触摸屏</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cs="Times New Roman" w:asciiTheme="majorEastAsia" w:hAnsiTheme="majorEastAsia" w:eastAsiaTheme="majorEastAsia"/>
                <w:kern w:val="0"/>
                <w:sz w:val="21"/>
                <w:szCs w:val="21"/>
              </w:rPr>
            </w:pPr>
            <w:r>
              <w:rPr>
                <w:rFonts w:hint="eastAsia"/>
              </w:rPr>
              <w:t>输出参数：R,K,ANGLE,MA,LY30，EPL</w:t>
            </w:r>
            <w:r>
              <w:rPr>
                <w:rFonts w:hint="eastAsia"/>
                <w:lang w:eastAsia="zh-CN"/>
              </w:rPr>
              <w:t>。</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cs="Times New Roman" w:asciiTheme="majorEastAsia" w:hAnsiTheme="majorEastAsia" w:eastAsiaTheme="majorEastAsia"/>
                <w:kern w:val="0"/>
                <w:sz w:val="21"/>
                <w:szCs w:val="21"/>
              </w:rPr>
            </w:pPr>
            <w:r>
              <w:rPr>
                <w:rFonts w:hint="eastAsia"/>
              </w:rPr>
              <w:t>精密度：所有配套试剂药监局批准的说明书上 CV 值小于 15%</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cs="Times New Roman" w:asciiTheme="majorEastAsia" w:hAnsiTheme="majorEastAsia" w:eastAsiaTheme="majorEastAsia"/>
                <w:kern w:val="0"/>
                <w:sz w:val="21"/>
                <w:szCs w:val="21"/>
              </w:rPr>
            </w:pPr>
            <w:r>
              <w:rPr>
                <w:rFonts w:hint="eastAsia"/>
              </w:rPr>
              <w:t>连续工作时间不低于 24 小时</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cs="Times New Roman" w:asciiTheme="majorEastAsia" w:hAnsiTheme="majorEastAsia" w:eastAsiaTheme="majorEastAsia"/>
                <w:kern w:val="0"/>
                <w:sz w:val="21"/>
                <w:szCs w:val="21"/>
              </w:rPr>
            </w:pPr>
            <w:r>
              <w:rPr>
                <w:rFonts w:hint="eastAsia"/>
              </w:rPr>
              <w:t>报告打印：中文结论+原图报告</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cs="Times New Roman" w:asciiTheme="majorEastAsia" w:hAnsiTheme="majorEastAsia" w:eastAsiaTheme="majorEastAsia"/>
                <w:kern w:val="0"/>
                <w:sz w:val="20"/>
                <w:szCs w:val="21"/>
              </w:rPr>
            </w:pPr>
            <w:r>
              <w:rPr>
                <w:rFonts w:hint="eastAsia"/>
              </w:rPr>
              <w:t>试剂盒</w:t>
            </w:r>
            <w:r>
              <w:rPr>
                <w:rFonts w:hint="eastAsia"/>
                <w:lang w:eastAsia="zh-CN"/>
              </w:rPr>
              <w:t>包含：</w:t>
            </w:r>
            <w:r>
              <w:rPr>
                <w:rFonts w:hint="eastAsia"/>
              </w:rPr>
              <w:t>普通杯、</w:t>
            </w:r>
            <w:r>
              <w:rPr>
                <w:rFonts w:hint="eastAsia"/>
                <w:lang w:eastAsia="zh-CN"/>
              </w:rPr>
              <w:t>快速杯、质控品</w:t>
            </w:r>
            <w:r>
              <w:rPr>
                <w:rFonts w:hint="eastAsia"/>
              </w:rPr>
              <w:t>，</w:t>
            </w:r>
            <w:r>
              <w:rPr>
                <w:rFonts w:hint="eastAsia"/>
                <w:lang w:val="en-US"/>
              </w:rPr>
              <w:t>有效期≥</w:t>
            </w:r>
            <w:r>
              <w:rPr>
                <w:rFonts w:hint="eastAsia"/>
              </w:rPr>
              <w:t>12</w:t>
            </w:r>
            <w:r>
              <w:rPr>
                <w:rFonts w:hint="eastAsia"/>
                <w:lang w:val="en-US"/>
              </w:rPr>
              <w:t>个月</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（4分）</w:t>
            </w:r>
          </w:p>
        </w:tc>
        <w:tc>
          <w:tcPr>
            <w:tcW w:w="6946" w:type="dxa"/>
          </w:tcPr>
          <w:p>
            <w:pPr>
              <w:adjustRightInd w:val="0"/>
              <w:snapToGrid w:val="0"/>
              <w:spacing w:line="340" w:lineRule="atLeas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tcPr>
          <w:p>
            <w:pPr>
              <w:adjustRightInd w:val="0"/>
              <w:snapToGrid w:val="0"/>
              <w:spacing w:line="340" w:lineRule="atLeas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tcPr>
          <w:p>
            <w:pPr>
              <w:adjustRightInd w:val="0"/>
              <w:snapToGrid w:val="0"/>
              <w:spacing w:line="340" w:lineRule="atLeas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tcPr>
          <w:p>
            <w:pPr>
              <w:adjustRightInd w:val="0"/>
              <w:snapToGrid w:val="0"/>
              <w:spacing w:line="340" w:lineRule="atLeas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50%比例递减，最低得0分。三分之二以上技术专家认为不合理的得0分。</w:t>
            </w:r>
          </w:p>
        </w:tc>
        <w:tc>
          <w:tcPr>
            <w:tcW w:w="708" w:type="dxa"/>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340" w:lineRule="atLeas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保修期外维修费用：保修期外的包修费用及维修工时费计算方法及价格，按厂家自报排名，费用最低的得标准分值，依次按标准分值50%递减，最低得0分。</w:t>
            </w:r>
          </w:p>
        </w:tc>
        <w:tc>
          <w:tcPr>
            <w:tcW w:w="708" w:type="dxa"/>
            <w:tcBorders>
              <w:bottom w:val="single" w:color="auto" w:sz="4" w:space="0"/>
            </w:tcBorders>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6" w:hRule="atLeast"/>
        </w:trPr>
        <w:tc>
          <w:tcPr>
            <w:tcW w:w="708" w:type="dxa"/>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340" w:lineRule="atLeas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1.产品和品牌具有较高知名度及广泛普及度，提供指定地点的现场服务支持，具备全国各主要省份的售后服务网络和对应的24小时服务支持热线且技术力量能满足部队维修服务需求的得0.25分，不满足得0分；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2.根据指定地点的服务网点数量排名，第一名得0.25分，依次按标准分值50%递减，最低得0分。</w:t>
            </w:r>
          </w:p>
        </w:tc>
        <w:tc>
          <w:tcPr>
            <w:tcW w:w="708" w:type="dxa"/>
            <w:tcBorders>
              <w:bottom w:val="single" w:color="auto" w:sz="4" w:space="0"/>
            </w:tcBorders>
            <w:vAlign w:val="center"/>
          </w:tcPr>
          <w:p>
            <w:pPr>
              <w:adjustRightInd w:val="0"/>
              <w:snapToGrid w:val="0"/>
              <w:spacing w:line="340" w:lineRule="atLeas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trPr>
        <w:tc>
          <w:tcPr>
            <w:tcW w:w="708" w:type="dxa"/>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40" w:lineRule="atLeas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340" w:lineRule="atLeas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340" w:lineRule="atLeas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5"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285612603"/>
      <w:bookmarkStart w:id="15" w:name="_Toc390713969"/>
      <w:bookmarkStart w:id="16" w:name="_Toc435540981"/>
      <w:bookmarkStart w:id="17"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8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151"/>
        <w:gridCol w:w="1983"/>
        <w:gridCol w:w="1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6" w:type="default"/>
          <w:footerReference r:id="rId7"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435540982"/>
      <w:bookmarkStart w:id="19" w:name="_Toc240432233"/>
      <w:bookmarkStart w:id="20" w:name="_Toc285612604"/>
      <w:bookmarkStart w:id="21" w:name="_Toc390713970"/>
      <w:bookmarkStart w:id="22" w:name="_Toc37172691"/>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8"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ind w:firstLine="720" w:firstLineChars="300"/>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47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2448"/>
        <w:gridCol w:w="1754"/>
        <w:gridCol w:w="1484"/>
        <w:gridCol w:w="1484"/>
        <w:gridCol w:w="2294"/>
        <w:gridCol w:w="2024"/>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序号</w:t>
            </w:r>
          </w:p>
        </w:tc>
        <w:tc>
          <w:tcPr>
            <w:tcW w:w="2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物资名称</w:t>
            </w:r>
          </w:p>
        </w:tc>
        <w:tc>
          <w:tcPr>
            <w:tcW w:w="17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规格型号</w:t>
            </w: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生产厂家</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原产地</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医疗器械注册证号</w:t>
            </w:r>
          </w:p>
        </w:tc>
        <w:tc>
          <w:tcPr>
            <w:tcW w:w="20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报价</w:t>
            </w:r>
          </w:p>
          <w:p>
            <w:pPr>
              <w:widowControl/>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（人份/元）</w:t>
            </w:r>
          </w:p>
        </w:tc>
        <w:tc>
          <w:tcPr>
            <w:tcW w:w="1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exact"/>
          <w:jc w:val="center"/>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1</w:t>
            </w:r>
          </w:p>
        </w:tc>
        <w:tc>
          <w:tcPr>
            <w:tcW w:w="24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血栓弹力图(普通杯)检测试剂盒</w:t>
            </w:r>
          </w:p>
        </w:tc>
        <w:tc>
          <w:tcPr>
            <w:tcW w:w="17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20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c>
          <w:tcPr>
            <w:tcW w:w="1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p>
        </w:tc>
      </w:tr>
    </w:tbl>
    <w:p>
      <w:pPr>
        <w:tabs>
          <w:tab w:val="left" w:pos="804"/>
        </w:tabs>
        <w:rPr>
          <w:rFonts w:ascii="Times New Roman" w:hAnsi="Times New Roman" w:eastAsia="宋体" w:cs="Times New Roman"/>
          <w:b/>
          <w:kern w:val="0"/>
          <w:szCs w:val="21"/>
        </w:rPr>
      </w:pPr>
    </w:p>
    <w:p>
      <w:pPr>
        <w:tabs>
          <w:tab w:val="left" w:pos="804"/>
        </w:tabs>
        <w:ind w:firstLine="422" w:firstLineChars="200"/>
        <w:rPr>
          <w:rFonts w:hint="eastAsia" w:ascii="Times New Roman" w:hAnsi="Times New Roman" w:eastAsia="宋体" w:cs="Times New Roman"/>
          <w:b/>
          <w:kern w:val="0"/>
          <w:szCs w:val="21"/>
          <w:lang w:eastAsia="zh-CN"/>
        </w:rPr>
      </w:pPr>
      <w:r>
        <w:rPr>
          <w:rFonts w:hint="eastAsia" w:ascii="Times New Roman" w:hAnsi="Times New Roman" w:eastAsia="宋体" w:cs="Times New Roman"/>
          <w:b/>
          <w:kern w:val="0"/>
          <w:szCs w:val="21"/>
        </w:rPr>
        <w:t>注：1.专机配套耗材（试剂）报价将纳入计算经济分</w:t>
      </w:r>
      <w:r>
        <w:rPr>
          <w:rFonts w:hint="eastAsia" w:ascii="Times New Roman" w:hAnsi="Times New Roman" w:eastAsia="宋体" w:cs="Times New Roman"/>
          <w:b/>
          <w:kern w:val="0"/>
          <w:szCs w:val="21"/>
          <w:lang w:eastAsia="zh-CN"/>
        </w:rPr>
        <w:t>，若未报价则视为无效投标。</w:t>
      </w:r>
    </w:p>
    <w:p>
      <w:pPr>
        <w:tabs>
          <w:tab w:val="left" w:pos="804"/>
        </w:tabs>
        <w:ind w:firstLine="843" w:firstLineChars="400"/>
        <w:rPr>
          <w:rFonts w:ascii="Times New Roman" w:hAnsi="Times New Roman" w:eastAsia="宋体" w:cs="Times New Roman"/>
          <w:b/>
          <w:kern w:val="0"/>
          <w:szCs w:val="21"/>
        </w:rPr>
      </w:pPr>
      <w:r>
        <w:rPr>
          <w:rFonts w:hint="eastAsia" w:ascii="Times New Roman" w:hAnsi="Times New Roman" w:eastAsia="宋体" w:cs="Times New Roman"/>
          <w:b/>
          <w:kern w:val="0"/>
          <w:szCs w:val="21"/>
          <w:lang w:val="en-US" w:eastAsia="zh-CN"/>
        </w:rPr>
        <w:t>2</w:t>
      </w:r>
      <w:r>
        <w:rPr>
          <w:rFonts w:hint="eastAsia" w:ascii="Times New Roman" w:hAnsi="Times New Roman" w:eastAsia="宋体" w:cs="Times New Roman"/>
          <w:b/>
          <w:kern w:val="0"/>
          <w:szCs w:val="21"/>
        </w:rPr>
        <w:t>.试剂盒均按单人份报价。</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 xml:space="preserve">投标人全称：（盖章）                                                法定代表人（或授权代表）：（签字或盖章）   </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p>
    <w:p>
      <w:pPr>
        <w:ind w:firstLine="10680" w:firstLineChars="4450"/>
        <w:rPr>
          <w:rFonts w:ascii="宋体" w:hAnsi="宋体" w:eastAsia="宋体" w:cs="Times New Roman"/>
          <w:kern w:val="0"/>
          <w:sz w:val="24"/>
          <w:szCs w:val="24"/>
        </w:rPr>
      </w:pPr>
      <w:r>
        <w:rPr>
          <w:rFonts w:hint="eastAsia" w:ascii="宋体" w:hAnsi="宋体" w:eastAsia="宋体" w:cs="Times New Roman"/>
          <w:kern w:val="0"/>
          <w:sz w:val="24"/>
          <w:szCs w:val="24"/>
        </w:rPr>
        <w:t>年  月  日</w:t>
      </w:r>
    </w:p>
    <w:p>
      <w:pPr>
        <w:rPr>
          <w:rFonts w:ascii="黑体" w:hAnsi="黑体" w:eastAsia="黑体" w:cs="Times New Roman"/>
          <w:kern w:val="0"/>
          <w:sz w:val="32"/>
          <w:szCs w:val="32"/>
        </w:rPr>
      </w:pPr>
    </w:p>
    <w:p>
      <w:pPr>
        <w:rPr>
          <w:rFonts w:ascii="宋体" w:hAnsi="宋体" w:eastAsia="宋体" w:cs="Times New Roman"/>
          <w:color w:val="0000FF"/>
          <w:kern w:val="0"/>
          <w:sz w:val="24"/>
          <w:szCs w:val="24"/>
        </w:rPr>
        <w:sectPr>
          <w:headerReference r:id="rId9"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附件4</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0"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roman"/>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35</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416"/>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3DD9"/>
    <w:rsid w:val="00074448"/>
    <w:rsid w:val="000744D5"/>
    <w:rsid w:val="000803AF"/>
    <w:rsid w:val="00085564"/>
    <w:rsid w:val="000879CB"/>
    <w:rsid w:val="00090C0E"/>
    <w:rsid w:val="00092481"/>
    <w:rsid w:val="00094144"/>
    <w:rsid w:val="00094D66"/>
    <w:rsid w:val="000A01D4"/>
    <w:rsid w:val="000A06E7"/>
    <w:rsid w:val="000A0899"/>
    <w:rsid w:val="000A1FBF"/>
    <w:rsid w:val="000A47EE"/>
    <w:rsid w:val="000A6CE0"/>
    <w:rsid w:val="000A77FA"/>
    <w:rsid w:val="000B0A52"/>
    <w:rsid w:val="000B1714"/>
    <w:rsid w:val="000B1F30"/>
    <w:rsid w:val="000B4FE3"/>
    <w:rsid w:val="000C67A2"/>
    <w:rsid w:val="000D1724"/>
    <w:rsid w:val="000D4E07"/>
    <w:rsid w:val="000E0A9C"/>
    <w:rsid w:val="000E203F"/>
    <w:rsid w:val="000E2378"/>
    <w:rsid w:val="000E441D"/>
    <w:rsid w:val="000F19EE"/>
    <w:rsid w:val="000F241F"/>
    <w:rsid w:val="000F33D5"/>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46138"/>
    <w:rsid w:val="0015050A"/>
    <w:rsid w:val="001509A9"/>
    <w:rsid w:val="00153080"/>
    <w:rsid w:val="00154A37"/>
    <w:rsid w:val="00155AB8"/>
    <w:rsid w:val="00156746"/>
    <w:rsid w:val="00160CAA"/>
    <w:rsid w:val="00161C89"/>
    <w:rsid w:val="00163061"/>
    <w:rsid w:val="001630E5"/>
    <w:rsid w:val="0016323B"/>
    <w:rsid w:val="001670CC"/>
    <w:rsid w:val="00170A53"/>
    <w:rsid w:val="00170CAC"/>
    <w:rsid w:val="001723F0"/>
    <w:rsid w:val="00172E51"/>
    <w:rsid w:val="0017341B"/>
    <w:rsid w:val="00181519"/>
    <w:rsid w:val="001842B9"/>
    <w:rsid w:val="00184BEA"/>
    <w:rsid w:val="00185DCC"/>
    <w:rsid w:val="00185E33"/>
    <w:rsid w:val="00186014"/>
    <w:rsid w:val="00187DDD"/>
    <w:rsid w:val="00190499"/>
    <w:rsid w:val="001946ED"/>
    <w:rsid w:val="00194A09"/>
    <w:rsid w:val="00195A35"/>
    <w:rsid w:val="001967E6"/>
    <w:rsid w:val="001A1DAD"/>
    <w:rsid w:val="001A2431"/>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4EE2"/>
    <w:rsid w:val="00217694"/>
    <w:rsid w:val="00217B83"/>
    <w:rsid w:val="00220449"/>
    <w:rsid w:val="00220BEB"/>
    <w:rsid w:val="00222099"/>
    <w:rsid w:val="002246D0"/>
    <w:rsid w:val="002253F6"/>
    <w:rsid w:val="00230E9D"/>
    <w:rsid w:val="00235E78"/>
    <w:rsid w:val="002367B0"/>
    <w:rsid w:val="002400C7"/>
    <w:rsid w:val="002400C9"/>
    <w:rsid w:val="00241372"/>
    <w:rsid w:val="00244F73"/>
    <w:rsid w:val="0025364F"/>
    <w:rsid w:val="00254550"/>
    <w:rsid w:val="00255ABB"/>
    <w:rsid w:val="002579DE"/>
    <w:rsid w:val="00262608"/>
    <w:rsid w:val="002662C2"/>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5826"/>
    <w:rsid w:val="002C6A11"/>
    <w:rsid w:val="002C7079"/>
    <w:rsid w:val="002C7283"/>
    <w:rsid w:val="002D0966"/>
    <w:rsid w:val="002D331A"/>
    <w:rsid w:val="002D43F5"/>
    <w:rsid w:val="002D5161"/>
    <w:rsid w:val="002D5B51"/>
    <w:rsid w:val="002E011C"/>
    <w:rsid w:val="002E0A0C"/>
    <w:rsid w:val="002E3D9F"/>
    <w:rsid w:val="002E4971"/>
    <w:rsid w:val="002F1927"/>
    <w:rsid w:val="003027C7"/>
    <w:rsid w:val="00302A57"/>
    <w:rsid w:val="00302A79"/>
    <w:rsid w:val="00302BCC"/>
    <w:rsid w:val="00307FC7"/>
    <w:rsid w:val="00310302"/>
    <w:rsid w:val="00312142"/>
    <w:rsid w:val="00314ADF"/>
    <w:rsid w:val="00317B20"/>
    <w:rsid w:val="00320702"/>
    <w:rsid w:val="0032757D"/>
    <w:rsid w:val="0032766C"/>
    <w:rsid w:val="003276E6"/>
    <w:rsid w:val="00333901"/>
    <w:rsid w:val="00335EF0"/>
    <w:rsid w:val="00336DFF"/>
    <w:rsid w:val="0034066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962ED"/>
    <w:rsid w:val="003A1E13"/>
    <w:rsid w:val="003A4FC9"/>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5E96"/>
    <w:rsid w:val="00426402"/>
    <w:rsid w:val="0042719D"/>
    <w:rsid w:val="004350C6"/>
    <w:rsid w:val="004359C8"/>
    <w:rsid w:val="00435AE4"/>
    <w:rsid w:val="004404EB"/>
    <w:rsid w:val="00441D08"/>
    <w:rsid w:val="00443086"/>
    <w:rsid w:val="00443F77"/>
    <w:rsid w:val="00447B5D"/>
    <w:rsid w:val="00447DED"/>
    <w:rsid w:val="00452784"/>
    <w:rsid w:val="00453C16"/>
    <w:rsid w:val="004559AE"/>
    <w:rsid w:val="00455BD3"/>
    <w:rsid w:val="0045635E"/>
    <w:rsid w:val="00456462"/>
    <w:rsid w:val="004569F6"/>
    <w:rsid w:val="00456AED"/>
    <w:rsid w:val="00457F64"/>
    <w:rsid w:val="0046063F"/>
    <w:rsid w:val="00463F09"/>
    <w:rsid w:val="00464557"/>
    <w:rsid w:val="00471BF6"/>
    <w:rsid w:val="00472142"/>
    <w:rsid w:val="00473587"/>
    <w:rsid w:val="00475253"/>
    <w:rsid w:val="00476D8F"/>
    <w:rsid w:val="004817C9"/>
    <w:rsid w:val="0048184A"/>
    <w:rsid w:val="004855DB"/>
    <w:rsid w:val="00486FAC"/>
    <w:rsid w:val="00490B39"/>
    <w:rsid w:val="0049116F"/>
    <w:rsid w:val="00497561"/>
    <w:rsid w:val="004A2AB0"/>
    <w:rsid w:val="004A51A4"/>
    <w:rsid w:val="004B3316"/>
    <w:rsid w:val="004B7A68"/>
    <w:rsid w:val="004C0B0A"/>
    <w:rsid w:val="004C1A39"/>
    <w:rsid w:val="004C6028"/>
    <w:rsid w:val="004C6962"/>
    <w:rsid w:val="004C7646"/>
    <w:rsid w:val="004D09D9"/>
    <w:rsid w:val="004D23FB"/>
    <w:rsid w:val="004D350D"/>
    <w:rsid w:val="004D48E0"/>
    <w:rsid w:val="004E037D"/>
    <w:rsid w:val="004E0BAB"/>
    <w:rsid w:val="004E162D"/>
    <w:rsid w:val="004E18EC"/>
    <w:rsid w:val="004E3F98"/>
    <w:rsid w:val="004E60AD"/>
    <w:rsid w:val="004F4BBC"/>
    <w:rsid w:val="004F53DA"/>
    <w:rsid w:val="004F5759"/>
    <w:rsid w:val="005016FA"/>
    <w:rsid w:val="00501BD3"/>
    <w:rsid w:val="005026E6"/>
    <w:rsid w:val="00505765"/>
    <w:rsid w:val="00505E0B"/>
    <w:rsid w:val="00506149"/>
    <w:rsid w:val="00506678"/>
    <w:rsid w:val="0051161F"/>
    <w:rsid w:val="00512A58"/>
    <w:rsid w:val="00514365"/>
    <w:rsid w:val="005143F2"/>
    <w:rsid w:val="00516724"/>
    <w:rsid w:val="00516B4E"/>
    <w:rsid w:val="00517248"/>
    <w:rsid w:val="005219F7"/>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525"/>
    <w:rsid w:val="00577C87"/>
    <w:rsid w:val="0058033F"/>
    <w:rsid w:val="00592954"/>
    <w:rsid w:val="00593668"/>
    <w:rsid w:val="005A03AA"/>
    <w:rsid w:val="005A4B13"/>
    <w:rsid w:val="005A4B8A"/>
    <w:rsid w:val="005A63B3"/>
    <w:rsid w:val="005B1A5E"/>
    <w:rsid w:val="005B2EA3"/>
    <w:rsid w:val="005B3948"/>
    <w:rsid w:val="005C0D9D"/>
    <w:rsid w:val="005C1F06"/>
    <w:rsid w:val="005C308E"/>
    <w:rsid w:val="005C3150"/>
    <w:rsid w:val="005D0B03"/>
    <w:rsid w:val="005E60DB"/>
    <w:rsid w:val="005F114C"/>
    <w:rsid w:val="005F376D"/>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1C14"/>
    <w:rsid w:val="0067234D"/>
    <w:rsid w:val="006753D8"/>
    <w:rsid w:val="00680410"/>
    <w:rsid w:val="00681868"/>
    <w:rsid w:val="006819DA"/>
    <w:rsid w:val="00682719"/>
    <w:rsid w:val="00684B77"/>
    <w:rsid w:val="0068595F"/>
    <w:rsid w:val="00690B81"/>
    <w:rsid w:val="006933F0"/>
    <w:rsid w:val="00695F8D"/>
    <w:rsid w:val="006962AD"/>
    <w:rsid w:val="0069676E"/>
    <w:rsid w:val="006979A0"/>
    <w:rsid w:val="006A120F"/>
    <w:rsid w:val="006A16F5"/>
    <w:rsid w:val="006A5FB4"/>
    <w:rsid w:val="006A7511"/>
    <w:rsid w:val="006B21E6"/>
    <w:rsid w:val="006B3561"/>
    <w:rsid w:val="006B45F4"/>
    <w:rsid w:val="006B4DF0"/>
    <w:rsid w:val="006B7C2C"/>
    <w:rsid w:val="006C1CF4"/>
    <w:rsid w:val="006C2BE6"/>
    <w:rsid w:val="006C45C6"/>
    <w:rsid w:val="006C4797"/>
    <w:rsid w:val="006C6901"/>
    <w:rsid w:val="006C7151"/>
    <w:rsid w:val="006D2217"/>
    <w:rsid w:val="006E23C5"/>
    <w:rsid w:val="006E3186"/>
    <w:rsid w:val="006E4137"/>
    <w:rsid w:val="006E423C"/>
    <w:rsid w:val="006E44DC"/>
    <w:rsid w:val="006E732A"/>
    <w:rsid w:val="006F116B"/>
    <w:rsid w:val="006F20D7"/>
    <w:rsid w:val="006F4A93"/>
    <w:rsid w:val="006F621C"/>
    <w:rsid w:val="00700EA9"/>
    <w:rsid w:val="00701994"/>
    <w:rsid w:val="007048F0"/>
    <w:rsid w:val="00705C57"/>
    <w:rsid w:val="00706B94"/>
    <w:rsid w:val="00707587"/>
    <w:rsid w:val="00712CBC"/>
    <w:rsid w:val="007144A6"/>
    <w:rsid w:val="007154D8"/>
    <w:rsid w:val="00723750"/>
    <w:rsid w:val="0072438F"/>
    <w:rsid w:val="00724A15"/>
    <w:rsid w:val="00724F47"/>
    <w:rsid w:val="007264A9"/>
    <w:rsid w:val="00726DAE"/>
    <w:rsid w:val="007270F6"/>
    <w:rsid w:val="007302D1"/>
    <w:rsid w:val="007335ED"/>
    <w:rsid w:val="00733A42"/>
    <w:rsid w:val="00733BDD"/>
    <w:rsid w:val="00733F31"/>
    <w:rsid w:val="00742283"/>
    <w:rsid w:val="00750539"/>
    <w:rsid w:val="00751CB1"/>
    <w:rsid w:val="00756B53"/>
    <w:rsid w:val="00760AB4"/>
    <w:rsid w:val="00765BBC"/>
    <w:rsid w:val="00767719"/>
    <w:rsid w:val="00767AAD"/>
    <w:rsid w:val="0077100A"/>
    <w:rsid w:val="0077103A"/>
    <w:rsid w:val="00771F5D"/>
    <w:rsid w:val="00772B5D"/>
    <w:rsid w:val="007731DA"/>
    <w:rsid w:val="0077339D"/>
    <w:rsid w:val="0077559A"/>
    <w:rsid w:val="00776432"/>
    <w:rsid w:val="007764C1"/>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14E"/>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072E7"/>
    <w:rsid w:val="00810E36"/>
    <w:rsid w:val="00813A34"/>
    <w:rsid w:val="00817F8B"/>
    <w:rsid w:val="00820413"/>
    <w:rsid w:val="00820845"/>
    <w:rsid w:val="0082198C"/>
    <w:rsid w:val="00825390"/>
    <w:rsid w:val="0083046E"/>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676F8"/>
    <w:rsid w:val="00871A2A"/>
    <w:rsid w:val="00871AA1"/>
    <w:rsid w:val="008731D1"/>
    <w:rsid w:val="00881A2F"/>
    <w:rsid w:val="008879B2"/>
    <w:rsid w:val="00890364"/>
    <w:rsid w:val="00892407"/>
    <w:rsid w:val="00894FD2"/>
    <w:rsid w:val="00895983"/>
    <w:rsid w:val="008A0E95"/>
    <w:rsid w:val="008A3925"/>
    <w:rsid w:val="008A5296"/>
    <w:rsid w:val="008A707C"/>
    <w:rsid w:val="008B40F1"/>
    <w:rsid w:val="008B5D3A"/>
    <w:rsid w:val="008B7F5D"/>
    <w:rsid w:val="008C012A"/>
    <w:rsid w:val="008C07D8"/>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585A"/>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C6DE5"/>
    <w:rsid w:val="009D06C0"/>
    <w:rsid w:val="009D217C"/>
    <w:rsid w:val="009D403B"/>
    <w:rsid w:val="009E48BE"/>
    <w:rsid w:val="009F16A1"/>
    <w:rsid w:val="009F315B"/>
    <w:rsid w:val="00A03529"/>
    <w:rsid w:val="00A05A0E"/>
    <w:rsid w:val="00A0656E"/>
    <w:rsid w:val="00A11831"/>
    <w:rsid w:val="00A11DC2"/>
    <w:rsid w:val="00A1300A"/>
    <w:rsid w:val="00A1323F"/>
    <w:rsid w:val="00A1585E"/>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369C"/>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5644"/>
    <w:rsid w:val="00B07ACA"/>
    <w:rsid w:val="00B14E99"/>
    <w:rsid w:val="00B16B77"/>
    <w:rsid w:val="00B16D32"/>
    <w:rsid w:val="00B20AA0"/>
    <w:rsid w:val="00B24395"/>
    <w:rsid w:val="00B24DE3"/>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668BC"/>
    <w:rsid w:val="00B70AC4"/>
    <w:rsid w:val="00B74023"/>
    <w:rsid w:val="00B74539"/>
    <w:rsid w:val="00B80255"/>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16AB"/>
    <w:rsid w:val="00BF571D"/>
    <w:rsid w:val="00BF60B1"/>
    <w:rsid w:val="00BF6A61"/>
    <w:rsid w:val="00C0287F"/>
    <w:rsid w:val="00C02CD6"/>
    <w:rsid w:val="00C03359"/>
    <w:rsid w:val="00C05979"/>
    <w:rsid w:val="00C05988"/>
    <w:rsid w:val="00C05E71"/>
    <w:rsid w:val="00C116BF"/>
    <w:rsid w:val="00C11807"/>
    <w:rsid w:val="00C1522D"/>
    <w:rsid w:val="00C17C0C"/>
    <w:rsid w:val="00C17E1B"/>
    <w:rsid w:val="00C257E3"/>
    <w:rsid w:val="00C3022B"/>
    <w:rsid w:val="00C3311B"/>
    <w:rsid w:val="00C41960"/>
    <w:rsid w:val="00C4330B"/>
    <w:rsid w:val="00C43C6F"/>
    <w:rsid w:val="00C475A2"/>
    <w:rsid w:val="00C5179F"/>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5D26"/>
    <w:rsid w:val="00CB63F6"/>
    <w:rsid w:val="00CC788E"/>
    <w:rsid w:val="00CD1389"/>
    <w:rsid w:val="00CD3A99"/>
    <w:rsid w:val="00CD408F"/>
    <w:rsid w:val="00CD46E0"/>
    <w:rsid w:val="00CD58CF"/>
    <w:rsid w:val="00CE16C5"/>
    <w:rsid w:val="00CE2D8D"/>
    <w:rsid w:val="00CE2D97"/>
    <w:rsid w:val="00CE3C32"/>
    <w:rsid w:val="00CE48C7"/>
    <w:rsid w:val="00CF0024"/>
    <w:rsid w:val="00CF40F3"/>
    <w:rsid w:val="00CF4B59"/>
    <w:rsid w:val="00CF5B6D"/>
    <w:rsid w:val="00CF644A"/>
    <w:rsid w:val="00CF699B"/>
    <w:rsid w:val="00CF6D7C"/>
    <w:rsid w:val="00D03D3C"/>
    <w:rsid w:val="00D06FF8"/>
    <w:rsid w:val="00D10DF2"/>
    <w:rsid w:val="00D15E56"/>
    <w:rsid w:val="00D1612C"/>
    <w:rsid w:val="00D16290"/>
    <w:rsid w:val="00D162FA"/>
    <w:rsid w:val="00D168DD"/>
    <w:rsid w:val="00D17A0C"/>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1CB6"/>
    <w:rsid w:val="00DA3CE5"/>
    <w:rsid w:val="00DA48E1"/>
    <w:rsid w:val="00DA4AA0"/>
    <w:rsid w:val="00DA518F"/>
    <w:rsid w:val="00DB0D05"/>
    <w:rsid w:val="00DB1953"/>
    <w:rsid w:val="00DB3B93"/>
    <w:rsid w:val="00DB5A86"/>
    <w:rsid w:val="00DB7520"/>
    <w:rsid w:val="00DC1D0F"/>
    <w:rsid w:val="00DC3528"/>
    <w:rsid w:val="00DC4321"/>
    <w:rsid w:val="00DC6423"/>
    <w:rsid w:val="00DD153E"/>
    <w:rsid w:val="00DD2C6F"/>
    <w:rsid w:val="00DD45CF"/>
    <w:rsid w:val="00DE009D"/>
    <w:rsid w:val="00DE45D1"/>
    <w:rsid w:val="00DE7B31"/>
    <w:rsid w:val="00DF1C4D"/>
    <w:rsid w:val="00DF28D9"/>
    <w:rsid w:val="00DF6112"/>
    <w:rsid w:val="00DF6760"/>
    <w:rsid w:val="00E0008D"/>
    <w:rsid w:val="00E016D8"/>
    <w:rsid w:val="00E03D99"/>
    <w:rsid w:val="00E048AE"/>
    <w:rsid w:val="00E06573"/>
    <w:rsid w:val="00E06D28"/>
    <w:rsid w:val="00E14E70"/>
    <w:rsid w:val="00E156DA"/>
    <w:rsid w:val="00E16F6C"/>
    <w:rsid w:val="00E225F7"/>
    <w:rsid w:val="00E270B5"/>
    <w:rsid w:val="00E36E55"/>
    <w:rsid w:val="00E374ED"/>
    <w:rsid w:val="00E40040"/>
    <w:rsid w:val="00E4209B"/>
    <w:rsid w:val="00E426FF"/>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16CB"/>
    <w:rsid w:val="00E9244B"/>
    <w:rsid w:val="00E9607A"/>
    <w:rsid w:val="00E965A5"/>
    <w:rsid w:val="00EA3D5B"/>
    <w:rsid w:val="00EA5DD8"/>
    <w:rsid w:val="00EB01B3"/>
    <w:rsid w:val="00EB07EA"/>
    <w:rsid w:val="00EB0CD8"/>
    <w:rsid w:val="00EB1CF7"/>
    <w:rsid w:val="00EB77AB"/>
    <w:rsid w:val="00EC1372"/>
    <w:rsid w:val="00EC1B85"/>
    <w:rsid w:val="00EC40D0"/>
    <w:rsid w:val="00EC4B43"/>
    <w:rsid w:val="00EC6918"/>
    <w:rsid w:val="00EC6932"/>
    <w:rsid w:val="00EC6B72"/>
    <w:rsid w:val="00ED05D5"/>
    <w:rsid w:val="00ED286F"/>
    <w:rsid w:val="00ED2949"/>
    <w:rsid w:val="00ED5C76"/>
    <w:rsid w:val="00ED78A2"/>
    <w:rsid w:val="00EE05DE"/>
    <w:rsid w:val="00EE4199"/>
    <w:rsid w:val="00EE5EF0"/>
    <w:rsid w:val="00EF3F37"/>
    <w:rsid w:val="00F04056"/>
    <w:rsid w:val="00F07135"/>
    <w:rsid w:val="00F07E6A"/>
    <w:rsid w:val="00F10D6E"/>
    <w:rsid w:val="00F125D8"/>
    <w:rsid w:val="00F1490A"/>
    <w:rsid w:val="00F16EEB"/>
    <w:rsid w:val="00F2090E"/>
    <w:rsid w:val="00F213F7"/>
    <w:rsid w:val="00F33B8D"/>
    <w:rsid w:val="00F34D85"/>
    <w:rsid w:val="00F365B1"/>
    <w:rsid w:val="00F36DC0"/>
    <w:rsid w:val="00F3735E"/>
    <w:rsid w:val="00F433EA"/>
    <w:rsid w:val="00F445B0"/>
    <w:rsid w:val="00F474FC"/>
    <w:rsid w:val="00F52461"/>
    <w:rsid w:val="00F54005"/>
    <w:rsid w:val="00F5595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2727166"/>
    <w:rsid w:val="06232643"/>
    <w:rsid w:val="0C8B0B2D"/>
    <w:rsid w:val="126A0557"/>
    <w:rsid w:val="15663E34"/>
    <w:rsid w:val="17A94AD4"/>
    <w:rsid w:val="1EFF6212"/>
    <w:rsid w:val="2D8B07F1"/>
    <w:rsid w:val="3B6A72F4"/>
    <w:rsid w:val="3CF1754D"/>
    <w:rsid w:val="3DAF50B2"/>
    <w:rsid w:val="430B4DA2"/>
    <w:rsid w:val="492A7D3A"/>
    <w:rsid w:val="4A5C3FBC"/>
    <w:rsid w:val="4BBA56C3"/>
    <w:rsid w:val="51B62F63"/>
    <w:rsid w:val="52F2154F"/>
    <w:rsid w:val="6A3E4BB5"/>
    <w:rsid w:val="6D221395"/>
    <w:rsid w:val="75B6553F"/>
    <w:rsid w:val="7DFA3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列表段落1"/>
    <w:basedOn w:val="1"/>
    <w:qFormat/>
    <w:uiPriority w:val="34"/>
    <w:pPr>
      <w:ind w:firstLine="420" w:firstLineChars="200"/>
    </w:pPr>
    <w:rPr>
      <w:rFonts w:ascii="等线" w:hAnsi="等线" w:eastAsia="等线" w:cs="Times New Roman"/>
    </w:rPr>
  </w:style>
  <w:style w:type="paragraph" w:customStyle="1" w:styleId="48">
    <w:name w:val="Table Paragraph"/>
    <w:basedOn w:val="1"/>
    <w:qFormat/>
    <w:uiPriority w:val="1"/>
    <w:pPr>
      <w:spacing w:line="360" w:lineRule="auto"/>
      <w:ind w:left="503"/>
      <w:jc w:val="center"/>
    </w:pPr>
    <w:rPr>
      <w:rFonts w:ascii="宋体" w:hAnsi="宋体" w:eastAsia="宋体" w:cs="宋体"/>
      <w:sz w:val="24"/>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258283-353A-4647-8859-57FDD53FFAB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5089</Words>
  <Characters>29008</Characters>
  <Lines>241</Lines>
  <Paragraphs>68</Paragraphs>
  <TotalTime>6</TotalTime>
  <ScaleCrop>false</ScaleCrop>
  <LinksUpToDate>false</LinksUpToDate>
  <CharactersWithSpaces>34029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2021-02-01T01:23:15Z</cp:lastPrinted>
  <dcterms:modified xsi:type="dcterms:W3CDTF">2021-02-01T01:25:52Z</dcterms:modified>
  <cp:revision>331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