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琼脂糖平板电泳仪（7X7cm）</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琼脂糖平板电泳仪（7X7cm）</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琼脂糖平板电泳仪（7X7cm）</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琼脂糖平板电泳仪（7X7cm）</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琼脂糖平板电泳仪（7X7cm）</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琼脂糖平板电泳仪（7X7cm）</w:t>
      </w:r>
      <w:r>
        <w:rPr>
          <w:rFonts w:hint="eastAsia" w:ascii="方正小标宋简体" w:hAnsi="宋体" w:eastAsia="方正小标宋简体" w:cs="宋体"/>
          <w:bCs/>
          <w:kern w:val="0"/>
          <w:sz w:val="40"/>
          <w:szCs w:val="44"/>
        </w:rPr>
        <w:t>技术参</w:t>
      </w:r>
      <w:r>
        <w:rPr>
          <w:rFonts w:hint="eastAsia" w:ascii="方正小标宋简体" w:hAnsi="宋体" w:eastAsia="方正小标宋简体" w:cs="宋体"/>
          <w:bCs/>
          <w:kern w:val="0"/>
          <w:sz w:val="40"/>
          <w:szCs w:val="44"/>
          <w:lang w:eastAsia="zh-CN"/>
        </w:rPr>
        <w:t>要求</w:t>
      </w:r>
    </w:p>
    <w:tbl>
      <w:tblPr>
        <w:tblStyle w:val="17"/>
        <w:tblW w:w="9087" w:type="dxa"/>
        <w:jc w:val="center"/>
        <w:tblLayout w:type="fixed"/>
        <w:tblCellMar>
          <w:top w:w="0" w:type="dxa"/>
          <w:left w:w="108" w:type="dxa"/>
          <w:bottom w:w="0" w:type="dxa"/>
          <w:right w:w="108" w:type="dxa"/>
        </w:tblCellMar>
      </w:tblPr>
      <w:tblGrid>
        <w:gridCol w:w="749"/>
        <w:gridCol w:w="1698"/>
        <w:gridCol w:w="6013"/>
        <w:gridCol w:w="627"/>
      </w:tblGrid>
      <w:tr>
        <w:tblPrEx>
          <w:tblCellMar>
            <w:top w:w="0" w:type="dxa"/>
            <w:left w:w="108" w:type="dxa"/>
            <w:bottom w:w="0" w:type="dxa"/>
            <w:right w:w="108" w:type="dxa"/>
          </w:tblCellMar>
        </w:tblPrEx>
        <w:trPr>
          <w:trHeight w:val="524" w:hRule="atLeast"/>
          <w:tblHeader/>
          <w:jc w:val="center"/>
        </w:trPr>
        <w:tc>
          <w:tcPr>
            <w:tcW w:w="74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69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601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627"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803"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1</w:t>
            </w:r>
          </w:p>
        </w:tc>
        <w:tc>
          <w:tcPr>
            <w:tcW w:w="169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60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503"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1.1</w:t>
            </w:r>
          </w:p>
        </w:tc>
        <w:tc>
          <w:tcPr>
            <w:tcW w:w="169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设备用途</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核酸水平电泳</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r>
              <w:rPr>
                <w:rFonts w:hint="eastAsia" w:asciiTheme="minorEastAsia" w:hAnsiTheme="minorEastAsia"/>
                <w:color w:val="000000"/>
                <w:szCs w:val="21"/>
              </w:rPr>
              <w:t>　</w:t>
            </w:r>
          </w:p>
        </w:tc>
      </w:tr>
      <w:tr>
        <w:tblPrEx>
          <w:tblCellMar>
            <w:top w:w="0" w:type="dxa"/>
            <w:left w:w="108" w:type="dxa"/>
            <w:bottom w:w="0" w:type="dxa"/>
            <w:right w:w="108" w:type="dxa"/>
          </w:tblCellMar>
        </w:tblPrEx>
        <w:trPr>
          <w:trHeight w:val="613" w:hRule="atLeast"/>
          <w:jc w:val="center"/>
        </w:trPr>
        <w:tc>
          <w:tcPr>
            <w:tcW w:w="749"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1.2</w:t>
            </w:r>
          </w:p>
        </w:tc>
        <w:tc>
          <w:tcPr>
            <w:tcW w:w="169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601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p>
        </w:tc>
        <w:tc>
          <w:tcPr>
            <w:tcW w:w="627" w:type="dxa"/>
            <w:tcBorders>
              <w:top w:val="single" w:color="auto" w:sz="4" w:space="0"/>
              <w:left w:val="nil"/>
              <w:bottom w:val="single" w:color="auto" w:sz="4" w:space="0"/>
              <w:right w:val="single" w:color="auto" w:sz="8" w:space="0"/>
            </w:tcBorders>
            <w:shd w:val="clear" w:color="000000" w:fill="auto"/>
            <w:vAlign w:val="center"/>
          </w:tcPr>
          <w:p>
            <w:pPr>
              <w:rPr>
                <w:rFonts w:cs="宋体" w:asciiTheme="minorEastAsia" w:hAnsiTheme="minorEastAsia"/>
                <w:color w:val="000000"/>
                <w:szCs w:val="21"/>
              </w:rPr>
            </w:pPr>
            <w:r>
              <w:rPr>
                <w:rFonts w:hint="eastAsia" w:asciiTheme="minorEastAsia" w:hAnsiTheme="minorEastAsia"/>
                <w:color w:val="000000"/>
                <w:szCs w:val="21"/>
              </w:rPr>
              <w:t>　</w:t>
            </w:r>
          </w:p>
        </w:tc>
      </w:tr>
      <w:tr>
        <w:tblPrEx>
          <w:tblCellMar>
            <w:top w:w="0" w:type="dxa"/>
            <w:left w:w="108" w:type="dxa"/>
            <w:bottom w:w="0" w:type="dxa"/>
            <w:right w:w="108" w:type="dxa"/>
          </w:tblCellMar>
        </w:tblPrEx>
        <w:trPr>
          <w:trHeight w:val="466"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Cs/>
                <w:kern w:val="0"/>
                <w:szCs w:val="21"/>
              </w:rPr>
            </w:pPr>
            <w:r>
              <w:rPr>
                <w:rFonts w:hint="eastAsia" w:cs="宋体" w:asciiTheme="minorEastAsia" w:hAnsiTheme="minorEastAsia"/>
                <w:bCs/>
                <w:kern w:val="0"/>
                <w:szCs w:val="21"/>
              </w:rPr>
              <w:t>1.3</w:t>
            </w:r>
          </w:p>
        </w:tc>
        <w:tc>
          <w:tcPr>
            <w:tcW w:w="169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b/>
                <w:bCs/>
                <w:color w:val="000000"/>
                <w:szCs w:val="21"/>
              </w:rPr>
            </w:pPr>
            <w:r>
              <w:rPr>
                <w:rFonts w:hint="eastAsia" w:asciiTheme="minorEastAsia" w:hAnsiTheme="minorEastAsia"/>
                <w:b/>
                <w:bCs/>
                <w:color w:val="000000"/>
                <w:szCs w:val="21"/>
              </w:rPr>
              <w:t>　</w:t>
            </w:r>
          </w:p>
        </w:tc>
      </w:tr>
      <w:tr>
        <w:tblPrEx>
          <w:tblCellMar>
            <w:top w:w="0" w:type="dxa"/>
            <w:left w:w="108" w:type="dxa"/>
            <w:bottom w:w="0" w:type="dxa"/>
            <w:right w:w="108" w:type="dxa"/>
          </w:tblCellMar>
        </w:tblPrEx>
        <w:trPr>
          <w:trHeight w:val="519"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kern w:val="0"/>
                <w:szCs w:val="21"/>
              </w:rPr>
            </w:pPr>
            <w:r>
              <w:rPr>
                <w:rFonts w:hint="eastAsia" w:cs="宋体" w:asciiTheme="minorEastAsia" w:hAnsiTheme="minorEastAsia"/>
                <w:b/>
                <w:kern w:val="0"/>
                <w:szCs w:val="21"/>
              </w:rPr>
              <w:t>2</w:t>
            </w:r>
          </w:p>
        </w:tc>
        <w:tc>
          <w:tcPr>
            <w:tcW w:w="169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主要技术参数</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　</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r>
              <w:rPr>
                <w:rFonts w:hint="eastAsia" w:asciiTheme="minorEastAsia" w:hAnsiTheme="minorEastAsia"/>
                <w:color w:val="000000"/>
                <w:szCs w:val="21"/>
              </w:rPr>
              <w:t>　</w:t>
            </w:r>
          </w:p>
        </w:tc>
      </w:tr>
      <w:tr>
        <w:tblPrEx>
          <w:tblCellMar>
            <w:top w:w="0" w:type="dxa"/>
            <w:left w:w="108" w:type="dxa"/>
            <w:bottom w:w="0" w:type="dxa"/>
            <w:right w:w="108" w:type="dxa"/>
          </w:tblCellMar>
        </w:tblPrEx>
        <w:trPr>
          <w:trHeight w:val="1566"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2.1</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★参数1</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szCs w:val="21"/>
              </w:rPr>
            </w:pPr>
            <w:r>
              <w:rPr>
                <w:rFonts w:hint="eastAsia" w:asciiTheme="minorEastAsia" w:hAnsiTheme="minorEastAsia"/>
                <w:color w:val="000000"/>
                <w:szCs w:val="21"/>
              </w:rPr>
              <w:t>单次电泳样品量至少30个，具有</w:t>
            </w:r>
            <w:r>
              <w:rPr>
                <w:rFonts w:hint="eastAsia" w:cs="宋体" w:asciiTheme="minorEastAsia" w:hAnsiTheme="minorEastAsia"/>
                <w:szCs w:val="21"/>
              </w:rPr>
              <w:t>多通道移液器兼容电泳梳、高度固定的 drop-in 电泳梳、高度可调节的电泳梳和制备型电泳梳可选</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351"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2.2</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cs="Times New Roman" w:asciiTheme="minorEastAsia" w:hAnsiTheme="minorEastAsia"/>
                <w:kern w:val="0"/>
                <w:szCs w:val="21"/>
                <w:lang w:val="zh-CN"/>
              </w:rPr>
              <w:t>▲</w:t>
            </w:r>
            <w:r>
              <w:rPr>
                <w:rFonts w:hint="eastAsia" w:asciiTheme="minorEastAsia" w:hAnsiTheme="minorEastAsia"/>
                <w:color w:val="000000"/>
                <w:szCs w:val="21"/>
              </w:rPr>
              <w:t>参数2</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电极易于取出，易于清洁</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78"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2.3</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cs="Times New Roman" w:asciiTheme="minorEastAsia" w:hAnsiTheme="minorEastAsia"/>
                <w:kern w:val="0"/>
                <w:szCs w:val="21"/>
                <w:lang w:val="zh-CN"/>
              </w:rPr>
              <w:t>▲</w:t>
            </w:r>
            <w:r>
              <w:rPr>
                <w:rFonts w:hint="eastAsia" w:asciiTheme="minorEastAsia" w:hAnsiTheme="minorEastAsia"/>
                <w:color w:val="000000"/>
                <w:szCs w:val="21"/>
              </w:rPr>
              <w:t>参数3</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具有长卸装栓，可防止错误开关盖，避免缓冲液飞溅</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868"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2.4</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参数4</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具有7X10cm和7X7cm盛胶盘可选，盛胶盘带有紫外透明的荧光标识</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21"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2.5</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cs="宋体" w:asciiTheme="minorEastAsia" w:hAnsiTheme="minorEastAsia"/>
                <w:color w:val="000000"/>
                <w:szCs w:val="21"/>
              </w:rPr>
            </w:pPr>
            <w:r>
              <w:rPr>
                <w:rFonts w:hint="eastAsia" w:asciiTheme="minorEastAsia" w:hAnsiTheme="minorEastAsia"/>
                <w:color w:val="000000"/>
                <w:szCs w:val="21"/>
              </w:rPr>
              <w:t>参数5</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缓冲液容量：≥270mL</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r>
              <w:rPr>
                <w:rFonts w:hint="eastAsia" w:asciiTheme="minorEastAsia" w:hAnsiTheme="minorEastAsia"/>
                <w:color w:val="000000"/>
                <w:szCs w:val="21"/>
              </w:rPr>
              <w:t>　</w:t>
            </w:r>
          </w:p>
        </w:tc>
      </w:tr>
      <w:tr>
        <w:tblPrEx>
          <w:tblCellMar>
            <w:top w:w="0" w:type="dxa"/>
            <w:left w:w="108" w:type="dxa"/>
            <w:bottom w:w="0" w:type="dxa"/>
            <w:right w:w="108" w:type="dxa"/>
          </w:tblCellMar>
        </w:tblPrEx>
        <w:trPr>
          <w:trHeight w:val="369"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Theme="minorEastAsia" w:hAnsiTheme="minorEastAsia"/>
                <w:color w:val="000000"/>
                <w:szCs w:val="21"/>
              </w:rPr>
            </w:pPr>
            <w:r>
              <w:rPr>
                <w:rFonts w:hint="eastAsia" w:asciiTheme="minorEastAsia" w:hAnsiTheme="minorEastAsia"/>
                <w:color w:val="000000"/>
                <w:szCs w:val="21"/>
              </w:rPr>
              <w:t>2.6</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Theme="minorEastAsia" w:hAnsiTheme="minorEastAsia"/>
                <w:color w:val="000000"/>
                <w:szCs w:val="21"/>
              </w:rPr>
            </w:pPr>
            <w:r>
              <w:rPr>
                <w:rFonts w:hint="eastAsia" w:asciiTheme="minorEastAsia" w:hAnsiTheme="minorEastAsia"/>
                <w:color w:val="000000"/>
                <w:szCs w:val="21"/>
              </w:rPr>
              <w:t>参数6</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asciiTheme="minorEastAsia" w:hAnsiTheme="minorEastAsia"/>
                <w:color w:val="000000"/>
                <w:szCs w:val="21"/>
              </w:rPr>
            </w:pPr>
            <w:r>
              <w:rPr>
                <w:rFonts w:hint="eastAsia" w:asciiTheme="minorEastAsia" w:hAnsiTheme="minorEastAsia"/>
                <w:color w:val="000000"/>
                <w:szCs w:val="21"/>
              </w:rPr>
              <w:t>电泳槽为注塑一次成形</w:t>
            </w:r>
          </w:p>
        </w:tc>
        <w:tc>
          <w:tcPr>
            <w:tcW w:w="627" w:type="dxa"/>
            <w:tcBorders>
              <w:top w:val="nil"/>
              <w:left w:val="nil"/>
              <w:bottom w:val="single" w:color="auto" w:sz="4" w:space="0"/>
              <w:right w:val="single" w:color="auto" w:sz="8" w:space="0"/>
            </w:tcBorders>
            <w:vAlign w:val="center"/>
          </w:tcPr>
          <w:p>
            <w:pPr>
              <w:rPr>
                <w:rFonts w:asciiTheme="minorEastAsia" w:hAnsiTheme="minorEastAsia"/>
                <w:color w:val="000000"/>
                <w:szCs w:val="21"/>
              </w:rPr>
            </w:pPr>
          </w:p>
        </w:tc>
      </w:tr>
      <w:tr>
        <w:tblPrEx>
          <w:tblCellMar>
            <w:top w:w="0" w:type="dxa"/>
            <w:left w:w="108" w:type="dxa"/>
            <w:bottom w:w="0" w:type="dxa"/>
            <w:right w:w="108" w:type="dxa"/>
          </w:tblCellMar>
        </w:tblPrEx>
        <w:trPr>
          <w:trHeight w:val="316" w:hRule="atLeast"/>
          <w:jc w:val="center"/>
        </w:trPr>
        <w:tc>
          <w:tcPr>
            <w:tcW w:w="749" w:type="dxa"/>
            <w:tcBorders>
              <w:top w:val="nil"/>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Theme="minorEastAsia" w:hAnsiTheme="minorEastAsia"/>
                <w:color w:val="000000"/>
                <w:szCs w:val="21"/>
              </w:rPr>
            </w:pPr>
            <w:r>
              <w:rPr>
                <w:rFonts w:hint="eastAsia" w:asciiTheme="minorEastAsia" w:hAnsiTheme="minorEastAsia"/>
                <w:color w:val="000000"/>
                <w:szCs w:val="21"/>
              </w:rPr>
              <w:t>2.7</w:t>
            </w:r>
          </w:p>
        </w:tc>
        <w:tc>
          <w:tcPr>
            <w:tcW w:w="169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Theme="minorEastAsia" w:hAnsiTheme="minorEastAsia"/>
                <w:color w:val="000000"/>
                <w:szCs w:val="21"/>
              </w:rPr>
            </w:pPr>
            <w:r>
              <w:rPr>
                <w:rFonts w:hint="eastAsia" w:asciiTheme="minorEastAsia" w:hAnsiTheme="minorEastAsia"/>
                <w:color w:val="000000"/>
                <w:szCs w:val="21"/>
              </w:rPr>
              <w:t>参数7</w:t>
            </w:r>
          </w:p>
        </w:tc>
        <w:tc>
          <w:tcPr>
            <w:tcW w:w="60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asciiTheme="minorEastAsia" w:hAnsiTheme="minorEastAsia"/>
                <w:color w:val="000000"/>
                <w:szCs w:val="21"/>
              </w:rPr>
            </w:pPr>
            <w:r>
              <w:rPr>
                <w:rFonts w:hint="eastAsia" w:asciiTheme="minorEastAsia" w:hAnsiTheme="minorEastAsia"/>
                <w:color w:val="000000"/>
                <w:szCs w:val="21"/>
              </w:rPr>
              <w:t>胶面积：7X10cm或者7X7cm</w:t>
            </w:r>
          </w:p>
        </w:tc>
        <w:tc>
          <w:tcPr>
            <w:tcW w:w="627" w:type="dxa"/>
            <w:tcBorders>
              <w:top w:val="nil"/>
              <w:left w:val="nil"/>
              <w:bottom w:val="single" w:color="auto" w:sz="4" w:space="0"/>
              <w:right w:val="single" w:color="auto" w:sz="8" w:space="0"/>
            </w:tcBorders>
            <w:vAlign w:val="center"/>
          </w:tcPr>
          <w:p>
            <w:pPr>
              <w:rPr>
                <w:rFonts w:asciiTheme="minorEastAsia" w:hAnsiTheme="minorEastAsia"/>
                <w:color w:val="000000"/>
                <w:szCs w:val="21"/>
              </w:rPr>
            </w:pPr>
          </w:p>
        </w:tc>
      </w:tr>
      <w:tr>
        <w:tblPrEx>
          <w:tblCellMar>
            <w:top w:w="0" w:type="dxa"/>
            <w:left w:w="108" w:type="dxa"/>
            <w:bottom w:w="0" w:type="dxa"/>
            <w:right w:w="108" w:type="dxa"/>
          </w:tblCellMar>
        </w:tblPrEx>
        <w:trPr>
          <w:trHeight w:val="868"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w:t>
            </w:r>
          </w:p>
        </w:tc>
        <w:tc>
          <w:tcPr>
            <w:tcW w:w="1698" w:type="dxa"/>
            <w:tcBorders>
              <w:top w:val="nil"/>
              <w:left w:val="nil"/>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配置1</w:t>
            </w:r>
          </w:p>
        </w:tc>
        <w:tc>
          <w:tcPr>
            <w:tcW w:w="6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cs="宋体" w:asciiTheme="minorEastAsia" w:hAnsiTheme="minorEastAsia"/>
                <w:color w:val="000000"/>
                <w:szCs w:val="21"/>
              </w:rPr>
            </w:pPr>
            <w:r>
              <w:rPr>
                <w:rFonts w:hint="eastAsia" w:asciiTheme="minorEastAsia" w:hAnsiTheme="minorEastAsia"/>
                <w:color w:val="000000"/>
                <w:szCs w:val="21"/>
              </w:rPr>
              <w:t>小型水平电泳槽(每套包括水平槽1个，带有荧光尺的紫外透明盛胶盘1块，1.5mm厚，8孔和15孔梳子各1把，带专业制胶器1个)</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w:t>
            </w:r>
          </w:p>
        </w:tc>
        <w:tc>
          <w:tcPr>
            <w:tcW w:w="1698" w:type="dxa"/>
            <w:tcBorders>
              <w:top w:val="nil"/>
              <w:left w:val="nil"/>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配置2</w:t>
            </w:r>
          </w:p>
        </w:tc>
        <w:tc>
          <w:tcPr>
            <w:tcW w:w="6013" w:type="dxa"/>
            <w:tcBorders>
              <w:top w:val="nil"/>
              <w:left w:val="nil"/>
              <w:bottom w:val="single" w:color="auto" w:sz="4" w:space="0"/>
              <w:right w:val="single" w:color="auto" w:sz="4" w:space="0"/>
            </w:tcBorders>
            <w:vAlign w:val="center"/>
          </w:tcPr>
          <w:p>
            <w:pPr>
              <w:rPr>
                <w:rFonts w:cs="宋体" w:asciiTheme="minorEastAsia" w:hAnsiTheme="minorEastAsia"/>
                <w:color w:val="000000"/>
                <w:szCs w:val="21"/>
              </w:rPr>
            </w:pPr>
            <w:r>
              <w:rPr>
                <w:rFonts w:hint="eastAsia" w:asciiTheme="minorEastAsia" w:hAnsiTheme="minorEastAsia"/>
                <w:color w:val="000000"/>
                <w:szCs w:val="21"/>
              </w:rPr>
              <w:t>1.5mm厚，8孔和15孔梳子各10把</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2"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049"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169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60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E98286B"/>
    <w:rsid w:val="1EEF51FE"/>
    <w:rsid w:val="1F1C3038"/>
    <w:rsid w:val="28721247"/>
    <w:rsid w:val="3BB30E33"/>
    <w:rsid w:val="464E6EBE"/>
    <w:rsid w:val="47881864"/>
    <w:rsid w:val="48ED6FEB"/>
    <w:rsid w:val="541A0AD3"/>
    <w:rsid w:val="54507F18"/>
    <w:rsid w:val="60931FBB"/>
    <w:rsid w:val="648F679F"/>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5</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2021-02-17T02:33:56Z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