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垂直电泳槽（75 × 100mm）</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垂直电泳槽（75 × 100mm）</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垂直电泳槽（75 × 100mm）</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垂直电泳槽（75 × 100mm）</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垂直电泳槽（75 × 100mm）</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rPr>
        <w:t>垂直电泳槽（</w:t>
      </w:r>
      <w:r>
        <w:rPr>
          <w:rFonts w:hint="eastAsia" w:ascii="方正小标宋简体" w:hAnsi="等线" w:eastAsia="方正小标宋简体" w:cs="Arial"/>
          <w:color w:val="000000"/>
          <w:sz w:val="40"/>
          <w:szCs w:val="36"/>
          <w:shd w:val="clear" w:color="auto" w:fill="FFFFFF"/>
        </w:rPr>
        <w:t>75 × 100mm）</w:t>
      </w:r>
      <w:r>
        <w:rPr>
          <w:rFonts w:hint="eastAsia" w:ascii="方正小标宋简体" w:hAnsi="等线" w:eastAsia="方正小标宋简体" w:cs="宋体"/>
          <w:kern w:val="0"/>
          <w:sz w:val="40"/>
          <w:szCs w:val="36"/>
          <w:lang w:eastAsia="zh-CN"/>
        </w:rPr>
        <w:t>技术要求</w:t>
      </w:r>
    </w:p>
    <w:tbl>
      <w:tblPr>
        <w:tblStyle w:val="17"/>
        <w:tblW w:w="9242" w:type="dxa"/>
        <w:jc w:val="center"/>
        <w:tblLayout w:type="fixed"/>
        <w:tblCellMar>
          <w:top w:w="0" w:type="dxa"/>
          <w:left w:w="0" w:type="dxa"/>
          <w:bottom w:w="0" w:type="dxa"/>
          <w:right w:w="0" w:type="dxa"/>
        </w:tblCellMar>
      </w:tblPr>
      <w:tblGrid>
        <w:gridCol w:w="775"/>
        <w:gridCol w:w="2203"/>
        <w:gridCol w:w="5494"/>
        <w:gridCol w:w="770"/>
      </w:tblGrid>
      <w:tr>
        <w:tblPrEx>
          <w:tblCellMar>
            <w:top w:w="0" w:type="dxa"/>
            <w:left w:w="0" w:type="dxa"/>
            <w:bottom w:w="0" w:type="dxa"/>
            <w:right w:w="0" w:type="dxa"/>
          </w:tblCellMar>
        </w:tblPrEx>
        <w:trPr>
          <w:trHeight w:val="570" w:hRule="atLeast"/>
          <w:tblHeader/>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序号</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kern w:val="0"/>
                <w:lang w:bidi="ar"/>
              </w:rPr>
            </w:pPr>
            <w:r>
              <w:rPr>
                <w:rFonts w:hint="eastAsia" w:ascii="宋体" w:hAnsi="宋体" w:cs="宋体"/>
                <w:b/>
                <w:color w:val="000000"/>
                <w:kern w:val="0"/>
                <w:lang w:bidi="ar"/>
              </w:rPr>
              <w:t>技术和性能参数</w:t>
            </w:r>
          </w:p>
          <w:p>
            <w:pPr>
              <w:widowControl/>
              <w:jc w:val="center"/>
              <w:textAlignment w:val="center"/>
              <w:rPr>
                <w:rFonts w:ascii="宋体" w:hAnsi="宋体" w:cs="宋体"/>
                <w:b/>
                <w:color w:val="000000"/>
              </w:rPr>
            </w:pPr>
            <w:r>
              <w:rPr>
                <w:rFonts w:hint="eastAsia" w:ascii="宋体" w:hAnsi="宋体" w:cs="宋体"/>
                <w:b/>
                <w:color w:val="000000"/>
                <w:kern w:val="0"/>
                <w:lang w:bidi="ar"/>
              </w:rPr>
              <w:t>名称</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技术参数和性能要求</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备注</w:t>
            </w: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设备使用需求</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rPr>
            </w:pP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设备用途</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小型垂直蛋白电泳及转印实验</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1.2</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实验对象</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rPr>
            </w:pP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1.3</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特殊功能需求</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2</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主要技术参数</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rPr>
            </w:pP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49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★参数1</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可同时完成4块蛋白凝胶电泳</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458"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2.2</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等线" w:hAnsi="等线"/>
                <w:kern w:val="0"/>
                <w:lang w:val="zh-CN"/>
              </w:rPr>
              <w:t>▲</w:t>
            </w:r>
            <w:r>
              <w:rPr>
                <w:rFonts w:hint="eastAsia" w:ascii="宋体" w:hAnsi="宋体" w:cs="宋体"/>
                <w:color w:val="000000"/>
                <w:kern w:val="0"/>
                <w:lang w:bidi="ar"/>
              </w:rPr>
              <w:t>参数2</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转印模块与小型垂直电泳槽的缓冲液槽和盖兼容。</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515"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2.3</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参数3</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胶面积（W×L）：≥8.3×7.3cm</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71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2.4</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参数4</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电泳槽为注塑一次成形，长玻璃板具有永久固定的封边垫条</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5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2.5</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参数5</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标配凝胶厚度1.00mm，可选配0.75mm或者1.5mm</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44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2.6</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参数6</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电泳槽为注塑一次成形，长玻板有封边垫条固定在上，玻板精确对齐，防止漏胶</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665"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2.7</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参数7</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灌胶架上的弹簧杠杆可再橡胶衬垫上形成良好的密封性，无需用琼脂糖密封</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478"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2.8</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参数8</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1小时内可同时转印2块7.5×10cm凝胶</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515"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2.9</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参数9</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电极丝相距4cm，以产生强电场保证有效的蛋白转印</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725"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参数10</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颜色标记的转印夹和电极，确保转印过程凝胶的方向正确</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71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2.11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参数11</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转印槽内置冷却装置，快速吸收转移过程中产生的热量</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3</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配置需求</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rPr>
            </w:pP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855"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配置1</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小型垂直电泳槽1套  （含电泳槽及盖子，电泳电极一套，制胶装置一套，配套1.5mm玻板5块及相应梳子5把等）</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735"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3.2</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配置2</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lang w:bidi="ar"/>
              </w:rPr>
              <w:t>小型湿法转印模块1套（含电泳槽及盖子，转印电极一个，转印夹2个，制冷芯一个等）</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4</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rPr>
            </w:pPr>
            <w:r>
              <w:rPr>
                <w:rFonts w:hint="eastAsia" w:ascii="宋体" w:hAnsi="宋体" w:cs="宋体"/>
                <w:b/>
                <w:color w:val="000000"/>
                <w:kern w:val="0"/>
                <w:lang w:bidi="ar"/>
              </w:rPr>
              <w:t>售后服务</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rPr>
            </w:pP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保修年限</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≥3年</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4.2</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出现故障回应时间</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维修到达现场时间≤ 6小时（本地）</w:t>
            </w:r>
            <w:r>
              <w:rPr>
                <w:rFonts w:hint="eastAsia" w:ascii="宋体" w:hAnsi="宋体" w:cs="宋体"/>
                <w:color w:val="000000"/>
                <w:kern w:val="0"/>
                <w:lang w:bidi="ar"/>
              </w:rPr>
              <w:br w:type="textWrapping"/>
            </w:r>
            <w:r>
              <w:rPr>
                <w:rFonts w:hint="eastAsia" w:ascii="宋体" w:hAnsi="宋体" w:cs="宋体"/>
                <w:color w:val="000000"/>
                <w:kern w:val="0"/>
                <w:lang w:bidi="ar"/>
              </w:rPr>
              <w:t>维修到达现场时间≤24小时（外地）</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4.3</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维修支持</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配件供应时间≥10年</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4.4</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耗材及零配件</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提供耗材及主要零配件目录（含报价）</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4.5</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维修资料</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提供详细操作手册、维修保养手册、安装手册等</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4.6</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维修工具</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提供维修专用工具1套</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4.7</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预防性维修</w:t>
            </w:r>
            <w:r>
              <w:rPr>
                <w:rFonts w:hint="eastAsia" w:ascii="宋体" w:hAnsi="宋体" w:cs="宋体"/>
                <w:color w:val="000000"/>
                <w:kern w:val="0"/>
                <w:lang w:bidi="ar"/>
              </w:rPr>
              <w:br w:type="textWrapping"/>
            </w:r>
            <w:r>
              <w:rPr>
                <w:rFonts w:hint="eastAsia" w:ascii="宋体" w:hAnsi="宋体" w:cs="宋体"/>
                <w:color w:val="000000"/>
                <w:kern w:val="0"/>
                <w:lang w:bidi="ar"/>
              </w:rPr>
              <w:t>/定期维护保养</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保修期内提供定期维护保养服务</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4.8</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维修密码支持</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开放</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4.9</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升级</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终身免费软件升级</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使用培训</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支持</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r>
        <w:tblPrEx>
          <w:tblCellMar>
            <w:top w:w="0" w:type="dxa"/>
            <w:left w:w="0" w:type="dxa"/>
            <w:bottom w:w="0" w:type="dxa"/>
            <w:right w:w="0"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4.11</w:t>
            </w:r>
          </w:p>
        </w:tc>
        <w:tc>
          <w:tcPr>
            <w:tcW w:w="22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工程师培训</w:t>
            </w:r>
          </w:p>
        </w:tc>
        <w:tc>
          <w:tcPr>
            <w:tcW w:w="5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kern w:val="0"/>
                <w:lang w:bidi="ar"/>
              </w:rPr>
              <w:t>支持</w:t>
            </w:r>
          </w:p>
        </w:tc>
        <w:tc>
          <w:tcPr>
            <w:tcW w:w="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rPr>
            </w:pPr>
          </w:p>
        </w:tc>
      </w:tr>
    </w:tbl>
    <w:p>
      <w:pPr>
        <w:rPr>
          <w:rFonts w:ascii="黑体" w:hAnsi="黑体" w:eastAsia="黑体"/>
          <w:sz w:val="32"/>
          <w:szCs w:val="32"/>
        </w:rPr>
      </w:pPr>
    </w:p>
    <w:p>
      <w:pPr>
        <w:spacing w:line="240" w:lineRule="atLeast"/>
      </w:pPr>
      <w:bookmarkStart w:id="26" w:name="_GoBack"/>
      <w:bookmarkEnd w:id="26"/>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8920E99"/>
    <w:rsid w:val="16771E6C"/>
    <w:rsid w:val="1EEF51FE"/>
    <w:rsid w:val="1F1C3038"/>
    <w:rsid w:val="28721247"/>
    <w:rsid w:val="3BB30E33"/>
    <w:rsid w:val="464E6EBE"/>
    <w:rsid w:val="47881864"/>
    <w:rsid w:val="48ED6FEB"/>
    <w:rsid w:val="541A0AD3"/>
    <w:rsid w:val="54507F18"/>
    <w:rsid w:val="60931FBB"/>
    <w:rsid w:val="648F679F"/>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2021-02-10T08:11:32Z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