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34" w:rsidRPr="007D5E34" w:rsidRDefault="007D5E34" w:rsidP="007D5E34">
      <w:pPr>
        <w:widowControl w:val="0"/>
        <w:adjustRightInd/>
        <w:snapToGrid/>
        <w:spacing w:after="0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7D5E34">
        <w:rPr>
          <w:rFonts w:ascii="宋体" w:eastAsia="宋体" w:hAnsi="宋体" w:cs="Times New Roman" w:hint="eastAsia"/>
          <w:b/>
          <w:sz w:val="32"/>
          <w:szCs w:val="32"/>
        </w:rPr>
        <w:t>全自动体外过敏原检测系统技术要求</w:t>
      </w:r>
    </w:p>
    <w:tbl>
      <w:tblPr>
        <w:tblW w:w="8546" w:type="dxa"/>
        <w:tblInd w:w="209" w:type="dxa"/>
        <w:tblLayout w:type="fixed"/>
        <w:tblLook w:val="0000"/>
      </w:tblPr>
      <w:tblGrid>
        <w:gridCol w:w="892"/>
        <w:gridCol w:w="2409"/>
        <w:gridCol w:w="3969"/>
        <w:gridCol w:w="1276"/>
      </w:tblGrid>
      <w:tr w:rsidR="007D5E34" w:rsidRPr="007D5E34" w:rsidTr="00327024">
        <w:trPr>
          <w:trHeight w:val="567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bookmarkStart w:id="0" w:name="_Hlk38228595"/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设备使用需求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检测皮肤科变态反应性疾病血清、血浆中的总IgE、特异性IgE等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主要技术参数</w:t>
            </w:r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（一行只写一个参数）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试剂类型为CAP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7D5E34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特异性IgE测量范围0.1-100kUA/L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7D5E34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荧光免疫法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1" w:name="_Hlk536390667"/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★参数4</w:t>
            </w:r>
            <w:bookmarkEnd w:id="1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单项特异性IgE检测全定量，单项特异性IgE检测下限为0.1kUA/L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★参数5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可以根据临床需求进行混合或者单项的自由组合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特异性IgE检测项目≥31项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总IgE测量范围2-5000 kU/L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每种IgE测定时样本用量为≤40uL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样本类型为血清或血浆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≥6个定标浓度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≥50个样本位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随时放入样本检测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≥60结果/小时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试剂有效期为24个月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通讯接口：USB接口，RJ45以太网接口，RS232接口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支持外接条形码扫描器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彩色液晶触摸屏，图形操作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2.18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≥180支CAP和6个酶标二抗冷藏位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≥38支CAP应急摆放位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2.20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参数20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符合ISO 15189认证要求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配置需求</w:t>
            </w:r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（一行只写一个配置）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主机1台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配置2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托架储存盘1个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配置3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酶标试剂储存盘1个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3.4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配置4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底物备用盘1个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3.5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配置5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稀释液盘1个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3.6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配置6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装载托架盘1个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3.7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配置7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样品架5组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3.8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配置8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洗涤盘1套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3.9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配置9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质控/定标条托架盘1个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3.10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配置10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盘条形码标签100个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3.11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配置11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警示标签盒8张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售后服务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4.1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保修年限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≥3年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4.2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出现故障响应时间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维修到达现场时间≤ 6小时（本地）</w:t>
            </w: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br/>
              <w:t>维修到达现场时间≤24小时（外地）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4.3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维修支持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配件供应时间≥10年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4.4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耗材及零配件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提供耗材及主要零配件目录（含报价）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4.5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维修资料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提供详细操作手册、维修保养手册、安装手册等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4.6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维修工具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提供维修专用工具1套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4.7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预防性维修</w:t>
            </w: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br/>
              <w:t>/定期维护保养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保修期内提供定期维护保养服务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4.8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维修密码支持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4.9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升级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终身免费软件升级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4.10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使用培训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D5E34" w:rsidRPr="007D5E34" w:rsidTr="00327024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4.11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装机培训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7D5E34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E34" w:rsidRPr="007D5E34" w:rsidRDefault="007D5E34" w:rsidP="007D5E34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bookmarkEnd w:id="0"/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E40" w:rsidRDefault="005B2E40" w:rsidP="007D5E34">
      <w:pPr>
        <w:spacing w:after="0"/>
      </w:pPr>
      <w:r>
        <w:separator/>
      </w:r>
    </w:p>
  </w:endnote>
  <w:endnote w:type="continuationSeparator" w:id="0">
    <w:p w:rsidR="005B2E40" w:rsidRDefault="005B2E40" w:rsidP="007D5E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E40" w:rsidRDefault="005B2E40" w:rsidP="007D5E34">
      <w:pPr>
        <w:spacing w:after="0"/>
      </w:pPr>
      <w:r>
        <w:separator/>
      </w:r>
    </w:p>
  </w:footnote>
  <w:footnote w:type="continuationSeparator" w:id="0">
    <w:p w:rsidR="005B2E40" w:rsidRDefault="005B2E40" w:rsidP="007D5E3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B2E40"/>
    <w:rsid w:val="007D5E34"/>
    <w:rsid w:val="008B7726"/>
    <w:rsid w:val="00D31D50"/>
    <w:rsid w:val="00F0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5E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5E3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5E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5E3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2020-09-04T00:58:00Z</dcterms:modified>
</cp:coreProperties>
</file>