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91E8A1" w14:textId="48334030" w:rsidR="00CB6F75" w:rsidRPr="00967E57" w:rsidRDefault="006E0C64">
      <w:pPr>
        <w:adjustRightInd w:val="0"/>
        <w:snapToGrid w:val="0"/>
        <w:spacing w:beforeLines="50" w:before="156" w:line="240" w:lineRule="atLeast"/>
        <w:jc w:val="center"/>
        <w:rPr>
          <w:rFonts w:ascii="方正小标宋简体" w:eastAsia="方正小标宋简体" w:cs="Times New Roman" w:hint="eastAsia"/>
          <w:bCs/>
          <w:kern w:val="0"/>
          <w:sz w:val="44"/>
          <w:szCs w:val="44"/>
        </w:rPr>
      </w:pPr>
      <w:r w:rsidRPr="00967E57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荧光定量PCR</w:t>
      </w:r>
      <w:bookmarkStart w:id="0" w:name="_GoBack"/>
      <w:bookmarkEnd w:id="0"/>
      <w:r w:rsidR="00967E57" w:rsidRPr="00967E57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仪技术</w:t>
      </w:r>
      <w:r w:rsidRPr="00967E57">
        <w:rPr>
          <w:rFonts w:ascii="方正小标宋简体" w:eastAsia="方正小标宋简体" w:hAnsi="宋体" w:cs="Times New Roman" w:hint="eastAsia"/>
          <w:bCs/>
          <w:kern w:val="0"/>
          <w:sz w:val="44"/>
          <w:szCs w:val="44"/>
        </w:rPr>
        <w:t>参数确认表</w:t>
      </w:r>
    </w:p>
    <w:tbl>
      <w:tblPr>
        <w:tblW w:w="993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711"/>
        <w:gridCol w:w="5368"/>
        <w:gridCol w:w="2094"/>
      </w:tblGrid>
      <w:tr w:rsidR="00CB6F75" w14:paraId="79008717" w14:textId="77777777">
        <w:trPr>
          <w:trHeight w:val="66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3964939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序号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783D649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技术和性能参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br/>
              <w:t>数名称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7C0B2C5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技术参数和性能要求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696F9F8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备注</w:t>
            </w:r>
          </w:p>
        </w:tc>
      </w:tr>
      <w:tr w:rsidR="00CB6F75" w14:paraId="13DEE388" w14:textId="77777777">
        <w:trPr>
          <w:trHeight w:val="72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44B820E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FC920EF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设备使用需求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2016676" w14:textId="77777777" w:rsidR="00CB6F75" w:rsidRDefault="00CB6F75">
            <w:pPr>
              <w:jc w:val="center"/>
              <w:rPr>
                <w:rFonts w:ascii="宋体" w:hAnsi="宋体" w:cs="宋体"/>
                <w:b/>
                <w:color w:val="000000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AC49D99" w14:textId="77777777" w:rsidR="00CB6F75" w:rsidRDefault="00CB6F75">
            <w:pPr>
              <w:jc w:val="left"/>
              <w:rPr>
                <w:rFonts w:ascii="宋体" w:hAnsi="宋体" w:cs="宋体"/>
                <w:b/>
                <w:color w:val="000000"/>
              </w:rPr>
            </w:pPr>
          </w:p>
        </w:tc>
      </w:tr>
      <w:tr w:rsidR="00CB6F75" w14:paraId="16F6DE49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8CB8FED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1.1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45D67CA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设备用途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E63916A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kern w:val="0"/>
              </w:rPr>
              <w:t>对病原体核酸进行扩增和荧光实时动态采集、检测，实现对病原体核酸的定性/定量分析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CCE71F6" w14:textId="77777777" w:rsidR="00CB6F75" w:rsidRDefault="00CB6F75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CB6F75" w14:paraId="1A9050E2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7BA4A00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1.2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0B58D4F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实验对象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FFAE917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kern w:val="0"/>
              </w:rPr>
              <w:t>特殊项目（新冠病毒等）和基础项目（HBV、HPV、EBV等）对应的各类常见检测样本核酸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7CCE595" w14:textId="77777777" w:rsidR="00CB6F75" w:rsidRDefault="00CB6F75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CB6F75" w14:paraId="5438DE30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D7BBA15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1.3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E9E7225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特殊功能需求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F8DF053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kern w:val="0"/>
              </w:rPr>
              <w:t>能实现双模块独立运行和定量分析功能。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34975CC" w14:textId="77777777" w:rsidR="00CB6F75" w:rsidRDefault="00CB6F75">
            <w:pPr>
              <w:jc w:val="left"/>
              <w:rPr>
                <w:rFonts w:ascii="宋体" w:hAnsi="宋体" w:cs="宋体"/>
                <w:b/>
                <w:color w:val="000000"/>
              </w:rPr>
            </w:pPr>
          </w:p>
        </w:tc>
      </w:tr>
      <w:tr w:rsidR="00CB6F75" w14:paraId="2D8A4967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4B0B16E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9938235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主要技术参数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AF6FC67" w14:textId="77777777" w:rsidR="00CB6F75" w:rsidRDefault="00CB6F75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03DCA65" w14:textId="77777777" w:rsidR="00CB6F75" w:rsidRDefault="00CB6F75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CB6F75" w14:paraId="2BB1651D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D2EBD8D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52A887C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★参数1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BC2FB13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激发光源：大功率 LED光源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226F5D4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大功能率LED光源，能带来更强的激发光强度，而且LED光源寿命长，无需预热，提高了检测效率，并大大减少了后期使用和维护成本。</w:t>
            </w:r>
          </w:p>
        </w:tc>
      </w:tr>
      <w:tr w:rsidR="00CB6F75" w14:paraId="3F630E5A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F80CBA0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B108B8C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★参数2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4C64C34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检测方式：反应管的底部侧面激发、检测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66658A2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反应管的底部侧面激发、检测，减少了光程差和光路空气暴露折射影响以及孔间荧光串扰影响，极大的提高了检测灵敏度和特异性。</w:t>
            </w:r>
          </w:p>
        </w:tc>
      </w:tr>
      <w:tr w:rsidR="00CB6F75" w14:paraId="0469BBC8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62A61D2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2F787F0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★参数3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D26C313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检测方式：反应管的底部侧面激发、检测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3169548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反应管的底部侧面激发、检测，减少了光程差和光路空气暴露折射影响以及孔间荧光串扰影响，极大的提高了检测灵敏度和特异性。</w:t>
            </w:r>
          </w:p>
        </w:tc>
      </w:tr>
      <w:tr w:rsidR="00CB6F75" w14:paraId="7B227395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755AC37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CBC9B89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▲参数4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AA7C3A4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荧光检测通道数≥4，具有CFDA/NMPA证书。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109417F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荧光检测通道数≥4，便于开展多重荧光PCR测试，应用</w:t>
            </w:r>
            <w:r>
              <w:rPr>
                <w:rFonts w:ascii="宋体" w:hAnsi="宋体" w:cs="宋体" w:hint="eastAsia"/>
                <w:kern w:val="0"/>
              </w:rPr>
              <w:lastRenderedPageBreak/>
              <w:t>更多元、广泛；获国家CFDA认证的三类医疗器械注册，产品更有保障。</w:t>
            </w:r>
          </w:p>
        </w:tc>
      </w:tr>
      <w:tr w:rsidR="00CB6F75" w14:paraId="719E6AF7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3B92226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lastRenderedPageBreak/>
              <w:t>2.5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05FF1EF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▲参数5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BD1277B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适用于灵敏度较高且经CFDA/NMPA认证的新型冠状病毒核酸检测试剂对灵敏度及通道数的要求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1E4625D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符合《关于加强外送样本新冠病毒核酸检测质量管理工作的通知》对检测仪器的要求。</w:t>
            </w:r>
          </w:p>
        </w:tc>
      </w:tr>
      <w:tr w:rsidR="00CB6F75" w14:paraId="5F3C91EF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57A761F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6126EC9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▲参数6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C30E199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荧光检测波长至少包含（多种通道可供选配置）：</w:t>
            </w:r>
          </w:p>
          <w:p w14:paraId="6A4B767B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通道1:470nm-510nm；</w:t>
            </w:r>
          </w:p>
          <w:p w14:paraId="6C0D4CF5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通道2:530nm-565nm；</w:t>
            </w:r>
          </w:p>
          <w:p w14:paraId="554E5202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通道3:580nm-620nm；</w:t>
            </w:r>
          </w:p>
          <w:p w14:paraId="38ACEC12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通道4:630nm-665nm；</w:t>
            </w:r>
          </w:p>
          <w:p w14:paraId="5CE9441B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通道5: 选配；</w:t>
            </w:r>
          </w:p>
          <w:p w14:paraId="7BE6AA47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通道6：选配。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B1F6A44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荧光检测波长选择越通用，在试剂匹配性的多元化方面更灵活；荧光检测通道可选配拓展，更有利于新项目、新技术的拓展升级。</w:t>
            </w:r>
          </w:p>
        </w:tc>
      </w:tr>
      <w:tr w:rsidR="00CB6F75" w14:paraId="2DDCF6F4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1B778DC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6A44D23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▲参数7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83020EA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断电保护：有断电保护功能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96B8BBE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对于短时断电，具有恢复电力后实验保护继续功能，有利于节约实验应急情况下的使用试剂成本，减少试剂损失。</w:t>
            </w:r>
          </w:p>
        </w:tc>
      </w:tr>
      <w:tr w:rsidR="00CB6F75" w14:paraId="491E77E6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0FABD18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E34FC02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▲参数8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1B4E511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检测器：高灵敏度光电传感器；激发、检测光的传输模式：每一反应孔独立的光纤传输。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3C49F42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采用高灵敏度光电传感器，仪器灵敏度更有保障；每一反应孔独立的激发、检测光光纤传输模式，减少了光程差和光路空气暴露折射影响以及孔间荧光串扰影响，极大的提高了检测灵敏度和特异性。</w:t>
            </w:r>
          </w:p>
        </w:tc>
      </w:tr>
      <w:tr w:rsidR="00CB6F75" w14:paraId="6CB798A0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0EA92FD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2.9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215C4FC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参数9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832BF8F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最小反应容积≤15ul，最大反应容积≥100ul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DEB736B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反应容积越广泛，应用更灵活、多元，且支持大体积扩增，有效保障扩增检测灵敏度。</w:t>
            </w:r>
          </w:p>
        </w:tc>
      </w:tr>
      <w:tr w:rsidR="00CB6F75" w14:paraId="7F3EC44E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A671A46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067DBDA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参数10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B6A0DAA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软件应用模式：定量/定性、熔解曲线、多管多项目分析、相对定量、等位基因、HRM、SAT实时荧光等温扩增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E9B19EF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软件应用模式越多元化，仪器使用效率和利用率越高。</w:t>
            </w:r>
          </w:p>
        </w:tc>
      </w:tr>
      <w:tr w:rsidR="00CB6F75" w14:paraId="37847196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5FDE66A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lastRenderedPageBreak/>
              <w:t>2.11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87D3093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5BD367F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最小检测模板：单个拷贝装机应用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6E0575E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灵敏度高，提升检测报告质量。</w:t>
            </w:r>
          </w:p>
        </w:tc>
      </w:tr>
      <w:tr w:rsidR="00CB6F75" w14:paraId="4B3AA7BA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F06696C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4073D95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参数12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4D265F5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控温模式：半导体热电模块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69E1FE7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半导体热电模块，温控更精准。</w:t>
            </w:r>
          </w:p>
        </w:tc>
      </w:tr>
      <w:tr w:rsidR="00CB6F75" w14:paraId="004CB031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4415700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9B358F6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参数13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068DDE2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模块最低温度范围≤4℃；模块最高温度范围≥99℃。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2152582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模块温度越宽泛，仪器应用更多元；仪器升降温快速且温度精度和均一性越好，扩增检测效果也越佳。</w:t>
            </w:r>
          </w:p>
        </w:tc>
      </w:tr>
      <w:tr w:rsidR="00CB6F75" w14:paraId="4FCE2204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90FF19E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3B4EC26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参数14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ED42867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升温速率：≥4.0℃/s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C1EAC8B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仪器升降温越速，扩增效率越快，实验效率越高。</w:t>
            </w:r>
          </w:p>
        </w:tc>
      </w:tr>
      <w:tr w:rsidR="00CB6F75" w14:paraId="5E6D4C01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1FBE545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2.15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7975E89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参数15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51278C5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温控精度：±≤0.1℃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0B016F3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仪器温控精度越高，扩增检测效果也越佳</w:t>
            </w:r>
          </w:p>
        </w:tc>
      </w:tr>
      <w:tr w:rsidR="00CB6F75" w14:paraId="682EB26D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209B980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A1E35FE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参数16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40A50F4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温度均匀性：±≤0.1℃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AD067E6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仪器温度均一性越好，扩增检测效果也越佳，孔间扩增效率差异越小。</w:t>
            </w:r>
          </w:p>
        </w:tc>
      </w:tr>
      <w:tr w:rsidR="00CB6F75" w14:paraId="377FC7F4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27FF190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16305B7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参数17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EDF269B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检测动力学范围：100</w:t>
            </w:r>
            <w:r>
              <w:rPr>
                <w:rFonts w:ascii="宋体" w:hAnsi="宋体" w:cs="宋体" w:hint="eastAsia"/>
                <w:kern w:val="0"/>
              </w:rPr>
              <w:softHyphen/>
              <w:t>-1010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1D8DC14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检测动力学范围越宽适用性强，结果更准确。</w:t>
            </w:r>
          </w:p>
        </w:tc>
      </w:tr>
      <w:tr w:rsidR="00CB6F75" w14:paraId="25ED3186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C26A991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243F5EB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参数18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43E14D4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可检测的荧光素及染料至少包含：FAM,SYBR，VIC, HEX, Joe, TET，TMRA，CY3，ROX, Texas Red, CY5等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CB20EC4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可检测的荧光素及染料选择越通用，在试剂匹配性的多元化方面更灵活。</w:t>
            </w:r>
          </w:p>
        </w:tc>
      </w:tr>
      <w:tr w:rsidR="00CB6F75" w14:paraId="57313D0D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7919DA0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2.19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858C297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参数19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02DEEEE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热盖：电子自动控制热盖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D33CC4B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电子自动控制热盖，可自动根据扩增PCR反应管高度，在扩增检测时进行热盖高度适应性调整，扩增密封性和防止扩增反应液蒸发效果更好。</w:t>
            </w:r>
          </w:p>
        </w:tc>
      </w:tr>
      <w:tr w:rsidR="00CB6F75" w14:paraId="23840ACD" w14:textId="77777777">
        <w:trPr>
          <w:trHeight w:val="609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6FFF377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2.20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42BEA9A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参数20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3D415FF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该设备的三级甲等医院用户数量≥100个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A5CC1D0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kern w:val="0"/>
              </w:rPr>
              <w:t>基础而广泛的装机及应用客户数量与质量，有利于判断该设备在临床医疗单位的应用认可度，更能体现品牌价值和服务价值的真实性。</w:t>
            </w:r>
          </w:p>
        </w:tc>
      </w:tr>
      <w:tr w:rsidR="00CB6F75" w14:paraId="3B211ED5" w14:textId="77777777">
        <w:trPr>
          <w:trHeight w:val="81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B9F23D4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lastRenderedPageBreak/>
              <w:t>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32E4F30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配置需求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2A0AFBD" w14:textId="77777777" w:rsidR="00CB6F75" w:rsidRDefault="00CB6F7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982D48E" w14:textId="77777777" w:rsidR="00CB6F75" w:rsidRDefault="00CB6F75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B6F75" w14:paraId="2E2E735D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0A8A3A8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3.1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09B0213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配置1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7" w:type="dxa"/>
              <w:left w:w="74" w:type="dxa"/>
              <w:right w:w="74" w:type="dxa"/>
            </w:tcMar>
            <w:vAlign w:val="center"/>
          </w:tcPr>
          <w:p w14:paraId="35AB8CE3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</w:rPr>
              <w:t>主机1台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148BAAF" w14:textId="77777777" w:rsidR="00CB6F75" w:rsidRDefault="00CB6F75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B6F75" w14:paraId="4D3A5AA2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70C7B92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3.2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4ED6023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配置2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18DFF39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</w:rPr>
              <w:t>电脑1套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F8505C0" w14:textId="77777777" w:rsidR="00CB6F75" w:rsidRDefault="00CB6F75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B6F75" w14:paraId="47BC8136" w14:textId="77777777">
        <w:trPr>
          <w:trHeight w:val="517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2B3E86B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3.3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AE83C78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配置3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A649B24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</w:rPr>
              <w:t>说明书1本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0A07BDD" w14:textId="77777777" w:rsidR="00CB6F75" w:rsidRDefault="00CB6F75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B6F75" w14:paraId="6F5DEEF8" w14:textId="77777777">
        <w:trPr>
          <w:trHeight w:val="457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5B5C9BD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3.4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A091853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配置4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9F6F8A0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</w:rPr>
              <w:t>保险丝2个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2ACEF1C" w14:textId="77777777" w:rsidR="00CB6F75" w:rsidRDefault="00CB6F75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B6F75" w14:paraId="002D6646" w14:textId="77777777">
        <w:trPr>
          <w:trHeight w:val="472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1A58C38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3.5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700F804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配置5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B3789B9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</w:rPr>
              <w:t>合格证1份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CAB3C18" w14:textId="77777777" w:rsidR="00CB6F75" w:rsidRDefault="00CB6F75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B6F75" w14:paraId="3488AA2F" w14:textId="77777777">
        <w:trPr>
          <w:trHeight w:val="502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8B94127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3.6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6055814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配置6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610B023" w14:textId="77777777" w:rsidR="00CB6F75" w:rsidRDefault="006E0C6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</w:rPr>
              <w:t>检测报告1份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9420362" w14:textId="77777777" w:rsidR="00CB6F75" w:rsidRDefault="00CB6F75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B6F75" w14:paraId="45ADDD59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9F58FE8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C9EB862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 w:bidi="ar"/>
              </w:rPr>
              <w:t>售后服务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014603E" w14:textId="77777777" w:rsidR="00CB6F75" w:rsidRDefault="00CB6F75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8BCFFCB" w14:textId="77777777" w:rsidR="00CB6F75" w:rsidRDefault="00CB6F75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B6F75" w14:paraId="56333BE8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A116790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8BEDD0C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保修年限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D32F81D" w14:textId="77777777" w:rsidR="00CB6F75" w:rsidRDefault="006E0C64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kern w:val="0"/>
              </w:rPr>
              <w:t>海外安装,海外维保≥3年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76559D0" w14:textId="77777777" w:rsidR="00CB6F75" w:rsidRDefault="00CB6F75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B6F75" w14:paraId="5FB7EB70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68E07BB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1CB3940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出现故障回应时间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C5FF516" w14:textId="7F863EA3" w:rsidR="00CB6F75" w:rsidRDefault="00B33043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 xml:space="preserve">维修响应时间≤ </w:t>
            </w:r>
            <w:r>
              <w:rPr>
                <w:rFonts w:ascii="宋体" w:hAnsi="宋体" w:cs="宋体"/>
                <w:color w:val="000000"/>
                <w:kern w:val="0"/>
                <w:lang w:bidi="ar"/>
              </w:rPr>
              <w:t>24</w:t>
            </w: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小时</w:t>
            </w: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br/>
              <w:t>维修修复时间≤4</w:t>
            </w:r>
            <w:r>
              <w:rPr>
                <w:rFonts w:ascii="宋体" w:hAnsi="宋体" w:cs="宋体"/>
                <w:color w:val="000000"/>
                <w:kern w:val="0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天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84A269B" w14:textId="77777777" w:rsidR="00CB6F75" w:rsidRDefault="00CB6F75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B6F75" w14:paraId="7208A295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DD00D71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1A07527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维修支持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3BB2F7D" w14:textId="77777777" w:rsidR="00CB6F75" w:rsidRDefault="006E0C64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配件供应时间≥10年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F198B7A" w14:textId="77777777" w:rsidR="00CB6F75" w:rsidRDefault="00CB6F75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B6F75" w14:paraId="1B748B64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052111C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767370F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耗材及零配件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DB83D20" w14:textId="77777777" w:rsidR="00CB6F75" w:rsidRDefault="006E0C64">
            <w:pPr>
              <w:jc w:val="left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提供耗材及主要零配件目录（含报价）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00DC613" w14:textId="77777777" w:rsidR="00CB6F75" w:rsidRDefault="00CB6F75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B6F75" w14:paraId="53ABD091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1142F8D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4.5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E712537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维修资料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5AD8586" w14:textId="77777777" w:rsidR="00CB6F75" w:rsidRDefault="006E0C64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提供详细操作手册、维修保养手册、安装手册等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CE837A6" w14:textId="77777777" w:rsidR="00CB6F75" w:rsidRDefault="00CB6F75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B6F75" w14:paraId="746B483A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16D2EC9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4A87BE8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维修工具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EA65789" w14:textId="77777777" w:rsidR="00CB6F75" w:rsidRDefault="006E0C64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提供维修专用工具1套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E79096C" w14:textId="77777777" w:rsidR="00CB6F75" w:rsidRDefault="00CB6F75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B6F75" w14:paraId="46D08DA2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2BECAA9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4.7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C719D51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预防性维修</w:t>
            </w: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br/>
              <w:t>/定期维护保养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DAD2A28" w14:textId="77777777" w:rsidR="00CB6F75" w:rsidRDefault="006E0C64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保修期内提供定期维护保养服务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67371293" w14:textId="77777777" w:rsidR="00CB6F75" w:rsidRDefault="00CB6F75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B6F75" w14:paraId="6C8EBB75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9D65FD6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4.8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027625E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维修密码支持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1F590E2" w14:textId="77777777" w:rsidR="00CB6F75" w:rsidRDefault="006E0C64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开放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4C3F4B0" w14:textId="77777777" w:rsidR="00CB6F75" w:rsidRDefault="00CB6F75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B6F75" w14:paraId="05CBB717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ABA6832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4.9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1C3C2733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升级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4AB88B9F" w14:textId="77777777" w:rsidR="00CB6F75" w:rsidRDefault="006E0C64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终身免费软件升级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4D1202A" w14:textId="77777777" w:rsidR="00CB6F75" w:rsidRDefault="00CB6F75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B6F75" w14:paraId="2997BD6E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33B99EF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4.10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08D68F3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使用培训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C000752" w14:textId="77777777" w:rsidR="00CB6F75" w:rsidRDefault="006E0C64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支持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0825B4DA" w14:textId="77777777" w:rsidR="00CB6F75" w:rsidRDefault="00CB6F75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B6F75" w14:paraId="02C8F289" w14:textId="77777777">
        <w:trPr>
          <w:trHeight w:val="600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3D4ADB36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4.11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7BC86D92" w14:textId="77777777" w:rsidR="00CB6F75" w:rsidRDefault="006E0C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工程师培训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53207AC4" w14:textId="77777777" w:rsidR="00CB6F75" w:rsidRDefault="006E0C64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 w:bidi="ar"/>
              </w:rPr>
              <w:t>支持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14:paraId="20128D71" w14:textId="77777777" w:rsidR="00CB6F75" w:rsidRDefault="00CB6F75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14:paraId="720D1402" w14:textId="77777777" w:rsidR="00CB6F75" w:rsidRDefault="006E0C64">
      <w:pPr>
        <w:spacing w:line="520" w:lineRule="exact"/>
        <w:jc w:val="left"/>
        <w:rPr>
          <w:rFonts w:asciiTheme="majorEastAsia" w:eastAsiaTheme="majorEastAsia" w:hAnsiTheme="majorEastAsia" w:cs="Times New Roman"/>
        </w:rPr>
      </w:pPr>
      <w:r>
        <w:rPr>
          <w:rFonts w:asciiTheme="minorEastAsia" w:hAnsiTheme="minorEastAsia" w:cs="Times New Roman" w:hint="eastAsia"/>
          <w:kern w:val="0"/>
          <w:lang w:val="zh-CN"/>
        </w:rPr>
        <w:t>注：</w:t>
      </w:r>
      <w:r>
        <w:rPr>
          <w:rFonts w:ascii="宋体" w:hAnsi="宋体" w:cs="宋体" w:hint="eastAsia"/>
          <w:kern w:val="0"/>
        </w:rPr>
        <w:t>按照先</w:t>
      </w:r>
      <w:r>
        <w:rPr>
          <w:rFonts w:asciiTheme="minorEastAsia" w:hAnsiTheme="minorEastAsia" w:cs="Times New Roman" w:hint="eastAsia"/>
          <w:kern w:val="0"/>
          <w:lang w:val="zh-CN"/>
        </w:rPr>
        <w:t>关键重要技术指标</w:t>
      </w:r>
      <w:r>
        <w:rPr>
          <w:rFonts w:ascii="宋体" w:hAnsi="宋体" w:cs="宋体" w:hint="eastAsia"/>
          <w:kern w:val="0"/>
        </w:rPr>
        <w:t>参数、</w:t>
      </w:r>
      <w:r>
        <w:rPr>
          <w:rFonts w:asciiTheme="minorEastAsia" w:hAnsiTheme="minorEastAsia" w:cs="Times New Roman" w:hint="eastAsia"/>
          <w:kern w:val="0"/>
          <w:lang w:val="zh-CN"/>
        </w:rPr>
        <w:t>重要指标参数，</w:t>
      </w:r>
      <w:r>
        <w:rPr>
          <w:rFonts w:ascii="宋体" w:hAnsi="宋体" w:cs="宋体" w:hint="eastAsia"/>
          <w:kern w:val="0"/>
        </w:rPr>
        <w:t>后一般参数的顺序分别描述，不得有排他性限定条款，不得粘贴说明书或以描述性语言罗列赘述</w:t>
      </w:r>
      <w:r>
        <w:rPr>
          <w:rFonts w:asciiTheme="minorEastAsia" w:hAnsiTheme="minorEastAsia" w:cs="Times New Roman" w:hint="eastAsia"/>
          <w:kern w:val="0"/>
          <w:lang w:val="zh-CN"/>
        </w:rPr>
        <w:t>；关键重要技术指标参数以</w:t>
      </w:r>
      <w:r>
        <w:rPr>
          <w:rFonts w:asciiTheme="minorEastAsia" w:hAnsiTheme="minorEastAsia" w:cs="宋体" w:hint="eastAsia"/>
          <w:kern w:val="0"/>
          <w:lang w:val="zh-CN"/>
        </w:rPr>
        <w:t>★</w:t>
      </w:r>
      <w:r>
        <w:rPr>
          <w:rFonts w:asciiTheme="minorEastAsia" w:hAnsiTheme="minorEastAsia" w:cs="Times New Roman" w:hint="eastAsia"/>
          <w:kern w:val="0"/>
          <w:lang w:val="zh-CN"/>
        </w:rPr>
        <w:t>标记（有1项不满足即按无效投标处理）为2-3条，</w:t>
      </w:r>
      <w:bookmarkStart w:id="1" w:name="_Hlk45092004"/>
      <w:r>
        <w:rPr>
          <w:rFonts w:asciiTheme="minorEastAsia" w:hAnsiTheme="minorEastAsia" w:cs="Times New Roman" w:hint="eastAsia"/>
          <w:kern w:val="0"/>
          <w:lang w:val="zh-CN"/>
        </w:rPr>
        <w:t>重要指标参</w:t>
      </w:r>
      <w:r>
        <w:rPr>
          <w:rFonts w:asciiTheme="minorEastAsia" w:hAnsiTheme="minorEastAsia" w:cs="Times New Roman" w:hint="eastAsia"/>
          <w:kern w:val="0"/>
          <w:lang w:val="zh-CN"/>
        </w:rPr>
        <w:lastRenderedPageBreak/>
        <w:t>数</w:t>
      </w:r>
      <w:bookmarkEnd w:id="1"/>
      <w:r>
        <w:rPr>
          <w:rFonts w:asciiTheme="minorEastAsia" w:hAnsiTheme="minorEastAsia" w:cs="Times New Roman" w:hint="eastAsia"/>
          <w:kern w:val="0"/>
          <w:lang w:val="zh-CN"/>
        </w:rPr>
        <w:t>以▲标记为3-5条，一般技术指标参数不作标记；总参数不得超过20条。</w:t>
      </w:r>
    </w:p>
    <w:sectPr w:rsidR="00CB6F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371925" w14:textId="77777777" w:rsidR="006E0C64" w:rsidRDefault="006E0C64" w:rsidP="00B33043">
      <w:pPr>
        <w:spacing w:line="240" w:lineRule="auto"/>
      </w:pPr>
      <w:r>
        <w:separator/>
      </w:r>
    </w:p>
  </w:endnote>
  <w:endnote w:type="continuationSeparator" w:id="0">
    <w:p w14:paraId="10DEAE7F" w14:textId="77777777" w:rsidR="006E0C64" w:rsidRDefault="006E0C64" w:rsidP="00B330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AD475F" w14:textId="77777777" w:rsidR="006E0C64" w:rsidRDefault="006E0C64" w:rsidP="00B33043">
      <w:pPr>
        <w:spacing w:line="240" w:lineRule="auto"/>
      </w:pPr>
      <w:r>
        <w:separator/>
      </w:r>
    </w:p>
  </w:footnote>
  <w:footnote w:type="continuationSeparator" w:id="0">
    <w:p w14:paraId="60BC4445" w14:textId="77777777" w:rsidR="006E0C64" w:rsidRDefault="006E0C64" w:rsidP="00B3304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5B5"/>
    <w:rsid w:val="000160EC"/>
    <w:rsid w:val="00037DB1"/>
    <w:rsid w:val="00054325"/>
    <w:rsid w:val="00092DFE"/>
    <w:rsid w:val="000B79A0"/>
    <w:rsid w:val="000C6EAA"/>
    <w:rsid w:val="00121D8B"/>
    <w:rsid w:val="001370F4"/>
    <w:rsid w:val="001C50A8"/>
    <w:rsid w:val="00272CAA"/>
    <w:rsid w:val="002A5EAB"/>
    <w:rsid w:val="002B6205"/>
    <w:rsid w:val="003464C4"/>
    <w:rsid w:val="00382674"/>
    <w:rsid w:val="0049035A"/>
    <w:rsid w:val="004A471D"/>
    <w:rsid w:val="004C583D"/>
    <w:rsid w:val="00515F0D"/>
    <w:rsid w:val="00547BA6"/>
    <w:rsid w:val="005A7352"/>
    <w:rsid w:val="005F2578"/>
    <w:rsid w:val="00601363"/>
    <w:rsid w:val="00607FDF"/>
    <w:rsid w:val="006226EF"/>
    <w:rsid w:val="006A5308"/>
    <w:rsid w:val="006E0C64"/>
    <w:rsid w:val="00745008"/>
    <w:rsid w:val="007B3563"/>
    <w:rsid w:val="007D1102"/>
    <w:rsid w:val="007E1636"/>
    <w:rsid w:val="008E5EF4"/>
    <w:rsid w:val="008F16C7"/>
    <w:rsid w:val="009266FC"/>
    <w:rsid w:val="00937C2A"/>
    <w:rsid w:val="00942499"/>
    <w:rsid w:val="00943CF3"/>
    <w:rsid w:val="00967E57"/>
    <w:rsid w:val="009C2A5D"/>
    <w:rsid w:val="00A75514"/>
    <w:rsid w:val="00AC77D8"/>
    <w:rsid w:val="00B33043"/>
    <w:rsid w:val="00B50550"/>
    <w:rsid w:val="00BB5B81"/>
    <w:rsid w:val="00BC7352"/>
    <w:rsid w:val="00C303C7"/>
    <w:rsid w:val="00C425B5"/>
    <w:rsid w:val="00C54B5E"/>
    <w:rsid w:val="00CB54B4"/>
    <w:rsid w:val="00CB6F75"/>
    <w:rsid w:val="00CE71F6"/>
    <w:rsid w:val="00D3102C"/>
    <w:rsid w:val="00DF1CB7"/>
    <w:rsid w:val="00E65BA6"/>
    <w:rsid w:val="00E97E26"/>
    <w:rsid w:val="00EE256D"/>
    <w:rsid w:val="00F028C4"/>
    <w:rsid w:val="103753BD"/>
    <w:rsid w:val="149118AB"/>
    <w:rsid w:val="19813898"/>
    <w:rsid w:val="1B997ECF"/>
    <w:rsid w:val="24AE4782"/>
    <w:rsid w:val="2B236BB7"/>
    <w:rsid w:val="2DE21201"/>
    <w:rsid w:val="2F2B33A1"/>
    <w:rsid w:val="2F4A1681"/>
    <w:rsid w:val="3149634A"/>
    <w:rsid w:val="3647670B"/>
    <w:rsid w:val="37DA273A"/>
    <w:rsid w:val="38533D5C"/>
    <w:rsid w:val="393D49F5"/>
    <w:rsid w:val="42253E7A"/>
    <w:rsid w:val="428A7B2F"/>
    <w:rsid w:val="42BE3F25"/>
    <w:rsid w:val="47483DAD"/>
    <w:rsid w:val="488E2A45"/>
    <w:rsid w:val="4B284490"/>
    <w:rsid w:val="50257C65"/>
    <w:rsid w:val="534F2060"/>
    <w:rsid w:val="54104954"/>
    <w:rsid w:val="645F2338"/>
    <w:rsid w:val="6D6C0ED4"/>
    <w:rsid w:val="6FC24BC4"/>
    <w:rsid w:val="70007D3E"/>
    <w:rsid w:val="72A008E7"/>
    <w:rsid w:val="779A2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8C38E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HTML Preformatted" w:semiHidden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Calibri" w:hAnsi="Calibri" w:cs="宋体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Calibri" w:hAnsi="Calibri" w:cs="宋体"/>
      <w:sz w:val="18"/>
      <w:szCs w:val="18"/>
    </w:rPr>
  </w:style>
  <w:style w:type="paragraph" w:styleId="HTML">
    <w:name w:val="HTML Preformatted"/>
    <w:basedOn w:val="a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Times New Roman" w:hint="eastAsia"/>
      <w:kern w:val="0"/>
    </w:rPr>
  </w:style>
  <w:style w:type="paragraph" w:styleId="a5">
    <w:name w:val="Normal (Web)"/>
    <w:basedOn w:val="a"/>
    <w:uiPriority w:val="99"/>
    <w:qFormat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spacing w:line="240" w:lineRule="auto"/>
      <w:ind w:firstLineChars="200" w:firstLine="420"/>
    </w:pPr>
    <w:rPr>
      <w:rFonts w:ascii="等线" w:eastAsia="等线" w:hAnsi="等线" w:cs="Times New Roman"/>
      <w:sz w:val="21"/>
      <w:szCs w:val="22"/>
    </w:rPr>
  </w:style>
  <w:style w:type="paragraph" w:customStyle="1" w:styleId="msolistparagraph0">
    <w:name w:val="msolistparagraph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CharChar1CharCharCharChar">
    <w:name w:val="Char Char1 Char Char Char Char"/>
    <w:basedOn w:val="a"/>
    <w:qFormat/>
    <w:pPr>
      <w:spacing w:line="240" w:lineRule="auto"/>
    </w:pPr>
    <w:rPr>
      <w:rFonts w:cs="Times New Roman"/>
      <w:sz w:val="21"/>
      <w:szCs w:val="20"/>
    </w:rPr>
  </w:style>
  <w:style w:type="character" w:customStyle="1" w:styleId="font01">
    <w:name w:val="font01"/>
    <w:basedOn w:val="a0"/>
    <w:qFormat/>
    <w:rPr>
      <w:rFonts w:ascii="Arial" w:hAnsi="Arial" w:cs="Arial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HTML Preformatted" w:semiHidden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Calibri" w:hAnsi="Calibri" w:cs="宋体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Calibri" w:hAnsi="Calibri" w:cs="宋体"/>
      <w:sz w:val="18"/>
      <w:szCs w:val="18"/>
    </w:rPr>
  </w:style>
  <w:style w:type="paragraph" w:styleId="HTML">
    <w:name w:val="HTML Preformatted"/>
    <w:basedOn w:val="a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Times New Roman" w:hint="eastAsia"/>
      <w:kern w:val="0"/>
    </w:rPr>
  </w:style>
  <w:style w:type="paragraph" w:styleId="a5">
    <w:name w:val="Normal (Web)"/>
    <w:basedOn w:val="a"/>
    <w:uiPriority w:val="99"/>
    <w:qFormat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spacing w:line="240" w:lineRule="auto"/>
      <w:ind w:firstLineChars="200" w:firstLine="420"/>
    </w:pPr>
    <w:rPr>
      <w:rFonts w:ascii="等线" w:eastAsia="等线" w:hAnsi="等线" w:cs="Times New Roman"/>
      <w:sz w:val="21"/>
      <w:szCs w:val="22"/>
    </w:rPr>
  </w:style>
  <w:style w:type="paragraph" w:customStyle="1" w:styleId="msolistparagraph0">
    <w:name w:val="msolistparagraph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CharChar1CharCharCharChar">
    <w:name w:val="Char Char1 Char Char Char Char"/>
    <w:basedOn w:val="a"/>
    <w:qFormat/>
    <w:pPr>
      <w:spacing w:line="240" w:lineRule="auto"/>
    </w:pPr>
    <w:rPr>
      <w:rFonts w:cs="Times New Roman"/>
      <w:sz w:val="21"/>
      <w:szCs w:val="20"/>
    </w:rPr>
  </w:style>
  <w:style w:type="character" w:customStyle="1" w:styleId="font01">
    <w:name w:val="font01"/>
    <w:basedOn w:val="a0"/>
    <w:qFormat/>
    <w:rPr>
      <w:rFonts w:ascii="Arial" w:hAnsi="Arial" w:cs="Arial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1885</Words>
  <Characters>507</Characters>
  <Application>Microsoft Office Word</Application>
  <DocSecurity>0</DocSecurity>
  <Lines>4</Lines>
  <Paragraphs>4</Paragraphs>
  <ScaleCrop>false</ScaleCrop>
  <Company>Microsoft</Company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Microsoft</cp:lastModifiedBy>
  <cp:revision>7</cp:revision>
  <cp:lastPrinted>2019-10-21T02:04:00Z</cp:lastPrinted>
  <dcterms:created xsi:type="dcterms:W3CDTF">2020-11-12T03:58:00Z</dcterms:created>
  <dcterms:modified xsi:type="dcterms:W3CDTF">2021-03-04T11:38:00Z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