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379EAD" w14:textId="77777777" w:rsidR="00283D0C" w:rsidRDefault="00443B4D">
      <w:pPr>
        <w:adjustRightInd w:val="0"/>
        <w:snapToGrid w:val="0"/>
        <w:spacing w:beforeLines="50" w:before="156" w:line="240" w:lineRule="atLeast"/>
        <w:jc w:val="center"/>
        <w:rPr>
          <w:rFonts w:hAnsi="宋体" w:cs="Times New Roman" w:hint="eastAsia"/>
          <w:bCs/>
          <w:kern w:val="0"/>
          <w:sz w:val="44"/>
          <w:szCs w:val="44"/>
        </w:rPr>
      </w:pPr>
      <w:r>
        <w:rPr>
          <w:rFonts w:hAnsi="宋体" w:cs="Times New Roman" w:hint="eastAsia"/>
          <w:bCs/>
          <w:kern w:val="0"/>
          <w:sz w:val="44"/>
          <w:szCs w:val="44"/>
        </w:rPr>
        <w:t>便携式全自动核酸检测系统</w:t>
      </w:r>
    </w:p>
    <w:p w14:paraId="2AE7C794" w14:textId="41CF17C8" w:rsidR="000514DA" w:rsidRDefault="00283D0C">
      <w:pPr>
        <w:adjustRightInd w:val="0"/>
        <w:snapToGrid w:val="0"/>
        <w:spacing w:beforeLines="50" w:before="156" w:line="240" w:lineRule="atLeast"/>
        <w:jc w:val="center"/>
        <w:rPr>
          <w:rFonts w:cs="Times New Roman"/>
          <w:bCs/>
          <w:kern w:val="0"/>
          <w:sz w:val="44"/>
          <w:szCs w:val="44"/>
        </w:rPr>
      </w:pPr>
      <w:bookmarkStart w:id="0" w:name="_GoBack"/>
      <w:bookmarkEnd w:id="0"/>
      <w:r>
        <w:rPr>
          <w:rFonts w:hAnsi="宋体" w:cs="Times New Roman" w:hint="eastAsia"/>
          <w:bCs/>
          <w:kern w:val="0"/>
          <w:sz w:val="44"/>
          <w:szCs w:val="44"/>
        </w:rPr>
        <w:t>技术参数确认表</w:t>
      </w:r>
    </w:p>
    <w:tbl>
      <w:tblPr>
        <w:tblW w:w="99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711"/>
        <w:gridCol w:w="5368"/>
        <w:gridCol w:w="2094"/>
      </w:tblGrid>
      <w:tr w:rsidR="000514DA" w14:paraId="172D7D46" w14:textId="77777777">
        <w:trPr>
          <w:trHeight w:val="66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8E03AB5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序号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D38DF3C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技术和性能参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br/>
              <w:t>数名称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9D8E474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技术参数和性能要求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0C10018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备注</w:t>
            </w:r>
          </w:p>
        </w:tc>
      </w:tr>
      <w:tr w:rsidR="000514DA" w14:paraId="4FE446E2" w14:textId="77777777">
        <w:trPr>
          <w:trHeight w:val="72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72BB721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31D3883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设备使用需求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30DFD64" w14:textId="77777777" w:rsidR="000514DA" w:rsidRDefault="000514DA">
            <w:pPr>
              <w:jc w:val="center"/>
              <w:rPr>
                <w:rFonts w:ascii="宋体" w:hAnsi="宋体" w:cs="宋体"/>
                <w:b/>
                <w:color w:val="000000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ABEAC4A" w14:textId="77777777" w:rsidR="000514DA" w:rsidRDefault="000514DA">
            <w:pPr>
              <w:jc w:val="left"/>
              <w:rPr>
                <w:rFonts w:ascii="宋体" w:hAnsi="宋体" w:cs="宋体"/>
                <w:b/>
                <w:color w:val="000000"/>
              </w:rPr>
            </w:pPr>
          </w:p>
        </w:tc>
      </w:tr>
      <w:tr w:rsidR="000514DA" w14:paraId="20B07C86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3802831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6929C57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设备用途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184ACD2" w14:textId="77777777" w:rsidR="000514DA" w:rsidRDefault="00443B4D">
            <w:pPr>
              <w:widowControl/>
              <w:spacing w:line="24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lang w:bidi="ar"/>
              </w:rPr>
              <w:t>一体化进行快速的核酸提取、扩增、检测分析，并进行简易的结果打印和报告，搭载涵盖特殊项目（新冠病毒等）和基础项目（HBV、HPV、EBV等），满足医院应急检测和基础项目快速检测需求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9E6A763" w14:textId="77777777" w:rsidR="000514DA" w:rsidRDefault="000514DA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514DA" w14:paraId="73B5C121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DA5E863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1.2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0D0F149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实验对象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AC556C2" w14:textId="77777777" w:rsidR="000514DA" w:rsidRDefault="00443B4D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特殊项目（新冠病毒等）和基础项目（HBV、HPV、EBV等）对应的各类常见检测样本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F9E3720" w14:textId="77777777" w:rsidR="000514DA" w:rsidRDefault="000514DA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514DA" w14:paraId="7E5201F3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EBF0E98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1.3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29F9D96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特殊功能需求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06D3817" w14:textId="77777777" w:rsidR="000514DA" w:rsidRDefault="00443B4D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lang w:bidi="ar"/>
              </w:rPr>
              <w:t>厂家需提供≥2种NMPA三类证试剂，用于仪器的项目搭载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90DB7D3" w14:textId="77777777" w:rsidR="000514DA" w:rsidRDefault="000514DA">
            <w:pPr>
              <w:jc w:val="left"/>
              <w:rPr>
                <w:rFonts w:ascii="宋体" w:hAnsi="宋体" w:cs="宋体"/>
                <w:b/>
                <w:color w:val="000000"/>
              </w:rPr>
            </w:pPr>
          </w:p>
        </w:tc>
      </w:tr>
      <w:tr w:rsidR="000514DA" w14:paraId="1413A9CD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B21C17D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90895C7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主要技术参数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966C410" w14:textId="77777777" w:rsidR="000514DA" w:rsidRDefault="000514DA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67C92AC" w14:textId="77777777" w:rsidR="000514DA" w:rsidRDefault="000514DA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514DA" w14:paraId="4143C380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165E4BB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D04A9CF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★参数1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6F335CD" w14:textId="77777777" w:rsidR="000514DA" w:rsidRDefault="00443B4D">
            <w:pPr>
              <w:pStyle w:val="a6"/>
              <w:spacing w:line="276" w:lineRule="auto"/>
              <w:ind w:firstLineChars="0" w:firstLine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检测原理：单管多重荧光聚合酶链扩增反应（PCR）检测和恒温基因扩增反应检测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B63DDE0" w14:textId="77777777" w:rsidR="000514DA" w:rsidRDefault="00443B4D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</w:rPr>
              <w:t>单管多重荧光检测，提高单样本检测时效；采用聚合酶链扩增反应，灵敏度和特异性更高，应用更广泛。</w:t>
            </w:r>
          </w:p>
        </w:tc>
      </w:tr>
      <w:tr w:rsidR="000514DA" w14:paraId="2DE53814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FAFD958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831E89F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★参数2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DB60BEE" w14:textId="77777777" w:rsidR="000514DA" w:rsidRDefault="00443B4D">
            <w:pPr>
              <w:pStyle w:val="a6"/>
              <w:spacing w:line="276" w:lineRule="auto"/>
              <w:ind w:firstLineChars="0" w:firstLine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检测报告时长≤90分钟，快速出具简单实验结果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BF48027" w14:textId="77777777" w:rsidR="000514DA" w:rsidRDefault="00443B4D">
            <w:pPr>
              <w:pStyle w:val="a6"/>
              <w:spacing w:line="276" w:lineRule="auto"/>
              <w:ind w:firstLineChars="0" w:firstLine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真正实现快速核酸提取、检测、报告，有效提升诊断时效，为患者在最佳时间窗口获得最大便利提供有效手段。</w:t>
            </w:r>
          </w:p>
        </w:tc>
      </w:tr>
      <w:tr w:rsidR="000514DA" w14:paraId="12FBE448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DA51DEC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279CB96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★参数3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5842611" w14:textId="77777777" w:rsidR="000514DA" w:rsidRDefault="00443B4D">
            <w:pPr>
              <w:widowControl/>
              <w:spacing w:line="240" w:lineRule="auto"/>
              <w:rPr>
                <w:rFonts w:ascii="宋体" w:hAnsi="宋体"/>
                <w:bCs/>
              </w:rPr>
            </w:pPr>
            <w:r>
              <w:rPr>
                <w:rFonts w:ascii="宋体" w:hAnsi="宋体" w:cs="宋体" w:hint="eastAsia"/>
                <w:kern w:val="0"/>
              </w:rPr>
              <w:t>集核酸提取、扩增、检测于一体，已获国家CFDA/NMPA认证的三类医疗器械注册和CE认证产品；操作简单，便于移动携带；小体积，主要设备可放入生物安全柜内使用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9B51538" w14:textId="77777777" w:rsidR="000514DA" w:rsidRDefault="00443B4D">
            <w:pPr>
              <w:widowControl/>
              <w:spacing w:line="24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一体化设计，更利于移动、便携式应用和多场景条件下的使用和报告。经简单培训，即可被使用人掌握；获国家CFDA认证的三类医疗器械注册和CE认证产品，产品</w:t>
            </w:r>
            <w:r>
              <w:rPr>
                <w:rFonts w:ascii="宋体" w:hAnsi="宋体" w:cs="宋体" w:hint="eastAsia"/>
                <w:kern w:val="0"/>
              </w:rPr>
              <w:lastRenderedPageBreak/>
              <w:t>更有保障，且国内外支援使用更方便。主要设备可放置入生物安全柜内，可有效防控特殊应用场景下（如新冠病毒核酸检测）的生物安全风险。</w:t>
            </w:r>
          </w:p>
        </w:tc>
      </w:tr>
      <w:tr w:rsidR="000514DA" w14:paraId="448BDD28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47156F3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lastRenderedPageBreak/>
              <w:t>2.4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B219C57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▲参数4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3779D4F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cs="宋体" w:hint="eastAsia"/>
                <w:kern w:val="0"/>
              </w:rPr>
              <w:t>新冠核酸最低检测下限（灵敏度）≤500 copies/ml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EDAA22A" w14:textId="77777777" w:rsidR="000514DA" w:rsidRDefault="00443B4D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</w:rPr>
              <w:t>选择灵敏度越高的新冠病毒核酸检测试剂，更能减少阳性漏检和误诊，避免延误防控和治疗时机。</w:t>
            </w:r>
          </w:p>
        </w:tc>
      </w:tr>
      <w:tr w:rsidR="000514DA" w14:paraId="41571688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4B00E57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122EC09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▲参数5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3C5D33D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厂家能提供可搭载此仪器的使用的CFDA/NMPA三类证试剂项目≥2种；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74586F3" w14:textId="77777777" w:rsidR="000514DA" w:rsidRDefault="00443B4D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</w:rPr>
              <w:t>既能适用于特殊情况下的应急使用（如新冠核酸快速检测），也能适用于更多种基础项目的应用，避免设备后期闲置，提升应用效率。</w:t>
            </w:r>
          </w:p>
        </w:tc>
      </w:tr>
      <w:tr w:rsidR="000514DA" w14:paraId="5BCFFEAD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5083BCB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7EAB329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▲参数6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1E8129F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分析软件登录途径：配套触摸屏；程序运行：内置程序；界面语言：中英文切换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F1F38BA" w14:textId="77777777" w:rsidR="000514DA" w:rsidRDefault="00443B4D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配套触摸屏，并内置程序，可无需另外连接单独的电脑控制，使用更方便、灵活，应用场景更丰富。适合不同语种应用环境，方便国内外对口支援应用。</w:t>
            </w:r>
          </w:p>
        </w:tc>
      </w:tr>
      <w:tr w:rsidR="000514DA" w14:paraId="7445D899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56A1B26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2A054A6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▲参数7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BDC47F6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激发光源：高能、长寿命LED光源≥四色；检测通道数≥4通道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CC1722D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高能、长寿命的LED光源，仪器无需定期进行光源更换和校正。四色LED光源，更为精准的广波长控制。单管四色多重荧光聚合酶链扩增反应和检测，提高单样本检测时效。</w:t>
            </w:r>
          </w:p>
        </w:tc>
      </w:tr>
      <w:tr w:rsidR="000514DA" w14:paraId="26007E92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69364E3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F922351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▲参数8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461C5E0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配套使用的新冠核酸检测试剂盒，满足新型冠状病毒(2019-nCoV)RNA的保守基因片段 ORF1ab基因序</w:t>
            </w:r>
            <w:r>
              <w:rPr>
                <w:rFonts w:ascii="宋体" w:hAnsi="宋体" w:cs="宋体" w:hint="eastAsia"/>
                <w:kern w:val="0"/>
              </w:rPr>
              <w:lastRenderedPageBreak/>
              <w:t>列和N基因序列的检测，并采用内源性内标进行质量监测；满足一个扩增管内同时完成单样本ORF1ab基因、N基因和内源性内标的检测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5F0E7FC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lastRenderedPageBreak/>
              <w:t>符合《新型冠状病毒肺炎实验室检测</w:t>
            </w:r>
            <w:r>
              <w:rPr>
                <w:rFonts w:ascii="宋体" w:hAnsi="宋体" w:cs="宋体" w:hint="eastAsia"/>
                <w:kern w:val="0"/>
              </w:rPr>
              <w:lastRenderedPageBreak/>
              <w:t>技术指南》中新型冠状病毒的实验室检测相关要求。新冠核酸检测采用内源性内标，可对采样、核酸提取和检测过程进行全过程监控，质量保障更好。一个扩增管内同时进行新型冠状病毒(2019-nCoV)RNA的保守基因片段 ORF1ab基因序列和N基因序列的检测，仪器单孔检测能力更优。</w:t>
            </w:r>
          </w:p>
        </w:tc>
      </w:tr>
      <w:tr w:rsidR="000514DA" w14:paraId="168583B3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C048093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lastRenderedPageBreak/>
              <w:t>2.9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3C589ED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参数9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C49331F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灵敏度：可检测单拷贝基因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F3B06EC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灵敏度高，提升检测报告质量。</w:t>
            </w:r>
          </w:p>
        </w:tc>
      </w:tr>
      <w:tr w:rsidR="000514DA" w14:paraId="4192D9DA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B1A162A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2D0FC35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参数10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6686AE0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动态线性范围/线性度：8个或更多数量级/梯队线性回归系数R≥0.99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ED8E33F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动态线性范围宽，线性回归系数高，适用性强，结果更准确。</w:t>
            </w:r>
          </w:p>
        </w:tc>
      </w:tr>
      <w:tr w:rsidR="000514DA" w14:paraId="4F8A0E13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9BC649A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B6C2AB6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FAF3586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升温速率：最快≥6.0℃/秒（50℃~90℃）；降温速率：最快≥2.0℃/秒（50℃~90℃）。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FA5325F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升降温速率快，提升扩增检测效率。</w:t>
            </w:r>
          </w:p>
        </w:tc>
      </w:tr>
      <w:tr w:rsidR="000514DA" w14:paraId="374B15E3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E4AC524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579F8E8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参数12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34E9575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温度精确度：≤±0.5℃（50℃~90℃）；温度控制范围：室温±5℃至99℃。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8C84D51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温度精确性高，扩增更稳定，一致性更好；变温PCR，扩增检测灵敏度更高。</w:t>
            </w:r>
          </w:p>
        </w:tc>
      </w:tr>
      <w:tr w:rsidR="000514DA" w14:paraId="0C4B52A2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69380CD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3C1226B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参数13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3525CEE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检测器：高灵敏度光电二极管；检出限：＜2nM（对于FAM/VIC/ROX/CY5）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9C3EC42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光学感应敏感度越高，检测限越低，仪器越灵敏，结果更准确，性能更卓越。</w:t>
            </w:r>
          </w:p>
        </w:tc>
      </w:tr>
      <w:tr w:rsidR="000514DA" w14:paraId="20D4876E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0ADBC3C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41B2A27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参数14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12D0AA4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检测方式：实时动态监测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7FDDB58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直观、高效，便于实时观察仪器使用动态。而且可实现更快速的阳性结果报告效率。</w:t>
            </w:r>
          </w:p>
        </w:tc>
      </w:tr>
      <w:tr w:rsidR="000514DA" w14:paraId="278B85CE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45C3857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0EA2FFB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参数15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33F89E0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适用染料至少包括：FAM；VIC；ROX；CY5等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7991A1C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适用常见的荧光染料，荧光更稳定，应用更有保障。</w:t>
            </w:r>
          </w:p>
        </w:tc>
      </w:tr>
      <w:tr w:rsidR="000514DA" w14:paraId="3C9F0021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E98FD50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lastRenderedPageBreak/>
              <w:t>2.16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E3AB8DC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参数16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DD29EBE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提取原理：采用快速核酸释放技术提取，并能提供注册版的快速核酸提取试剂。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420E286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快速核酸释放技术，应用简便、快速，既能满足操作简便的需求，同时易学，易掌握，也可实现快速的自动化核酸提取，提升整个核酸检测时效性。</w:t>
            </w:r>
          </w:p>
        </w:tc>
      </w:tr>
      <w:tr w:rsidR="000514DA" w14:paraId="29813E9D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AD4B679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D691A8C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参数17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42C377E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kern w:val="0"/>
              </w:rPr>
              <w:t>可在仪器上开展的CFDA/NMPA注册试剂项目至少包括2019-nCoV、TB、HBV、HPV、NG、CT、UU、MP等；可在仪器上开展的其他拓展试剂项目包括HCV、EBV、ADV、BP、MG、ALDH2&amp;ADH1B、HLA-B27、MATHFR、CYP2C19等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F598CF3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更多的可应用CFDA注册试剂检测项目，除了能保障新冠疫情期间的公共卫生健康和疾病预防控制，也能提升和保障疫情外的相关检测服务能力；更多的可应用检测项目，除了能保障新冠疫情期间的公共卫生健康和疾病预防控制，也能提升和保障疫情外的相关检测服务能力。</w:t>
            </w:r>
          </w:p>
        </w:tc>
      </w:tr>
      <w:tr w:rsidR="000514DA" w14:paraId="37B6C671" w14:textId="77777777">
        <w:trPr>
          <w:trHeight w:val="81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E4BDC15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F4703AC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配置需求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264A27F" w14:textId="77777777" w:rsidR="000514DA" w:rsidRDefault="000514D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9BAA0C6" w14:textId="77777777" w:rsidR="000514DA" w:rsidRDefault="000514DA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514DA" w14:paraId="052251E1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9E7A6DA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6F8F62D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配置1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7" w:type="dxa"/>
              <w:left w:w="74" w:type="dxa"/>
              <w:right w:w="74" w:type="dxa"/>
            </w:tcMar>
            <w:vAlign w:val="center"/>
          </w:tcPr>
          <w:p w14:paraId="5808F549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仪器整机1台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AB6E2A9" w14:textId="77777777" w:rsidR="000514DA" w:rsidRDefault="000514DA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514DA" w14:paraId="19E91445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0ABC81C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3.2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9288376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配置2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247FC91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电源线1根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EB11114" w14:textId="77777777" w:rsidR="000514DA" w:rsidRDefault="000514DA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514DA" w14:paraId="6F6BD551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DBB530A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3.3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66D7469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配置3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017A874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手掌式离心机1台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6A6287B" w14:textId="77777777" w:rsidR="000514DA" w:rsidRDefault="000514DA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514DA" w14:paraId="128BC37B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6E36E14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3.4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E02AD3D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配置4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7BCCAF0" w14:textId="77777777" w:rsidR="000514DA" w:rsidRDefault="00443B4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说明书1本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0C2217E" w14:textId="77777777" w:rsidR="000514DA" w:rsidRDefault="000514DA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514DA" w14:paraId="7DEB0FC8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6D6FDF5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0D9634A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售后服务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EC2EC11" w14:textId="77777777" w:rsidR="000514DA" w:rsidRDefault="000514DA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6E72E60" w14:textId="77777777" w:rsidR="000514DA" w:rsidRDefault="000514DA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514DA" w14:paraId="2B1AD458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DC975F9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4BFB748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保修年限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9E73F96" w14:textId="77777777" w:rsidR="000514DA" w:rsidRDefault="00443B4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kern w:val="0"/>
              </w:rPr>
              <w:t>海外安装,海外维保≥3年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77F5634" w14:textId="77777777" w:rsidR="000514DA" w:rsidRDefault="000514DA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514DA" w14:paraId="4D290217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F510A70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30A35B1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出现故障回应时间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9BA9A52" w14:textId="400DE6AD" w:rsidR="000514DA" w:rsidRDefault="00F42DFB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 xml:space="preserve">维修响应时间≤ </w:t>
            </w:r>
            <w:r>
              <w:rPr>
                <w:rFonts w:ascii="宋体" w:hAnsi="宋体" w:cs="宋体"/>
                <w:color w:val="000000"/>
                <w:kern w:val="0"/>
                <w:lang w:bidi="ar"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小时</w:t>
            </w: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br/>
              <w:t>维修修复时间≤4</w:t>
            </w:r>
            <w:r>
              <w:rPr>
                <w:rFonts w:ascii="宋体" w:hAnsi="宋体" w:cs="宋体"/>
                <w:color w:val="000000"/>
                <w:kern w:val="0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天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6BF1F84" w14:textId="77777777" w:rsidR="000514DA" w:rsidRDefault="000514DA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514DA" w14:paraId="75670981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941FEDA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lastRenderedPageBreak/>
              <w:t>4.3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3DACA83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维修支持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B97CAD8" w14:textId="77777777" w:rsidR="000514DA" w:rsidRDefault="00443B4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配件供应时间≥10年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94DB6B5" w14:textId="77777777" w:rsidR="000514DA" w:rsidRDefault="000514DA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514DA" w14:paraId="3FEFEAB8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CE48C35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6E387EC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耗材及零配件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1E24B30" w14:textId="77777777" w:rsidR="000514DA" w:rsidRDefault="00443B4D">
            <w:pPr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提供耗材及主要零配件目录（含报价）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16B6433" w14:textId="77777777" w:rsidR="000514DA" w:rsidRDefault="000514DA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514DA" w14:paraId="4D22828D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20C67C9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0F68D24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维修资料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D91997C" w14:textId="77777777" w:rsidR="000514DA" w:rsidRDefault="00443B4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提供详细操作手册、维修保养手册、安装手册等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5BA0A1C" w14:textId="77777777" w:rsidR="000514DA" w:rsidRDefault="000514DA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514DA" w14:paraId="3F9BAC0C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FF745C5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C3C7BA6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维修工具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760440F" w14:textId="77777777" w:rsidR="000514DA" w:rsidRDefault="00443B4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提供维修专用工具1套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31FA222" w14:textId="77777777" w:rsidR="000514DA" w:rsidRDefault="000514DA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514DA" w14:paraId="117BDB82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2241CF4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E779940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预防性维修</w:t>
            </w: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br/>
              <w:t>/定期维护保养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D3F1992" w14:textId="77777777" w:rsidR="000514DA" w:rsidRDefault="00443B4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保修期内提供定期维护保养服务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8C4D067" w14:textId="77777777" w:rsidR="000514DA" w:rsidRDefault="000514DA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514DA" w14:paraId="6968665F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7A0C6C4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DF6446A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维修密码支持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BAB6FF8" w14:textId="77777777" w:rsidR="000514DA" w:rsidRDefault="00443B4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开放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AF378A6" w14:textId="77777777" w:rsidR="000514DA" w:rsidRDefault="000514DA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514DA" w14:paraId="2BE7753D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52C4445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E43EB46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升级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EA5BEF6" w14:textId="77777777" w:rsidR="000514DA" w:rsidRDefault="00443B4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终身免费软件升级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79BB7CF" w14:textId="77777777" w:rsidR="000514DA" w:rsidRDefault="000514DA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514DA" w14:paraId="5BB83609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9897482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94786C7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使用培训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80A5B2F" w14:textId="77777777" w:rsidR="000514DA" w:rsidRDefault="00443B4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支持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058DA37" w14:textId="77777777" w:rsidR="000514DA" w:rsidRDefault="000514DA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514DA" w14:paraId="7275851E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4FDF11A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4.11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D17599F" w14:textId="77777777" w:rsidR="000514DA" w:rsidRDefault="00443B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工程师培训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3D6072B" w14:textId="77777777" w:rsidR="000514DA" w:rsidRDefault="00443B4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支持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4DDF7BB" w14:textId="77777777" w:rsidR="000514DA" w:rsidRDefault="000514DA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14:paraId="2180B4FB" w14:textId="77777777" w:rsidR="000514DA" w:rsidRDefault="00443B4D">
      <w:pPr>
        <w:spacing w:line="520" w:lineRule="exact"/>
        <w:jc w:val="left"/>
        <w:rPr>
          <w:rFonts w:asciiTheme="minorEastAsia" w:hAnsiTheme="minorEastAsia" w:cs="Times New Roman"/>
          <w:kern w:val="0"/>
          <w:lang w:val="zh-CN"/>
        </w:rPr>
      </w:pPr>
      <w:r>
        <w:rPr>
          <w:rFonts w:asciiTheme="minorEastAsia" w:hAnsiTheme="minorEastAsia" w:cs="Times New Roman" w:hint="eastAsia"/>
          <w:kern w:val="0"/>
          <w:lang w:val="zh-CN"/>
        </w:rPr>
        <w:t>注：</w:t>
      </w:r>
      <w:r>
        <w:rPr>
          <w:rFonts w:ascii="宋体" w:hAnsi="宋体" w:cs="宋体" w:hint="eastAsia"/>
          <w:kern w:val="0"/>
        </w:rPr>
        <w:t>按照先</w:t>
      </w:r>
      <w:r>
        <w:rPr>
          <w:rFonts w:asciiTheme="minorEastAsia" w:hAnsiTheme="minorEastAsia" w:cs="Times New Roman" w:hint="eastAsia"/>
          <w:kern w:val="0"/>
          <w:lang w:val="zh-CN"/>
        </w:rPr>
        <w:t>关键重要技术指标</w:t>
      </w:r>
      <w:r>
        <w:rPr>
          <w:rFonts w:ascii="宋体" w:hAnsi="宋体" w:cs="宋体" w:hint="eastAsia"/>
          <w:kern w:val="0"/>
        </w:rPr>
        <w:t>参数、</w:t>
      </w:r>
      <w:r>
        <w:rPr>
          <w:rFonts w:asciiTheme="minorEastAsia" w:hAnsiTheme="minorEastAsia" w:cs="Times New Roman" w:hint="eastAsia"/>
          <w:kern w:val="0"/>
          <w:lang w:val="zh-CN"/>
        </w:rPr>
        <w:t>重要指标参数，</w:t>
      </w:r>
      <w:r>
        <w:rPr>
          <w:rFonts w:ascii="宋体" w:hAnsi="宋体" w:cs="宋体" w:hint="eastAsia"/>
          <w:kern w:val="0"/>
        </w:rPr>
        <w:t>后一般参数的顺序分别描述，不得有排他性限定条款，不得粘贴说明书或以描述性语言罗列赘述</w:t>
      </w:r>
      <w:r>
        <w:rPr>
          <w:rFonts w:asciiTheme="minorEastAsia" w:hAnsiTheme="minorEastAsia" w:cs="Times New Roman" w:hint="eastAsia"/>
          <w:kern w:val="0"/>
          <w:lang w:val="zh-CN"/>
        </w:rPr>
        <w:t>；关键重要技术指标参数以</w:t>
      </w:r>
      <w:r>
        <w:rPr>
          <w:rFonts w:asciiTheme="minorEastAsia" w:hAnsiTheme="minorEastAsia" w:cs="宋体" w:hint="eastAsia"/>
          <w:kern w:val="0"/>
          <w:lang w:val="zh-CN"/>
        </w:rPr>
        <w:t>★</w:t>
      </w:r>
      <w:r>
        <w:rPr>
          <w:rFonts w:asciiTheme="minorEastAsia" w:hAnsiTheme="minorEastAsia" w:cs="Times New Roman" w:hint="eastAsia"/>
          <w:kern w:val="0"/>
          <w:lang w:val="zh-CN"/>
        </w:rPr>
        <w:t>标记（有1项不满足即按无效投标处理）为2-3条，</w:t>
      </w:r>
      <w:bookmarkStart w:id="1" w:name="_Hlk45092004"/>
      <w:r>
        <w:rPr>
          <w:rFonts w:asciiTheme="minorEastAsia" w:hAnsiTheme="minorEastAsia" w:cs="Times New Roman" w:hint="eastAsia"/>
          <w:kern w:val="0"/>
          <w:lang w:val="zh-CN"/>
        </w:rPr>
        <w:t>重要指标参数</w:t>
      </w:r>
      <w:bookmarkEnd w:id="1"/>
      <w:r>
        <w:rPr>
          <w:rFonts w:asciiTheme="minorEastAsia" w:hAnsiTheme="minorEastAsia" w:cs="Times New Roman" w:hint="eastAsia"/>
          <w:kern w:val="0"/>
          <w:lang w:val="zh-CN"/>
        </w:rPr>
        <w:t>以▲标记为3-5条，一般技术指标参数不作标记；总参数不得超过20条。</w:t>
      </w:r>
    </w:p>
    <w:p w14:paraId="61ABB602" w14:textId="77777777" w:rsidR="000514DA" w:rsidRDefault="000514DA">
      <w:pPr>
        <w:spacing w:line="520" w:lineRule="exact"/>
        <w:jc w:val="left"/>
        <w:rPr>
          <w:rFonts w:asciiTheme="majorEastAsia" w:eastAsiaTheme="majorEastAsia" w:hAnsiTheme="majorEastAsia" w:cs="Times New Roman"/>
        </w:rPr>
      </w:pPr>
    </w:p>
    <w:sectPr w:rsidR="000514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609B3" w14:textId="77777777" w:rsidR="00443B4D" w:rsidRDefault="00443B4D" w:rsidP="00F42DFB">
      <w:pPr>
        <w:spacing w:line="240" w:lineRule="auto"/>
      </w:pPr>
      <w:r>
        <w:separator/>
      </w:r>
    </w:p>
  </w:endnote>
  <w:endnote w:type="continuationSeparator" w:id="0">
    <w:p w14:paraId="1926CBBB" w14:textId="77777777" w:rsidR="00443B4D" w:rsidRDefault="00443B4D" w:rsidP="00F42D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C9207" w14:textId="77777777" w:rsidR="00443B4D" w:rsidRDefault="00443B4D" w:rsidP="00F42DFB">
      <w:pPr>
        <w:spacing w:line="240" w:lineRule="auto"/>
      </w:pPr>
      <w:r>
        <w:separator/>
      </w:r>
    </w:p>
  </w:footnote>
  <w:footnote w:type="continuationSeparator" w:id="0">
    <w:p w14:paraId="45443F4C" w14:textId="77777777" w:rsidR="00443B4D" w:rsidRDefault="00443B4D" w:rsidP="00F42DF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5B5"/>
    <w:rsid w:val="000160EC"/>
    <w:rsid w:val="00037DB1"/>
    <w:rsid w:val="000514DA"/>
    <w:rsid w:val="00054325"/>
    <w:rsid w:val="00092DFE"/>
    <w:rsid w:val="000B79A0"/>
    <w:rsid w:val="000C6EAA"/>
    <w:rsid w:val="00121D8B"/>
    <w:rsid w:val="001370F4"/>
    <w:rsid w:val="001C50A8"/>
    <w:rsid w:val="00272CAA"/>
    <w:rsid w:val="00283D0C"/>
    <w:rsid w:val="002A5EAB"/>
    <w:rsid w:val="002B6205"/>
    <w:rsid w:val="003464C4"/>
    <w:rsid w:val="00382674"/>
    <w:rsid w:val="00443B4D"/>
    <w:rsid w:val="0049035A"/>
    <w:rsid w:val="004A471D"/>
    <w:rsid w:val="004C583D"/>
    <w:rsid w:val="00515F0D"/>
    <w:rsid w:val="00547BA6"/>
    <w:rsid w:val="005A7352"/>
    <w:rsid w:val="005F2578"/>
    <w:rsid w:val="00601363"/>
    <w:rsid w:val="00607FDF"/>
    <w:rsid w:val="006226EF"/>
    <w:rsid w:val="006A5308"/>
    <w:rsid w:val="00745008"/>
    <w:rsid w:val="007B3563"/>
    <w:rsid w:val="007D1102"/>
    <w:rsid w:val="007E1636"/>
    <w:rsid w:val="008E5EF4"/>
    <w:rsid w:val="008F16C7"/>
    <w:rsid w:val="009266FC"/>
    <w:rsid w:val="00937C2A"/>
    <w:rsid w:val="00942499"/>
    <w:rsid w:val="00943CF3"/>
    <w:rsid w:val="009C2A5D"/>
    <w:rsid w:val="00A75514"/>
    <w:rsid w:val="00AC77D8"/>
    <w:rsid w:val="00B50550"/>
    <w:rsid w:val="00BB5B81"/>
    <w:rsid w:val="00BC7352"/>
    <w:rsid w:val="00C303C7"/>
    <w:rsid w:val="00C425B5"/>
    <w:rsid w:val="00C54B5E"/>
    <w:rsid w:val="00CB54B4"/>
    <w:rsid w:val="00CE71F6"/>
    <w:rsid w:val="00D3102C"/>
    <w:rsid w:val="00DF1CB7"/>
    <w:rsid w:val="00E65BA6"/>
    <w:rsid w:val="00E97E26"/>
    <w:rsid w:val="00EE256D"/>
    <w:rsid w:val="00F028C4"/>
    <w:rsid w:val="00F42DFB"/>
    <w:rsid w:val="14B7680F"/>
    <w:rsid w:val="19813898"/>
    <w:rsid w:val="1B997ECF"/>
    <w:rsid w:val="1C2743BF"/>
    <w:rsid w:val="24AE4782"/>
    <w:rsid w:val="2B236BB7"/>
    <w:rsid w:val="2F2B33A1"/>
    <w:rsid w:val="2F4A1681"/>
    <w:rsid w:val="3149634A"/>
    <w:rsid w:val="3647670B"/>
    <w:rsid w:val="37DA273A"/>
    <w:rsid w:val="38B31DF8"/>
    <w:rsid w:val="393D49F5"/>
    <w:rsid w:val="42253E7A"/>
    <w:rsid w:val="428A7B2F"/>
    <w:rsid w:val="42BE3F25"/>
    <w:rsid w:val="47483DAD"/>
    <w:rsid w:val="488E2A45"/>
    <w:rsid w:val="4B284490"/>
    <w:rsid w:val="54104954"/>
    <w:rsid w:val="5DAC607E"/>
    <w:rsid w:val="5F98714D"/>
    <w:rsid w:val="6D6C0ED4"/>
    <w:rsid w:val="6FC24BC4"/>
    <w:rsid w:val="70007D3E"/>
    <w:rsid w:val="72A008E7"/>
    <w:rsid w:val="779A2C61"/>
    <w:rsid w:val="77C05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321B6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Calibri" w:hAnsi="Calibri" w:cs="宋体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hAnsi="Calibri" w:cs="宋体"/>
      <w:sz w:val="18"/>
      <w:szCs w:val="18"/>
    </w:rPr>
  </w:style>
  <w:style w:type="paragraph" w:styleId="HTML">
    <w:name w:val="HTML Preformatted"/>
    <w:basedOn w:val="a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Times New Roman" w:hint="eastAsia"/>
      <w:kern w:val="0"/>
    </w:rPr>
  </w:style>
  <w:style w:type="paragraph" w:styleId="a5">
    <w:name w:val="Normal (Web)"/>
    <w:basedOn w:val="a"/>
    <w:uiPriority w:val="99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spacing w:line="240" w:lineRule="auto"/>
      <w:ind w:firstLineChars="200" w:firstLine="420"/>
    </w:pPr>
    <w:rPr>
      <w:rFonts w:ascii="等线" w:eastAsia="等线" w:hAnsi="等线" w:cs="Times New Roman"/>
      <w:sz w:val="21"/>
      <w:szCs w:val="22"/>
    </w:rPr>
  </w:style>
  <w:style w:type="paragraph" w:customStyle="1" w:styleId="msolistparagraph0">
    <w:name w:val="msolistparagraph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1CharCharCharChar">
    <w:name w:val="Char Char1 Char Char Char Char"/>
    <w:basedOn w:val="a"/>
    <w:qFormat/>
    <w:pPr>
      <w:spacing w:line="240" w:lineRule="auto"/>
    </w:pPr>
    <w:rPr>
      <w:rFonts w:cs="Times New Roman"/>
      <w:sz w:val="21"/>
      <w:szCs w:val="20"/>
    </w:rPr>
  </w:style>
  <w:style w:type="character" w:customStyle="1" w:styleId="font01">
    <w:name w:val="font01"/>
    <w:basedOn w:val="a0"/>
    <w:qFormat/>
    <w:rPr>
      <w:rFonts w:ascii="Arial" w:hAnsi="Arial" w:cs="Arial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Calibri" w:hAnsi="Calibri" w:cs="宋体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hAnsi="Calibri" w:cs="宋体"/>
      <w:sz w:val="18"/>
      <w:szCs w:val="18"/>
    </w:rPr>
  </w:style>
  <w:style w:type="paragraph" w:styleId="HTML">
    <w:name w:val="HTML Preformatted"/>
    <w:basedOn w:val="a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Times New Roman" w:hint="eastAsia"/>
      <w:kern w:val="0"/>
    </w:rPr>
  </w:style>
  <w:style w:type="paragraph" w:styleId="a5">
    <w:name w:val="Normal (Web)"/>
    <w:basedOn w:val="a"/>
    <w:uiPriority w:val="99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spacing w:line="240" w:lineRule="auto"/>
      <w:ind w:firstLineChars="200" w:firstLine="420"/>
    </w:pPr>
    <w:rPr>
      <w:rFonts w:ascii="等线" w:eastAsia="等线" w:hAnsi="等线" w:cs="Times New Roman"/>
      <w:sz w:val="21"/>
      <w:szCs w:val="22"/>
    </w:rPr>
  </w:style>
  <w:style w:type="paragraph" w:customStyle="1" w:styleId="msolistparagraph0">
    <w:name w:val="msolistparagraph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1CharCharCharChar">
    <w:name w:val="Char Char1 Char Char Char Char"/>
    <w:basedOn w:val="a"/>
    <w:qFormat/>
    <w:pPr>
      <w:spacing w:line="240" w:lineRule="auto"/>
    </w:pPr>
    <w:rPr>
      <w:rFonts w:cs="Times New Roman"/>
      <w:sz w:val="21"/>
      <w:szCs w:val="20"/>
    </w:rPr>
  </w:style>
  <w:style w:type="character" w:customStyle="1" w:styleId="font01">
    <w:name w:val="font01"/>
    <w:basedOn w:val="a0"/>
    <w:qFormat/>
    <w:rPr>
      <w:rFonts w:ascii="Arial" w:hAnsi="Arial" w:cs="Arial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409</Words>
  <Characters>2333</Characters>
  <Application>Microsoft Office Word</Application>
  <DocSecurity>0</DocSecurity>
  <Lines>19</Lines>
  <Paragraphs>5</Paragraphs>
  <ScaleCrop>false</ScaleCrop>
  <Company>Microsoft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Microsoft</cp:lastModifiedBy>
  <cp:revision>7</cp:revision>
  <cp:lastPrinted>2019-10-21T02:04:00Z</cp:lastPrinted>
  <dcterms:created xsi:type="dcterms:W3CDTF">2020-11-12T03:58:00Z</dcterms:created>
  <dcterms:modified xsi:type="dcterms:W3CDTF">2021-03-04T11:37:00Z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