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006" w:rsidRPr="00670E6D" w:rsidRDefault="00F1652E" w:rsidP="00670E6D">
      <w:pPr>
        <w:adjustRightInd w:val="0"/>
        <w:snapToGrid w:val="0"/>
        <w:spacing w:beforeLines="50" w:line="240" w:lineRule="atLeast"/>
        <w:rPr>
          <w:rFonts w:ascii="方正小标宋简体" w:eastAsia="方正小标宋简体" w:cs="Times New Roman" w:hint="eastAsia"/>
          <w:bCs/>
          <w:kern w:val="0"/>
          <w:sz w:val="44"/>
          <w:szCs w:val="44"/>
        </w:rPr>
      </w:pPr>
      <w:r w:rsidRPr="00670E6D">
        <w:rPr>
          <w:rFonts w:ascii="方正小标宋简体" w:eastAsia="方正小标宋简体" w:hAnsi="宋体" w:cs="Times New Roman" w:hint="eastAsia"/>
          <w:bCs/>
          <w:kern w:val="0"/>
          <w:sz w:val="44"/>
          <w:szCs w:val="44"/>
        </w:rPr>
        <w:t>全自动医用PCR分析系统技术参数确认表</w:t>
      </w:r>
    </w:p>
    <w:tbl>
      <w:tblPr>
        <w:tblW w:w="9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764"/>
        <w:gridCol w:w="1711"/>
        <w:gridCol w:w="5368"/>
        <w:gridCol w:w="2094"/>
      </w:tblGrid>
      <w:tr w:rsidR="000C1006" w:rsidTr="00670E6D">
        <w:trPr>
          <w:trHeight w:val="66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序号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技术和性能参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br/>
              <w:t>数名称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技术参数和性能要求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备注</w:t>
            </w:r>
          </w:p>
        </w:tc>
      </w:tr>
      <w:tr w:rsidR="000C1006" w:rsidTr="00670E6D">
        <w:trPr>
          <w:trHeight w:val="72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1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设备使用需求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center"/>
              <w:rPr>
                <w:rFonts w:ascii="宋体" w:hAnsi="宋体" w:cs="宋体"/>
                <w:b/>
                <w:color w:val="000000"/>
              </w:rPr>
            </w:pP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b/>
                <w:color w:val="000000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1.1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设备用途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lang/>
              </w:rPr>
              <w:t>主要用于结核分枝杆菌及利福平耐药、艾滋病毒载量、流感病毒、呼吸道合胞病毒等感染性病原体的快速核酸检测</w:t>
            </w: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，适用于多场合的应用如移动检测车、太阳能简易检测屋等。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1.2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实验对象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kern w:val="0"/>
              </w:rPr>
              <w:t>用于鼻咽拭子、痰液、肺泡灌洗液、脑脊液、尿液等样本中的感染性病原体感染情况。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1.3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特殊功能需求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b/>
                <w:color w:val="000000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2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主要技术参数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0C1006" w:rsidTr="00670E6D">
        <w:trPr>
          <w:trHeight w:val="1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2.2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★参数1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hint="eastAsia"/>
                <w:szCs w:val="21"/>
              </w:rPr>
              <w:t>一体化设备，系统整合了基于定量PCR检测所需的所有步骤，在一个检测试剂盒中，可自动完成样品制备、纯化、基因提取、核酸扩增、荧光测定的全过程，实现从样本处理到PCR扩增检测零人工操作。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spacing w:line="240" w:lineRule="auto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避免操作人员接触样本，降低了感染风险，生物安全度更高。保护样品和实验人员的安全，可在野外环境操作。</w:t>
            </w:r>
          </w:p>
        </w:tc>
      </w:tr>
      <w:tr w:rsidR="000C1006" w:rsidTr="00670E6D">
        <w:trPr>
          <w:trHeight w:val="971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2.2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★参数2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hint="eastAsia"/>
                <w:szCs w:val="21"/>
              </w:rPr>
              <w:t>该系统采用实时荧光定量PCR技术，在体外检测病原体核酸及相关耐药基因等。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spacing w:line="240" w:lineRule="auto"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实现多种感染性病原体快速核酸检测。</w:t>
            </w:r>
          </w:p>
        </w:tc>
      </w:tr>
      <w:tr w:rsidR="000C1006" w:rsidTr="00670E6D">
        <w:trPr>
          <w:trHeight w:val="108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2.3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▲参数</w:t>
            </w:r>
            <w:r>
              <w:rPr>
                <w:rFonts w:ascii="宋体" w:hAnsi="宋体" w:cs="宋体"/>
                <w:color w:val="000000"/>
                <w:kern w:val="0"/>
                <w:lang/>
              </w:rPr>
              <w:t>3</w:t>
            </w:r>
          </w:p>
        </w:tc>
        <w:tc>
          <w:tcPr>
            <w:tcW w:w="5368" w:type="dxa"/>
            <w:shd w:val="clear" w:color="auto" w:fill="FFFFFF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kern w:val="0"/>
                <w:szCs w:val="21"/>
              </w:rPr>
              <w:t>配套国家药品监督管理局（</w:t>
            </w:r>
            <w:r>
              <w:rPr>
                <w:rFonts w:hint="eastAsia"/>
                <w:kern w:val="0"/>
                <w:szCs w:val="21"/>
              </w:rPr>
              <w:t>NMPA</w:t>
            </w:r>
            <w:r>
              <w:rPr>
                <w:rFonts w:hint="eastAsia"/>
                <w:kern w:val="0"/>
                <w:szCs w:val="21"/>
              </w:rPr>
              <w:t>）批准的同品牌感染性病原体检测项目不少于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rFonts w:hint="eastAsia"/>
                <w:kern w:val="0"/>
                <w:szCs w:val="21"/>
              </w:rPr>
              <w:t>个：必须包括结核分枝杆菌及利福平耐药快速核酸检测、艰难梭菌毒素基因检测、甲</w:t>
            </w:r>
            <w:r>
              <w:rPr>
                <w:rFonts w:hint="eastAsia"/>
                <w:kern w:val="0"/>
                <w:szCs w:val="21"/>
              </w:rPr>
              <w:t>/</w:t>
            </w:r>
            <w:r>
              <w:rPr>
                <w:rFonts w:hint="eastAsia"/>
                <w:kern w:val="0"/>
                <w:szCs w:val="21"/>
              </w:rPr>
              <w:t>乙型流感病毒及呼吸道合胞病毒快速核酸检测、艾滋病毒载量检测和甲氧西林耐药</w:t>
            </w:r>
            <w:r>
              <w:rPr>
                <w:rFonts w:hint="eastAsia"/>
                <w:kern w:val="0"/>
                <w:szCs w:val="21"/>
              </w:rPr>
              <w:lastRenderedPageBreak/>
              <w:t>的金黄色葡萄球菌检测。</w:t>
            </w:r>
          </w:p>
        </w:tc>
        <w:tc>
          <w:tcPr>
            <w:tcW w:w="2094" w:type="dxa"/>
            <w:shd w:val="clear" w:color="auto" w:fill="FFFFFF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widowControl/>
              <w:spacing w:line="240" w:lineRule="auto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lastRenderedPageBreak/>
              <w:t>2.4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▲参数</w:t>
            </w:r>
            <w:r>
              <w:rPr>
                <w:rFonts w:ascii="宋体" w:hAnsi="宋体" w:cs="宋体"/>
                <w:color w:val="000000"/>
                <w:kern w:val="0"/>
                <w:lang/>
              </w:rPr>
              <w:t>4</w:t>
            </w:r>
          </w:p>
        </w:tc>
        <w:tc>
          <w:tcPr>
            <w:tcW w:w="5368" w:type="dxa"/>
            <w:shd w:val="clear" w:color="auto" w:fill="FFFFFF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left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系统可扩展配套同品牌其他检测项目：</w:t>
            </w:r>
          </w:p>
          <w:p w:rsidR="000C1006" w:rsidRDefault="00F1652E">
            <w:pPr>
              <w:widowControl/>
              <w:jc w:val="left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a) </w:t>
            </w:r>
            <w:r>
              <w:rPr>
                <w:rFonts w:hint="eastAsia"/>
                <w:kern w:val="0"/>
                <w:szCs w:val="21"/>
              </w:rPr>
              <w:t>埃博拉病毒核酸快速检测。</w:t>
            </w:r>
          </w:p>
          <w:p w:rsidR="000C1006" w:rsidRDefault="00F1652E">
            <w:pPr>
              <w:widowControl/>
              <w:jc w:val="left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b) </w:t>
            </w:r>
            <w:r>
              <w:rPr>
                <w:rFonts w:hint="eastAsia"/>
                <w:kern w:val="0"/>
                <w:szCs w:val="21"/>
              </w:rPr>
              <w:t>肠道病毒的快速分子检测。</w:t>
            </w:r>
          </w:p>
          <w:p w:rsidR="000C1006" w:rsidRDefault="00F1652E">
            <w:pPr>
              <w:widowControl/>
              <w:jc w:val="left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c) Covid-19</w:t>
            </w:r>
            <w:r>
              <w:rPr>
                <w:rFonts w:hint="eastAsia"/>
                <w:kern w:val="0"/>
                <w:szCs w:val="21"/>
              </w:rPr>
              <w:t>病毒快速核酸检测。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0C1006" w:rsidTr="00670E6D">
        <w:trPr>
          <w:trHeight w:val="855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2.5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▲参数5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检测速度快：</w:t>
            </w:r>
          </w:p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结核分枝杆菌及利福平耐药快速核酸检测≤120分钟</w:t>
            </w:r>
          </w:p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艰难梭菌毒素基因检测≤60分钟</w:t>
            </w:r>
          </w:p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甲/乙型流感病毒及呼吸道合胞病毒核酸检测 ≤30分钟</w:t>
            </w:r>
          </w:p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甲氧西林耐药的金黄色葡萄球菌检测≤80分钟</w:t>
            </w:r>
          </w:p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艾滋病毒载量检测≤90分钟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2.6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▲参数6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试剂盒室温储存（2-28°C）。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2.7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参数7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</w:rPr>
              <w:t>独立性的试剂盒，每个试剂盒中均包括标本有效性确认和</w:t>
            </w:r>
            <w:proofErr w:type="gramStart"/>
            <w:r>
              <w:rPr>
                <w:rFonts w:ascii="宋体" w:hAnsi="宋体" w:cs="宋体" w:hint="eastAsia"/>
                <w:color w:val="000000"/>
              </w:rPr>
              <w:t>避免假</w:t>
            </w:r>
            <w:proofErr w:type="gramEnd"/>
            <w:r>
              <w:rPr>
                <w:rFonts w:ascii="宋体" w:hAnsi="宋体" w:cs="宋体" w:hint="eastAsia"/>
                <w:color w:val="000000"/>
              </w:rPr>
              <w:t>阴性的阳性质控。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lang/>
              </w:rPr>
              <w:t>.8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参数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kern w:val="0"/>
                <w:szCs w:val="21"/>
              </w:rPr>
              <w:t>系统带有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个独立检测模块，各检测模块独立运行，可同时进行不同项目检测实验。每个检测模块含有独立的超声破碎装置、阀门驱动装置、温度控制装置以及可独立进行</w:t>
            </w:r>
            <w:r>
              <w:rPr>
                <w:kern w:val="0"/>
                <w:szCs w:val="21"/>
              </w:rPr>
              <w:t>6</w:t>
            </w:r>
            <w:r>
              <w:rPr>
                <w:kern w:val="0"/>
                <w:szCs w:val="21"/>
              </w:rPr>
              <w:t>通道荧光检测。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lang/>
              </w:rPr>
              <w:t>.9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参数</w:t>
            </w:r>
            <w:r>
              <w:rPr>
                <w:rFonts w:ascii="宋体" w:hAnsi="宋体" w:cs="宋体"/>
                <w:color w:val="000000"/>
                <w:kern w:val="0"/>
                <w:lang/>
              </w:rPr>
              <w:t>9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系统的热性能参数如下：</w:t>
            </w:r>
          </w:p>
          <w:p w:rsidR="000C1006" w:rsidRDefault="00F1652E">
            <w:pPr>
              <w:widowControl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加热速率（最大）：从</w:t>
            </w:r>
            <w:r>
              <w:rPr>
                <w:rFonts w:hint="eastAsia"/>
                <w:kern w:val="0"/>
                <w:szCs w:val="21"/>
              </w:rPr>
              <w:t xml:space="preserve"> 50</w:t>
            </w:r>
            <w:r>
              <w:rPr>
                <w:rFonts w:hint="eastAsia"/>
                <w:kern w:val="0"/>
                <w:szCs w:val="21"/>
              </w:rPr>
              <w:t>℃到</w:t>
            </w:r>
            <w:r>
              <w:rPr>
                <w:rFonts w:hint="eastAsia"/>
                <w:kern w:val="0"/>
                <w:szCs w:val="21"/>
              </w:rPr>
              <w:t>95</w:t>
            </w:r>
            <w:r>
              <w:rPr>
                <w:rFonts w:hint="eastAsia"/>
                <w:kern w:val="0"/>
                <w:szCs w:val="21"/>
              </w:rPr>
              <w:t>℃是</w:t>
            </w:r>
            <w:r>
              <w:rPr>
                <w:rFonts w:hint="eastAsia"/>
                <w:kern w:val="0"/>
                <w:szCs w:val="21"/>
              </w:rPr>
              <w:t>10</w:t>
            </w:r>
            <w:r>
              <w:rPr>
                <w:rFonts w:hint="eastAsia"/>
                <w:kern w:val="0"/>
                <w:szCs w:val="21"/>
              </w:rPr>
              <w:t>℃</w:t>
            </w:r>
            <w:r>
              <w:rPr>
                <w:rFonts w:hint="eastAsia"/>
                <w:kern w:val="0"/>
                <w:szCs w:val="21"/>
              </w:rPr>
              <w:t>/</w:t>
            </w:r>
            <w:r>
              <w:rPr>
                <w:rFonts w:hint="eastAsia"/>
                <w:kern w:val="0"/>
                <w:szCs w:val="21"/>
              </w:rPr>
              <w:t>秒</w:t>
            </w:r>
          </w:p>
          <w:p w:rsidR="000C1006" w:rsidRDefault="00F1652E">
            <w:pPr>
              <w:widowControl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冷却速率（最大）：从</w:t>
            </w:r>
            <w:r>
              <w:rPr>
                <w:rFonts w:hint="eastAsia"/>
                <w:kern w:val="0"/>
                <w:szCs w:val="21"/>
              </w:rPr>
              <w:t>95</w:t>
            </w:r>
            <w:r>
              <w:rPr>
                <w:rFonts w:hint="eastAsia"/>
                <w:kern w:val="0"/>
                <w:szCs w:val="21"/>
              </w:rPr>
              <w:t>℃到</w:t>
            </w:r>
            <w:r>
              <w:rPr>
                <w:rFonts w:hint="eastAsia"/>
                <w:kern w:val="0"/>
                <w:szCs w:val="21"/>
              </w:rPr>
              <w:t>50</w:t>
            </w:r>
            <w:r>
              <w:rPr>
                <w:rFonts w:hint="eastAsia"/>
                <w:kern w:val="0"/>
                <w:szCs w:val="21"/>
              </w:rPr>
              <w:t>℃是</w:t>
            </w:r>
            <w:r>
              <w:rPr>
                <w:rFonts w:hint="eastAsia"/>
                <w:kern w:val="0"/>
                <w:szCs w:val="21"/>
              </w:rPr>
              <w:t>2.5</w:t>
            </w:r>
            <w:r>
              <w:rPr>
                <w:rFonts w:hint="eastAsia"/>
                <w:kern w:val="0"/>
                <w:szCs w:val="21"/>
              </w:rPr>
              <w:t>℃</w:t>
            </w:r>
            <w:r>
              <w:rPr>
                <w:rFonts w:hint="eastAsia"/>
                <w:kern w:val="0"/>
                <w:szCs w:val="21"/>
              </w:rPr>
              <w:t>/</w:t>
            </w:r>
            <w:r>
              <w:rPr>
                <w:rFonts w:hint="eastAsia"/>
                <w:kern w:val="0"/>
                <w:szCs w:val="21"/>
              </w:rPr>
              <w:t>秒</w:t>
            </w:r>
          </w:p>
          <w:p w:rsidR="000C1006" w:rsidRDefault="00F1652E">
            <w:pPr>
              <w:widowControl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温度持续时间精度：设定的时间±</w:t>
            </w:r>
            <w:r>
              <w:rPr>
                <w:rFonts w:hint="eastAsia"/>
                <w:kern w:val="0"/>
                <w:szCs w:val="21"/>
              </w:rPr>
              <w:t>1.0</w:t>
            </w:r>
            <w:r>
              <w:rPr>
                <w:rFonts w:hint="eastAsia"/>
                <w:kern w:val="0"/>
                <w:szCs w:val="21"/>
              </w:rPr>
              <w:t>秒</w:t>
            </w:r>
          </w:p>
          <w:p w:rsidR="000C1006" w:rsidRDefault="00F1652E">
            <w:pPr>
              <w:widowControl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lastRenderedPageBreak/>
              <w:t>温度精度：从</w:t>
            </w:r>
            <w:r>
              <w:rPr>
                <w:rFonts w:hint="eastAsia"/>
                <w:kern w:val="0"/>
                <w:szCs w:val="21"/>
              </w:rPr>
              <w:t>60</w:t>
            </w:r>
            <w:r>
              <w:rPr>
                <w:rFonts w:hint="eastAsia"/>
                <w:kern w:val="0"/>
                <w:szCs w:val="21"/>
              </w:rPr>
              <w:t>℃到</w:t>
            </w:r>
            <w:r>
              <w:rPr>
                <w:rFonts w:hint="eastAsia"/>
                <w:kern w:val="0"/>
                <w:szCs w:val="21"/>
              </w:rPr>
              <w:t>95</w:t>
            </w:r>
            <w:r>
              <w:rPr>
                <w:rFonts w:hint="eastAsia"/>
                <w:kern w:val="0"/>
                <w:szCs w:val="21"/>
              </w:rPr>
              <w:t>℃是±</w:t>
            </w:r>
            <w:r>
              <w:rPr>
                <w:rFonts w:hint="eastAsia"/>
                <w:kern w:val="0"/>
                <w:szCs w:val="21"/>
              </w:rPr>
              <w:t>1.0</w:t>
            </w:r>
            <w:r>
              <w:rPr>
                <w:rFonts w:hint="eastAsia"/>
                <w:kern w:val="0"/>
                <w:szCs w:val="21"/>
              </w:rPr>
              <w:t>℃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lastRenderedPageBreak/>
              <w:t>2.10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参数10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</w:rPr>
              <w:t>分析软件：中英文操作系统，系统会自动按照相应的程序运行，软件实时监测</w:t>
            </w:r>
            <w:r>
              <w:rPr>
                <w:kern w:val="0"/>
              </w:rPr>
              <w:t>PCR</w:t>
            </w:r>
            <w:r>
              <w:rPr>
                <w:kern w:val="0"/>
              </w:rPr>
              <w:t>反应情况，一旦</w:t>
            </w:r>
            <w:r>
              <w:rPr>
                <w:kern w:val="0"/>
              </w:rPr>
              <w:t>PCR</w:t>
            </w:r>
            <w:r>
              <w:rPr>
                <w:kern w:val="0"/>
              </w:rPr>
              <w:t>完成立刻报告结果，状态显示屏会给出得到的结果和时间。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81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3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配置需求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3.1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配置1</w:t>
            </w:r>
          </w:p>
        </w:tc>
        <w:tc>
          <w:tcPr>
            <w:tcW w:w="5368" w:type="dxa"/>
            <w:shd w:val="clear" w:color="auto" w:fill="auto"/>
            <w:noWrap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全自动医用PCR分析系统一台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3.2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配置2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条形码扫描仪一个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3.3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配置3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控制单元（预装配套操作系统）一台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3.4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配置4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电源线一根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4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售后服务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4.1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保修年限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kern w:val="0"/>
              </w:rPr>
              <w:t>海外安装,</w:t>
            </w:r>
            <w:proofErr w:type="gramStart"/>
            <w:r>
              <w:rPr>
                <w:rFonts w:ascii="宋体" w:hAnsi="宋体" w:cs="宋体" w:hint="eastAsia"/>
                <w:kern w:val="0"/>
              </w:rPr>
              <w:t>海外维保</w:t>
            </w:r>
            <w:proofErr w:type="gramEnd"/>
            <w:r>
              <w:rPr>
                <w:rFonts w:ascii="宋体" w:hAnsi="宋体" w:cs="宋体" w:hint="eastAsia"/>
                <w:kern w:val="0"/>
              </w:rPr>
              <w:t>≥3年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4.2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出现故障回应时间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665683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 xml:space="preserve">维修响应时间≤ </w:t>
            </w:r>
            <w:r>
              <w:rPr>
                <w:rFonts w:ascii="宋体" w:hAnsi="宋体" w:cs="宋体"/>
                <w:color w:val="000000"/>
                <w:kern w:val="0"/>
                <w:lang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小时</w:t>
            </w: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br/>
              <w:t>维修修复时间≤4</w:t>
            </w:r>
            <w:r>
              <w:rPr>
                <w:rFonts w:ascii="宋体" w:hAnsi="宋体" w:cs="宋体"/>
                <w:color w:val="000000"/>
                <w:kern w:val="0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天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4.3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维修支持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配件供应时间≥10年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4.4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耗材及零配件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提供耗材及主要零配件目录（含报价）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4.5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维修资料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提供详细操作手册、维修保养手册、安装手册等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4.6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维修工具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提供维修专用工具1套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4.7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预防性维修</w:t>
            </w: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br/>
              <w:t>/定期维护保养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保修期内提供定期维护保养服务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4.8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维修密码支持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开放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lastRenderedPageBreak/>
              <w:t>4.9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升级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终身免费软件升级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4.1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使用培训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支持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0C1006" w:rsidTr="00670E6D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4.11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工程师培训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F1652E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支持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0C1006" w:rsidRDefault="000C100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0C1006" w:rsidRDefault="00F1652E">
      <w:pPr>
        <w:spacing w:line="520" w:lineRule="exact"/>
        <w:jc w:val="left"/>
        <w:rPr>
          <w:rFonts w:asciiTheme="minorEastAsia" w:hAnsiTheme="minorEastAsia" w:cs="Times New Roman"/>
          <w:kern w:val="0"/>
          <w:lang w:val="zh-CN"/>
        </w:rPr>
      </w:pPr>
      <w:r>
        <w:rPr>
          <w:rFonts w:asciiTheme="minorEastAsia" w:hAnsiTheme="minorEastAsia" w:cs="Times New Roman" w:hint="eastAsia"/>
          <w:kern w:val="0"/>
          <w:lang w:val="zh-CN"/>
        </w:rPr>
        <w:t>注：</w:t>
      </w:r>
      <w:r>
        <w:rPr>
          <w:rFonts w:ascii="宋体" w:hAnsi="宋体" w:cs="宋体" w:hint="eastAsia"/>
          <w:kern w:val="0"/>
        </w:rPr>
        <w:t>按照</w:t>
      </w:r>
      <w:proofErr w:type="gramStart"/>
      <w:r>
        <w:rPr>
          <w:rFonts w:ascii="宋体" w:hAnsi="宋体" w:cs="宋体" w:hint="eastAsia"/>
          <w:kern w:val="0"/>
        </w:rPr>
        <w:t>先</w:t>
      </w:r>
      <w:r>
        <w:rPr>
          <w:rFonts w:asciiTheme="minorEastAsia" w:hAnsiTheme="minorEastAsia" w:cs="Times New Roman" w:hint="eastAsia"/>
          <w:kern w:val="0"/>
          <w:lang w:val="zh-CN"/>
        </w:rPr>
        <w:t>关键</w:t>
      </w:r>
      <w:proofErr w:type="gramEnd"/>
      <w:r>
        <w:rPr>
          <w:rFonts w:asciiTheme="minorEastAsia" w:hAnsiTheme="minorEastAsia" w:cs="Times New Roman" w:hint="eastAsia"/>
          <w:kern w:val="0"/>
          <w:lang w:val="zh-CN"/>
        </w:rPr>
        <w:t>重要技术指标</w:t>
      </w:r>
      <w:r>
        <w:rPr>
          <w:rFonts w:ascii="宋体" w:hAnsi="宋体" w:cs="宋体" w:hint="eastAsia"/>
          <w:kern w:val="0"/>
        </w:rPr>
        <w:t>参数、</w:t>
      </w:r>
      <w:r>
        <w:rPr>
          <w:rFonts w:asciiTheme="minorEastAsia" w:hAnsiTheme="minorEastAsia" w:cs="Times New Roman" w:hint="eastAsia"/>
          <w:kern w:val="0"/>
          <w:lang w:val="zh-CN"/>
        </w:rPr>
        <w:t>重要指标参数，</w:t>
      </w:r>
      <w:r>
        <w:rPr>
          <w:rFonts w:ascii="宋体" w:hAnsi="宋体" w:cs="宋体" w:hint="eastAsia"/>
          <w:kern w:val="0"/>
        </w:rPr>
        <w:t>后一般参数的顺序分别描述，不得有排他性限定条款，不得粘贴说明书或以描述性语言罗列赘述</w:t>
      </w:r>
      <w:r>
        <w:rPr>
          <w:rFonts w:asciiTheme="minorEastAsia" w:hAnsiTheme="minorEastAsia" w:cs="Times New Roman" w:hint="eastAsia"/>
          <w:kern w:val="0"/>
          <w:lang w:val="zh-CN"/>
        </w:rPr>
        <w:t>；关键重要技术指标参数以</w:t>
      </w:r>
      <w:r>
        <w:rPr>
          <w:rFonts w:asciiTheme="minorEastAsia" w:hAnsiTheme="minorEastAsia" w:cs="宋体" w:hint="eastAsia"/>
          <w:kern w:val="0"/>
          <w:lang w:val="zh-CN"/>
        </w:rPr>
        <w:t>★</w:t>
      </w:r>
      <w:r>
        <w:rPr>
          <w:rFonts w:asciiTheme="minorEastAsia" w:hAnsiTheme="minorEastAsia" w:cs="Times New Roman" w:hint="eastAsia"/>
          <w:kern w:val="0"/>
          <w:lang w:val="zh-CN"/>
        </w:rPr>
        <w:t>标记（有1项不满足即按无效投标处理）为2-3条，</w:t>
      </w:r>
      <w:bookmarkStart w:id="0" w:name="_Hlk45092004"/>
      <w:r>
        <w:rPr>
          <w:rFonts w:asciiTheme="minorEastAsia" w:hAnsiTheme="minorEastAsia" w:cs="Times New Roman" w:hint="eastAsia"/>
          <w:kern w:val="0"/>
          <w:lang w:val="zh-CN"/>
        </w:rPr>
        <w:t>重要指标参数</w:t>
      </w:r>
      <w:bookmarkEnd w:id="0"/>
      <w:r>
        <w:rPr>
          <w:rFonts w:asciiTheme="minorEastAsia" w:hAnsiTheme="minorEastAsia" w:cs="Times New Roman" w:hint="eastAsia"/>
          <w:kern w:val="0"/>
          <w:lang w:val="zh-CN"/>
        </w:rPr>
        <w:t>以▲标记为3-5条，一般技术指标参数不作标记；总参数不得超过20条。</w:t>
      </w:r>
    </w:p>
    <w:p w:rsidR="000C1006" w:rsidRDefault="000C1006">
      <w:pPr>
        <w:spacing w:line="520" w:lineRule="exact"/>
        <w:jc w:val="left"/>
        <w:rPr>
          <w:rFonts w:asciiTheme="majorEastAsia" w:eastAsiaTheme="majorEastAsia" w:hAnsiTheme="majorEastAsia" w:cs="Times New Roman"/>
        </w:rPr>
      </w:pPr>
    </w:p>
    <w:sectPr w:rsidR="000C1006" w:rsidSect="00670E6D">
      <w:pgSz w:w="11906" w:h="16838"/>
      <w:pgMar w:top="2098" w:right="1474" w:bottom="1985" w:left="1588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4B8" w:rsidRDefault="007B54B8" w:rsidP="00665683">
      <w:pPr>
        <w:spacing w:line="240" w:lineRule="auto"/>
      </w:pPr>
      <w:r>
        <w:separator/>
      </w:r>
    </w:p>
  </w:endnote>
  <w:endnote w:type="continuationSeparator" w:id="0">
    <w:p w:rsidR="007B54B8" w:rsidRDefault="007B54B8" w:rsidP="0066568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4B8" w:rsidRDefault="007B54B8" w:rsidP="00665683">
      <w:pPr>
        <w:spacing w:line="240" w:lineRule="auto"/>
      </w:pPr>
      <w:r>
        <w:separator/>
      </w:r>
    </w:p>
  </w:footnote>
  <w:footnote w:type="continuationSeparator" w:id="0">
    <w:p w:rsidR="007B54B8" w:rsidRDefault="007B54B8" w:rsidP="0066568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25B5"/>
    <w:rsid w:val="000160EC"/>
    <w:rsid w:val="00037DB1"/>
    <w:rsid w:val="00054325"/>
    <w:rsid w:val="00092DFE"/>
    <w:rsid w:val="000B79A0"/>
    <w:rsid w:val="000C1006"/>
    <w:rsid w:val="000C6EAA"/>
    <w:rsid w:val="0011280F"/>
    <w:rsid w:val="00121D8B"/>
    <w:rsid w:val="001370F4"/>
    <w:rsid w:val="001C50A8"/>
    <w:rsid w:val="00217B0D"/>
    <w:rsid w:val="00272CAA"/>
    <w:rsid w:val="002A5EAB"/>
    <w:rsid w:val="002B6205"/>
    <w:rsid w:val="003464C4"/>
    <w:rsid w:val="00382674"/>
    <w:rsid w:val="00424E0A"/>
    <w:rsid w:val="0049035A"/>
    <w:rsid w:val="004A471D"/>
    <w:rsid w:val="004C583D"/>
    <w:rsid w:val="00515F0D"/>
    <w:rsid w:val="00547BA6"/>
    <w:rsid w:val="005713A0"/>
    <w:rsid w:val="005A7352"/>
    <w:rsid w:val="005F2578"/>
    <w:rsid w:val="00601363"/>
    <w:rsid w:val="00607FDF"/>
    <w:rsid w:val="006226EF"/>
    <w:rsid w:val="00665683"/>
    <w:rsid w:val="00670E6D"/>
    <w:rsid w:val="006A5308"/>
    <w:rsid w:val="00745008"/>
    <w:rsid w:val="007B3563"/>
    <w:rsid w:val="007B54B8"/>
    <w:rsid w:val="007D1102"/>
    <w:rsid w:val="007E1636"/>
    <w:rsid w:val="008E5EF4"/>
    <w:rsid w:val="008F16C7"/>
    <w:rsid w:val="009266FC"/>
    <w:rsid w:val="00937C2A"/>
    <w:rsid w:val="00942499"/>
    <w:rsid w:val="00943CF3"/>
    <w:rsid w:val="009C2A5D"/>
    <w:rsid w:val="00A75514"/>
    <w:rsid w:val="00AC77D8"/>
    <w:rsid w:val="00B50550"/>
    <w:rsid w:val="00BB5B81"/>
    <w:rsid w:val="00BC7352"/>
    <w:rsid w:val="00BD49F7"/>
    <w:rsid w:val="00C303C7"/>
    <w:rsid w:val="00C425B5"/>
    <w:rsid w:val="00C54B5E"/>
    <w:rsid w:val="00CB54B4"/>
    <w:rsid w:val="00CE71F6"/>
    <w:rsid w:val="00D3102C"/>
    <w:rsid w:val="00DF1CB7"/>
    <w:rsid w:val="00E65BA6"/>
    <w:rsid w:val="00E97E26"/>
    <w:rsid w:val="00EE256D"/>
    <w:rsid w:val="00F028C4"/>
    <w:rsid w:val="00F1652E"/>
    <w:rsid w:val="0A4C6955"/>
    <w:rsid w:val="19813898"/>
    <w:rsid w:val="1B997ECF"/>
    <w:rsid w:val="24AE4782"/>
    <w:rsid w:val="2B236BB7"/>
    <w:rsid w:val="2B50626F"/>
    <w:rsid w:val="2F2B33A1"/>
    <w:rsid w:val="2F4A1681"/>
    <w:rsid w:val="3149634A"/>
    <w:rsid w:val="3647670B"/>
    <w:rsid w:val="393D49F5"/>
    <w:rsid w:val="42253E7A"/>
    <w:rsid w:val="428A7B2F"/>
    <w:rsid w:val="47483DAD"/>
    <w:rsid w:val="488E2A45"/>
    <w:rsid w:val="4B284490"/>
    <w:rsid w:val="54104954"/>
    <w:rsid w:val="6D6C0ED4"/>
    <w:rsid w:val="6FC24BC4"/>
    <w:rsid w:val="70007D3E"/>
    <w:rsid w:val="72A008E7"/>
    <w:rsid w:val="779A2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9F7"/>
    <w:pPr>
      <w:widowControl w:val="0"/>
      <w:spacing w:line="360" w:lineRule="auto"/>
      <w:jc w:val="both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BD49F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Calibri" w:hAnsi="Calibri" w:cs="宋体"/>
      <w:sz w:val="18"/>
      <w:szCs w:val="18"/>
    </w:rPr>
  </w:style>
  <w:style w:type="paragraph" w:styleId="a4">
    <w:name w:val="header"/>
    <w:basedOn w:val="a"/>
    <w:link w:val="Char0"/>
    <w:uiPriority w:val="99"/>
    <w:qFormat/>
    <w:rsid w:val="00BD49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hAnsi="Calibri" w:cs="宋体"/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BD49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Times New Roman" w:hint="eastAsia"/>
      <w:kern w:val="0"/>
    </w:rPr>
  </w:style>
  <w:style w:type="paragraph" w:styleId="a5">
    <w:name w:val="Normal (Web)"/>
    <w:basedOn w:val="a"/>
    <w:uiPriority w:val="99"/>
    <w:qFormat/>
    <w:rsid w:val="00BD49F7"/>
  </w:style>
  <w:style w:type="character" w:customStyle="1" w:styleId="Char0">
    <w:name w:val="页眉 Char"/>
    <w:basedOn w:val="a0"/>
    <w:link w:val="a4"/>
    <w:uiPriority w:val="99"/>
    <w:qFormat/>
    <w:rsid w:val="00BD49F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D49F7"/>
    <w:rPr>
      <w:sz w:val="18"/>
      <w:szCs w:val="18"/>
    </w:rPr>
  </w:style>
  <w:style w:type="paragraph" w:styleId="a6">
    <w:name w:val="List Paragraph"/>
    <w:basedOn w:val="a"/>
    <w:uiPriority w:val="34"/>
    <w:qFormat/>
    <w:rsid w:val="00BD49F7"/>
    <w:pPr>
      <w:spacing w:line="240" w:lineRule="auto"/>
      <w:ind w:firstLineChars="200" w:firstLine="420"/>
    </w:pPr>
    <w:rPr>
      <w:rFonts w:ascii="等线" w:eastAsia="等线" w:hAnsi="等线" w:cs="Times New Roman"/>
      <w:sz w:val="21"/>
      <w:szCs w:val="22"/>
    </w:rPr>
  </w:style>
  <w:style w:type="paragraph" w:customStyle="1" w:styleId="msolistparagraph0">
    <w:name w:val="msolistparagraph"/>
    <w:qFormat/>
    <w:rsid w:val="00BD49F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1CharCharCharChar">
    <w:name w:val="Char Char1 Char Char Char Char"/>
    <w:basedOn w:val="a"/>
    <w:qFormat/>
    <w:rsid w:val="00BD49F7"/>
    <w:pPr>
      <w:spacing w:line="240" w:lineRule="auto"/>
    </w:pPr>
    <w:rPr>
      <w:rFonts w:cs="Times New Roman"/>
      <w:sz w:val="21"/>
      <w:szCs w:val="20"/>
    </w:rPr>
  </w:style>
  <w:style w:type="character" w:customStyle="1" w:styleId="font01">
    <w:name w:val="font01"/>
    <w:basedOn w:val="a0"/>
    <w:qFormat/>
    <w:rsid w:val="00BD49F7"/>
    <w:rPr>
      <w:rFonts w:ascii="Arial" w:hAnsi="Arial" w:cs="Arial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sid w:val="00BD49F7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248</Words>
  <Characters>1420</Characters>
  <Application>Microsoft Office Word</Application>
  <DocSecurity>0</DocSecurity>
  <Lines>11</Lines>
  <Paragraphs>3</Paragraphs>
  <ScaleCrop>false</ScaleCrop>
  <Company>Microsoft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xxk</cp:lastModifiedBy>
  <cp:revision>10</cp:revision>
  <cp:lastPrinted>2019-10-21T02:04:00Z</cp:lastPrinted>
  <dcterms:created xsi:type="dcterms:W3CDTF">2020-11-12T03:58:00Z</dcterms:created>
  <dcterms:modified xsi:type="dcterms:W3CDTF">2021-03-01T08:04:00Z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