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电动敷料运输车</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2021-JL13(03)-W3009</w:t>
      </w:r>
      <w:r>
        <w:rPr>
          <w:rFonts w:hint="eastAsia" w:ascii="宋体" w:hAnsi="宋体" w:eastAsia="宋体" w:cs="Times New Roman"/>
          <w:kern w:val="0"/>
          <w:sz w:val="36"/>
          <w:szCs w:val="36"/>
          <w:u w:val="single"/>
          <w:lang w:val="en-US" w:eastAsia="zh-CN"/>
        </w:rPr>
        <w:t>1</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电动敷料运输车</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2021-JL13(03)-W3009</w:t>
      </w:r>
      <w:r>
        <w:rPr>
          <w:rFonts w:hint="eastAsia" w:ascii="Tahoma" w:hAnsi="Tahoma" w:cs="Tahoma"/>
          <w:kern w:val="0"/>
          <w:sz w:val="28"/>
          <w:szCs w:val="28"/>
          <w:lang w:val="en-US" w:eastAsia="zh-CN"/>
        </w:rPr>
        <w:t>1</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电动敷料运输车</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2021-JL13(03)-W3009</w:t>
      </w:r>
      <w:r>
        <w:rPr>
          <w:rFonts w:hint="eastAsia" w:ascii="宋体" w:hAnsi="宋体" w:eastAsia="宋体" w:cs="Times New Roman"/>
          <w:kern w:val="0"/>
          <w:sz w:val="24"/>
          <w:szCs w:val="24"/>
          <w:lang w:val="en-US" w:eastAsia="zh-CN"/>
        </w:rPr>
        <w:t>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电动敷料运输车</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bookmarkStart w:id="26" w:name="_GoBack"/>
      <w:bookmarkEnd w:id="26"/>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435540979"/>
      <w:bookmarkStart w:id="6" w:name="_Toc285612594"/>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电动敷料运输车</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37780285"/>
      <w:bookmarkStart w:id="11" w:name="_Toc240432230"/>
      <w:bookmarkStart w:id="12" w:name="_Toc435540980"/>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7172690"/>
      <w:bookmarkStart w:id="16" w:name="_Toc390713969"/>
      <w:bookmarkStart w:id="17" w:name="_Toc435540981"/>
      <w:bookmarkStart w:id="18" w:name="_Toc37780286"/>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780287"/>
      <w:bookmarkStart w:id="20" w:name="_Toc37172691"/>
      <w:bookmarkStart w:id="21" w:name="_Toc435540982"/>
      <w:bookmarkStart w:id="22" w:name="_Toc240432233"/>
      <w:bookmarkStart w:id="23" w:name="_Toc285612604"/>
      <w:bookmarkStart w:id="24" w:name="_Toc390713970"/>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电动敷料运输车技术要求</w:t>
      </w:r>
    </w:p>
    <w:tbl>
      <w:tblPr>
        <w:tblStyle w:val="17"/>
        <w:tblW w:w="9026" w:type="dxa"/>
        <w:jc w:val="center"/>
        <w:tblLayout w:type="fixed"/>
        <w:tblCellMar>
          <w:top w:w="0" w:type="dxa"/>
          <w:left w:w="108" w:type="dxa"/>
          <w:bottom w:w="0" w:type="dxa"/>
          <w:right w:w="108" w:type="dxa"/>
        </w:tblCellMar>
      </w:tblPr>
      <w:tblGrid>
        <w:gridCol w:w="865"/>
        <w:gridCol w:w="2092"/>
        <w:gridCol w:w="5298"/>
        <w:gridCol w:w="771"/>
      </w:tblGrid>
      <w:tr>
        <w:tblPrEx>
          <w:tblCellMar>
            <w:top w:w="0" w:type="dxa"/>
            <w:left w:w="108" w:type="dxa"/>
            <w:bottom w:w="0" w:type="dxa"/>
            <w:right w:w="108" w:type="dxa"/>
          </w:tblCellMar>
        </w:tblPrEx>
        <w:trPr>
          <w:trHeight w:val="543" w:hRule="atLeast"/>
          <w:tblHeader/>
          <w:jc w:val="center"/>
        </w:trPr>
        <w:tc>
          <w:tcPr>
            <w:tcW w:w="865" w:type="dxa"/>
            <w:tcBorders>
              <w:top w:val="single" w:color="auto" w:sz="8" w:space="0"/>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092"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5298"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771" w:type="dxa"/>
            <w:tcBorders>
              <w:top w:val="single" w:color="auto" w:sz="8" w:space="0"/>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CellMar>
            <w:top w:w="0" w:type="dxa"/>
            <w:left w:w="108" w:type="dxa"/>
            <w:bottom w:w="0" w:type="dxa"/>
            <w:right w:w="108" w:type="dxa"/>
          </w:tblCellMar>
        </w:tblPrEx>
        <w:trPr>
          <w:trHeight w:val="482"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2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kern w:val="0"/>
                <w:szCs w:val="21"/>
              </w:rPr>
              <w:t>无</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825"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5298"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cs="宋体" w:asciiTheme="minorEastAsia" w:hAnsiTheme="minorEastAsia"/>
                <w:bCs/>
                <w:szCs w:val="21"/>
              </w:rPr>
              <w:t>用于消毒供应中心对</w:t>
            </w:r>
            <w:r>
              <w:rPr>
                <w:rFonts w:hint="eastAsia" w:asciiTheme="minorEastAsia" w:hAnsiTheme="minorEastAsia"/>
                <w:szCs w:val="21"/>
              </w:rPr>
              <w:t>手术敷料包和包装材料等物品的远距离快捷密闭运输</w:t>
            </w:r>
            <w:r>
              <w:rPr>
                <w:rFonts w:hint="eastAsia" w:cs="宋体" w:asciiTheme="minorEastAsia" w:hAnsiTheme="minorEastAsia"/>
                <w:bCs/>
                <w:szCs w:val="21"/>
              </w:rPr>
              <w:t>。</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990"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主要技术参数（一行只写一个参数）</w:t>
            </w:r>
          </w:p>
        </w:tc>
        <w:tc>
          <w:tcPr>
            <w:tcW w:w="52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1121"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★参数1</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优质304或316不锈钢材质，配置品牌充电电池、电动机、控制系统，实现操作者手动操控，电机驱动前进或后退。</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853"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★参数2</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前轮定向驱动轮，后轮万向轮，配合人性化设计的水平圆管把手，实现灵活转向。</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837"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★参数3</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配置液晶显示屏，实时显示剩余电量，避免车子在使用过程中出现电量不足而无法正常使用。 </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835"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zh-CN"/>
              </w:rPr>
              <w:t>▲</w:t>
            </w:r>
            <w:r>
              <w:rPr>
                <w:rFonts w:hint="eastAsia" w:cs="宋体" w:asciiTheme="minorEastAsia" w:hAnsiTheme="minorEastAsia"/>
                <w:kern w:val="0"/>
                <w:szCs w:val="21"/>
              </w:rPr>
              <w:t>参数4</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底部四周配有防撞块，避免错误操作导致车子撞到墙体时造成车身或转运器械的损坏。</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833"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w:t>
            </w:r>
          </w:p>
        </w:tc>
        <w:tc>
          <w:tcPr>
            <w:tcW w:w="2092" w:type="dxa"/>
            <w:tcBorders>
              <w:top w:val="nil"/>
              <w:left w:val="nil"/>
              <w:bottom w:val="single" w:color="auto" w:sz="4" w:space="0"/>
              <w:right w:val="single" w:color="auto" w:sz="4" w:space="0"/>
            </w:tcBorders>
            <w:vAlign w:val="center"/>
          </w:tcPr>
          <w:p>
            <w:pPr>
              <w:jc w:val="center"/>
              <w:rPr>
                <w:rFonts w:asciiTheme="minorEastAsia" w:hAnsiTheme="minorEastAsia"/>
                <w:szCs w:val="21"/>
              </w:rPr>
            </w:pPr>
            <w:r>
              <w:rPr>
                <w:rFonts w:hint="eastAsia" w:cs="宋体" w:asciiTheme="minorEastAsia" w:hAnsiTheme="minorEastAsia"/>
                <w:kern w:val="0"/>
                <w:szCs w:val="21"/>
                <w:lang w:val="zh-CN"/>
              </w:rPr>
              <w:t>▲</w:t>
            </w:r>
            <w:r>
              <w:rPr>
                <w:rFonts w:hint="eastAsia" w:cs="宋体" w:asciiTheme="minorEastAsia" w:hAnsiTheme="minorEastAsia"/>
                <w:kern w:val="0"/>
                <w:szCs w:val="21"/>
              </w:rPr>
              <w:t>参数5</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配置急停开关，紧急情况下可迅速切断电源，保证运输车运行的安全性。</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910"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w:t>
            </w:r>
          </w:p>
        </w:tc>
        <w:tc>
          <w:tcPr>
            <w:tcW w:w="2092" w:type="dxa"/>
            <w:tcBorders>
              <w:top w:val="nil"/>
              <w:left w:val="nil"/>
              <w:bottom w:val="single" w:color="auto" w:sz="4" w:space="0"/>
              <w:right w:val="single" w:color="auto" w:sz="4" w:space="0"/>
            </w:tcBorders>
            <w:vAlign w:val="center"/>
          </w:tcPr>
          <w:p>
            <w:pPr>
              <w:jc w:val="center"/>
              <w:rPr>
                <w:rFonts w:asciiTheme="minorEastAsia" w:hAnsiTheme="minorEastAsia"/>
                <w:szCs w:val="21"/>
              </w:rPr>
            </w:pPr>
            <w:r>
              <w:rPr>
                <w:rFonts w:hint="eastAsia" w:cs="宋体" w:asciiTheme="minorEastAsia" w:hAnsiTheme="minorEastAsia"/>
                <w:kern w:val="0"/>
                <w:szCs w:val="21"/>
                <w:lang w:val="zh-CN"/>
              </w:rPr>
              <w:t>▲</w:t>
            </w:r>
            <w:r>
              <w:rPr>
                <w:rFonts w:hint="eastAsia" w:cs="宋体" w:asciiTheme="minorEastAsia" w:hAnsiTheme="minorEastAsia"/>
                <w:kern w:val="0"/>
                <w:szCs w:val="21"/>
              </w:rPr>
              <w:t>参数6</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电机配置断电自锁功能，当操作者停止前进或后退操作时，电机触发自锁，从而实现自动刹车。</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97"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2.7</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参数7</w:t>
            </w:r>
          </w:p>
        </w:tc>
        <w:tc>
          <w:tcPr>
            <w:tcW w:w="5298" w:type="dxa"/>
            <w:tcBorders>
              <w:top w:val="nil"/>
              <w:left w:val="nil"/>
              <w:bottom w:val="single" w:color="auto" w:sz="4" w:space="0"/>
              <w:right w:val="single" w:color="auto" w:sz="4" w:space="0"/>
            </w:tcBorders>
            <w:vAlign w:val="center"/>
          </w:tcPr>
          <w:p>
            <w:pPr>
              <w:widowControl/>
              <w:tabs>
                <w:tab w:val="left" w:pos="894"/>
              </w:tabs>
              <w:jc w:val="left"/>
              <w:rPr>
                <w:rFonts w:cs="宋体" w:asciiTheme="minorEastAsia" w:hAnsiTheme="minorEastAsia"/>
                <w:kern w:val="0"/>
                <w:szCs w:val="21"/>
              </w:rPr>
            </w:pPr>
            <w:r>
              <w:rPr>
                <w:rFonts w:hint="eastAsia" w:cs="宋体" w:asciiTheme="minorEastAsia" w:hAnsiTheme="minorEastAsia"/>
                <w:kern w:val="0"/>
                <w:szCs w:val="21"/>
              </w:rPr>
              <w:t>顶部安装采用吸塑+喷漆工艺加工而成的储物槽，额外增加了密封车装载空间。</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73"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2.8</w:t>
            </w:r>
          </w:p>
        </w:tc>
        <w:tc>
          <w:tcPr>
            <w:tcW w:w="2092" w:type="dxa"/>
            <w:tcBorders>
              <w:top w:val="nil"/>
              <w:left w:val="nil"/>
              <w:bottom w:val="single" w:color="auto" w:sz="4" w:space="0"/>
              <w:right w:val="single" w:color="auto" w:sz="4" w:space="0"/>
            </w:tcBorders>
          </w:tcPr>
          <w:p>
            <w:pPr>
              <w:jc w:val="center"/>
              <w:rPr>
                <w:rFonts w:asciiTheme="minorEastAsia" w:hAnsiTheme="minorEastAsia"/>
                <w:szCs w:val="21"/>
              </w:rPr>
            </w:pPr>
            <w:r>
              <w:rPr>
                <w:rFonts w:hint="eastAsia" w:cs="宋体" w:asciiTheme="minorEastAsia" w:hAnsiTheme="minorEastAsia"/>
                <w:kern w:val="0"/>
                <w:szCs w:val="21"/>
              </w:rPr>
              <w:t>参数8</w:t>
            </w:r>
          </w:p>
        </w:tc>
        <w:tc>
          <w:tcPr>
            <w:tcW w:w="52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续航能力超过7小时，速度0-5m/s。</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73"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2092" w:type="dxa"/>
            <w:tcBorders>
              <w:top w:val="nil"/>
              <w:left w:val="nil"/>
              <w:bottom w:val="single" w:color="auto" w:sz="4" w:space="0"/>
              <w:right w:val="single" w:color="auto" w:sz="4" w:space="0"/>
            </w:tcBorders>
          </w:tcPr>
          <w:p>
            <w:pPr>
              <w:jc w:val="center"/>
              <w:rPr>
                <w:rFonts w:cs="宋体" w:asciiTheme="minorEastAsia" w:hAnsiTheme="minorEastAsia"/>
                <w:kern w:val="0"/>
                <w:szCs w:val="21"/>
              </w:rPr>
            </w:pPr>
            <w:r>
              <w:rPr>
                <w:rFonts w:hint="eastAsia" w:cs="宋体" w:asciiTheme="minorEastAsia" w:hAnsiTheme="minorEastAsia"/>
                <w:kern w:val="0"/>
                <w:szCs w:val="21"/>
              </w:rPr>
              <w:t>参数9</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外形尺寸≤1300mm（长）×700mm（宽）×1300mm（高）。</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810"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配置需求（一行只写一个配置）</w:t>
            </w:r>
          </w:p>
        </w:tc>
        <w:tc>
          <w:tcPr>
            <w:tcW w:w="52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23"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电动辅料运输车1辆。</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23"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配置2</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电源适配器1个。</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23"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配置3</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color w:val="000000"/>
                <w:kern w:val="0"/>
                <w:szCs w:val="21"/>
              </w:rPr>
              <w:t>设备使用说明书及保养材料1套。</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b/>
                <w:bCs/>
                <w:kern w:val="0"/>
                <w:szCs w:val="21"/>
              </w:rPr>
            </w:pP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692"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≥3年。</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1255"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color w:val="000000"/>
                <w:kern w:val="0"/>
                <w:szCs w:val="21"/>
              </w:rPr>
              <w:t xml:space="preserve">维修到达现场时间≤ </w:t>
            </w:r>
            <w:r>
              <w:rPr>
                <w:rFonts w:cs="宋体" w:asciiTheme="minorEastAsia" w:hAnsiTheme="minorEastAsia"/>
                <w:color w:val="000000"/>
                <w:kern w:val="0"/>
                <w:szCs w:val="21"/>
              </w:rPr>
              <w:t>6</w:t>
            </w:r>
            <w:r>
              <w:rPr>
                <w:rFonts w:hint="eastAsia" w:cs="宋体" w:asciiTheme="minorEastAsia" w:hAnsiTheme="minorEastAsia"/>
                <w:color w:val="000000"/>
                <w:kern w:val="0"/>
                <w:szCs w:val="21"/>
              </w:rPr>
              <w:t>小时（市内），维修到达现场时间≤24小时（市外）。</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asciiTheme="minorEastAsia" w:hAnsiTheme="minorEastAsia"/>
                <w:kern w:val="0"/>
                <w:szCs w:val="21"/>
              </w:rPr>
              <w:t>配件供应时间</w:t>
            </w:r>
            <w:r>
              <w:rPr>
                <w:rFonts w:asciiTheme="minorEastAsia" w:hAnsiTheme="minorEastAsia"/>
                <w:kern w:val="0"/>
                <w:szCs w:val="21"/>
              </w:rPr>
              <w:t>≥10</w:t>
            </w:r>
            <w:r>
              <w:rPr>
                <w:rFonts w:hint="eastAsia" w:asciiTheme="minorEastAsia" w:hAnsiTheme="minorEastAsia"/>
                <w:kern w:val="0"/>
                <w:szCs w:val="21"/>
              </w:rPr>
              <w:t>年</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提供耗材及主要零配件目录（含报价）。</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提供详细操作手册、维修保养手册等。</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color w:val="000000"/>
                <w:kern w:val="0"/>
                <w:szCs w:val="21"/>
              </w:rPr>
              <w:t>提供维修专用工具</w:t>
            </w:r>
            <w:r>
              <w:rPr>
                <w:rFonts w:cs="宋体" w:asciiTheme="minorEastAsia" w:hAnsiTheme="minorEastAsia"/>
                <w:color w:val="000000"/>
                <w:kern w:val="0"/>
                <w:szCs w:val="21"/>
              </w:rPr>
              <w:t>及</w:t>
            </w:r>
            <w:r>
              <w:rPr>
                <w:rFonts w:hint="eastAsia" w:cs="宋体" w:asciiTheme="minorEastAsia" w:hAnsiTheme="minorEastAsia"/>
                <w:color w:val="000000"/>
                <w:kern w:val="0"/>
                <w:szCs w:val="21"/>
              </w:rPr>
              <w:t>清单。</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保修期内提供定期维护保养服务。</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开放。</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终身免费软件升级。</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支持。</w:t>
            </w:r>
          </w:p>
        </w:tc>
        <w:tc>
          <w:tcPr>
            <w:tcW w:w="771"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52" w:hRule="atLeast"/>
          <w:jc w:val="center"/>
        </w:trPr>
        <w:tc>
          <w:tcPr>
            <w:tcW w:w="86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2092"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cs="宋体" w:asciiTheme="minorEastAsia" w:hAnsiTheme="minorEastAsia"/>
                <w:color w:val="000000"/>
                <w:kern w:val="0"/>
                <w:szCs w:val="21"/>
              </w:rPr>
              <w:t>工程师培训</w:t>
            </w:r>
          </w:p>
        </w:tc>
        <w:tc>
          <w:tcPr>
            <w:tcW w:w="5298"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支持。</w:t>
            </w:r>
          </w:p>
        </w:tc>
        <w:tc>
          <w:tcPr>
            <w:tcW w:w="771" w:type="dxa"/>
            <w:tcBorders>
              <w:top w:val="nil"/>
              <w:left w:val="nil"/>
              <w:bottom w:val="single" w:color="auto" w:sz="4" w:space="0"/>
              <w:right w:val="single" w:color="auto" w:sz="8" w:space="0"/>
            </w:tcBorders>
            <w:vAlign w:val="center"/>
          </w:tcPr>
          <w:p>
            <w:pPr>
              <w:widowControl/>
              <w:rPr>
                <w:rFonts w:cs="宋体" w:asciiTheme="minorEastAsia" w:hAnsiTheme="minorEastAsia"/>
                <w:kern w:val="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5865936"/>
    <w:rsid w:val="08920E99"/>
    <w:rsid w:val="092835A0"/>
    <w:rsid w:val="15DC1786"/>
    <w:rsid w:val="16771E6C"/>
    <w:rsid w:val="1EEF51FE"/>
    <w:rsid w:val="1F1C3038"/>
    <w:rsid w:val="20521273"/>
    <w:rsid w:val="28721247"/>
    <w:rsid w:val="2D3B4BB5"/>
    <w:rsid w:val="2F4E531A"/>
    <w:rsid w:val="3BB30E33"/>
    <w:rsid w:val="464E6EBE"/>
    <w:rsid w:val="47881864"/>
    <w:rsid w:val="48ED6FEB"/>
    <w:rsid w:val="541A0AD3"/>
    <w:rsid w:val="54507F18"/>
    <w:rsid w:val="60931FBB"/>
    <w:rsid w:val="648F679F"/>
    <w:rsid w:val="694C5498"/>
    <w:rsid w:val="76BA7B85"/>
    <w:rsid w:val="77872ADF"/>
    <w:rsid w:val="77D15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