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06422B" w:rsidRPr="0006422B">
        <w:rPr>
          <w:rFonts w:ascii="宋体" w:eastAsia="宋体" w:hAnsi="宋体" w:cs="Times New Roman" w:hint="eastAsia"/>
          <w:kern w:val="0"/>
          <w:sz w:val="36"/>
          <w:szCs w:val="36"/>
          <w:u w:val="single"/>
        </w:rPr>
        <w:t xml:space="preserve">    电动肌肉振动仪</w:t>
      </w:r>
      <w:r w:rsidR="0039601D">
        <w:rPr>
          <w:rFonts w:ascii="宋体" w:eastAsia="宋体" w:hAnsi="宋体" w:cs="Times New Roman" w:hint="eastAsia"/>
          <w:kern w:val="0"/>
          <w:sz w:val="36"/>
          <w:szCs w:val="36"/>
          <w:u w:val="single"/>
        </w:rPr>
        <w:t xml:space="preserve"> </w:t>
      </w:r>
      <w:r w:rsidR="00E80449">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B3B0D">
        <w:rPr>
          <w:rFonts w:ascii="宋体" w:eastAsia="宋体" w:hAnsi="宋体" w:cs="Times New Roman" w:hint="eastAsia"/>
          <w:kern w:val="0"/>
          <w:sz w:val="36"/>
          <w:szCs w:val="36"/>
          <w:u w:val="single"/>
        </w:rPr>
        <w:t xml:space="preserve"> </w:t>
      </w:r>
      <w:r w:rsidR="0006422B">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80449">
        <w:rPr>
          <w:rFonts w:ascii="宋体" w:eastAsia="宋体" w:hAnsi="宋体" w:cs="Times New Roman" w:hint="eastAsia"/>
          <w:kern w:val="0"/>
          <w:sz w:val="36"/>
          <w:szCs w:val="36"/>
          <w:u w:val="single"/>
        </w:rPr>
        <w:t>1</w:t>
      </w:r>
      <w:r w:rsidR="0006422B">
        <w:rPr>
          <w:rFonts w:ascii="宋体" w:eastAsia="宋体" w:hAnsi="宋体" w:cs="Times New Roman" w:hint="eastAsia"/>
          <w:kern w:val="0"/>
          <w:sz w:val="36"/>
          <w:szCs w:val="36"/>
          <w:u w:val="single"/>
        </w:rPr>
        <w:t>5</w:t>
      </w:r>
      <w:r w:rsidR="001B3B0D">
        <w:rPr>
          <w:rFonts w:ascii="宋体" w:eastAsia="宋体" w:hAnsi="宋体" w:cs="Times New Roman" w:hint="eastAsia"/>
          <w:kern w:val="0"/>
          <w:sz w:val="36"/>
          <w:szCs w:val="36"/>
          <w:u w:val="single"/>
        </w:rPr>
        <w:t xml:space="preserve">   </w:t>
      </w:r>
      <w:r w:rsidR="006031C8">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41986">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E7088E" w:rsidRPr="00E7088E" w:rsidRDefault="00086CC4" w:rsidP="00E7088E">
      <w:pPr>
        <w:pStyle w:val="12"/>
        <w:ind w:left="804"/>
        <w:rPr>
          <w:rFonts w:asciiTheme="minorHAnsi" w:eastAsiaTheme="minorEastAsia" w:hAnsiTheme="minorHAnsi" w:cstheme="minorBidi"/>
          <w:noProof/>
          <w:kern w:val="2"/>
          <w:szCs w:val="22"/>
        </w:rPr>
      </w:pPr>
      <w:r>
        <w:rPr>
          <w:rFonts w:ascii="仿宋_GB2312" w:eastAsia="仿宋_GB2312" w:hAnsi="宋体"/>
          <w:sz w:val="32"/>
          <w:szCs w:val="32"/>
        </w:rPr>
        <w:fldChar w:fldCharType="begin"/>
      </w:r>
      <w:r w:rsidR="00E7088E">
        <w:rPr>
          <w:rFonts w:ascii="仿宋_GB2312" w:eastAsia="仿宋_GB2312" w:hAnsi="宋体"/>
          <w:sz w:val="32"/>
          <w:szCs w:val="32"/>
        </w:rPr>
        <w:instrText xml:space="preserve"> TOC \o "1-3" \h \z \u </w:instrText>
      </w:r>
      <w:r>
        <w:rPr>
          <w:rFonts w:ascii="仿宋_GB2312" w:eastAsia="仿宋_GB2312" w:hAnsi="宋体"/>
          <w:sz w:val="32"/>
          <w:szCs w:val="32"/>
        </w:rPr>
        <w:fldChar w:fldCharType="separate"/>
      </w:r>
      <w:hyperlink w:anchor="_Toc36537956" w:history="1">
        <w:r w:rsidR="00E7088E" w:rsidRPr="00E7088E">
          <w:rPr>
            <w:rStyle w:val="aa"/>
            <w:rFonts w:ascii="黑体" w:eastAsia="黑体" w:hAnsi="黑体" w:hint="eastAsia"/>
            <w:noProof/>
            <w:sz w:val="32"/>
          </w:rPr>
          <w:t>第一部分</w:t>
        </w:r>
        <w:r w:rsidR="00E7088E" w:rsidRPr="00E7088E">
          <w:rPr>
            <w:rStyle w:val="aa"/>
            <w:rFonts w:ascii="黑体" w:eastAsia="黑体" w:hAnsi="黑体"/>
            <w:noProof/>
            <w:sz w:val="32"/>
          </w:rPr>
          <w:t xml:space="preserve">  </w:t>
        </w:r>
        <w:r w:rsidR="00E7088E" w:rsidRPr="00E7088E">
          <w:rPr>
            <w:rStyle w:val="aa"/>
            <w:rFonts w:ascii="黑体" w:eastAsia="黑体" w:hAnsi="黑体" w:hint="eastAsia"/>
            <w:noProof/>
            <w:sz w:val="32"/>
          </w:rPr>
          <w:t>招标公告</w:t>
        </w:r>
        <w:r w:rsidR="00E7088E" w:rsidRPr="00E7088E">
          <w:rPr>
            <w:noProof/>
            <w:webHidden/>
            <w:sz w:val="32"/>
          </w:rPr>
          <w:tab/>
        </w:r>
        <w:r w:rsidRPr="00E7088E">
          <w:rPr>
            <w:noProof/>
            <w:webHidden/>
            <w:sz w:val="32"/>
          </w:rPr>
          <w:fldChar w:fldCharType="begin"/>
        </w:r>
        <w:r w:rsidR="00E7088E" w:rsidRPr="00E7088E">
          <w:rPr>
            <w:noProof/>
            <w:webHidden/>
            <w:sz w:val="32"/>
          </w:rPr>
          <w:instrText xml:space="preserve"> PAGEREF _Toc36537956 \h </w:instrText>
        </w:r>
        <w:r w:rsidRPr="00E7088E">
          <w:rPr>
            <w:noProof/>
            <w:webHidden/>
            <w:sz w:val="32"/>
          </w:rPr>
        </w:r>
        <w:r w:rsidRPr="00E7088E">
          <w:rPr>
            <w:noProof/>
            <w:webHidden/>
            <w:sz w:val="32"/>
          </w:rPr>
          <w:fldChar w:fldCharType="separate"/>
        </w:r>
        <w:r w:rsidR="00E606A1">
          <w:rPr>
            <w:noProof/>
            <w:webHidden/>
            <w:sz w:val="32"/>
          </w:rPr>
          <w:t>1</w:t>
        </w:r>
        <w:r w:rsidRPr="00E7088E">
          <w:rPr>
            <w:noProof/>
            <w:webHidden/>
            <w:sz w:val="32"/>
          </w:rPr>
          <w:fldChar w:fldCharType="end"/>
        </w:r>
      </w:hyperlink>
    </w:p>
    <w:p w:rsidR="00E7088E" w:rsidRPr="00E7088E" w:rsidRDefault="00086CC4" w:rsidP="00E7088E">
      <w:pPr>
        <w:pStyle w:val="12"/>
        <w:ind w:left="804"/>
        <w:rPr>
          <w:rFonts w:asciiTheme="minorHAnsi" w:eastAsiaTheme="minorEastAsia" w:hAnsiTheme="minorHAnsi" w:cstheme="minorBidi"/>
          <w:noProof/>
          <w:kern w:val="2"/>
          <w:szCs w:val="22"/>
        </w:rPr>
      </w:pPr>
      <w:hyperlink w:anchor="_Toc36537957" w:history="1">
        <w:r w:rsidR="00E7088E" w:rsidRPr="00E7088E">
          <w:rPr>
            <w:rStyle w:val="aa"/>
            <w:rFonts w:ascii="黑体" w:eastAsia="黑体" w:hAnsi="黑体" w:hint="eastAsia"/>
            <w:noProof/>
            <w:sz w:val="32"/>
            <w:lang w:val="zh-CN"/>
          </w:rPr>
          <w:t>第二部分</w:t>
        </w:r>
        <w:r w:rsidR="00E7088E" w:rsidRPr="00E7088E">
          <w:rPr>
            <w:rStyle w:val="aa"/>
            <w:rFonts w:ascii="黑体" w:eastAsia="黑体" w:hAnsi="黑体"/>
            <w:noProof/>
            <w:sz w:val="32"/>
            <w:lang w:val="zh-CN"/>
          </w:rPr>
          <w:t xml:space="preserve">  </w:t>
        </w:r>
        <w:r w:rsidR="00E7088E" w:rsidRPr="00E7088E">
          <w:rPr>
            <w:rStyle w:val="aa"/>
            <w:rFonts w:ascii="黑体" w:eastAsia="黑体" w:hAnsi="黑体" w:hint="eastAsia"/>
            <w:noProof/>
            <w:sz w:val="32"/>
            <w:lang w:val="zh-CN"/>
          </w:rPr>
          <w:t>采购项目技</w:t>
        </w:r>
        <w:r w:rsidR="00E7088E" w:rsidRPr="00E7088E">
          <w:rPr>
            <w:rStyle w:val="aa"/>
            <w:rFonts w:ascii="黑体" w:eastAsia="黑体" w:hAnsi="黑体" w:cs="宋体" w:hint="eastAsia"/>
            <w:noProof/>
            <w:sz w:val="32"/>
            <w:lang w:val="zh-CN"/>
          </w:rPr>
          <w:t>术</w:t>
        </w:r>
        <w:r w:rsidR="00E7088E" w:rsidRPr="00E7088E">
          <w:rPr>
            <w:rStyle w:val="aa"/>
            <w:rFonts w:ascii="黑体" w:eastAsia="黑体" w:hAnsi="黑体" w:cs="Dotum" w:hint="eastAsia"/>
            <w:noProof/>
            <w:sz w:val="32"/>
            <w:lang w:val="zh-CN"/>
          </w:rPr>
          <w:t>和商</w:t>
        </w:r>
        <w:r w:rsidR="00E7088E" w:rsidRPr="00E7088E">
          <w:rPr>
            <w:rStyle w:val="aa"/>
            <w:rFonts w:ascii="黑体" w:eastAsia="黑体" w:hAnsi="黑体" w:cs="宋体" w:hint="eastAsia"/>
            <w:noProof/>
            <w:sz w:val="32"/>
            <w:lang w:val="zh-CN"/>
          </w:rPr>
          <w:t>务</w:t>
        </w:r>
        <w:r w:rsidR="00E7088E" w:rsidRPr="00E7088E">
          <w:rPr>
            <w:rStyle w:val="aa"/>
            <w:rFonts w:ascii="黑体" w:eastAsia="黑体" w:hAnsi="黑体" w:hint="eastAsia"/>
            <w:noProof/>
            <w:sz w:val="32"/>
            <w:lang w:val="zh-CN"/>
          </w:rPr>
          <w:t>要求</w:t>
        </w:r>
        <w:r w:rsidR="00E7088E" w:rsidRPr="00E7088E">
          <w:rPr>
            <w:noProof/>
            <w:webHidden/>
            <w:sz w:val="32"/>
          </w:rPr>
          <w:tab/>
        </w:r>
        <w:r w:rsidRPr="00E7088E">
          <w:rPr>
            <w:noProof/>
            <w:webHidden/>
            <w:sz w:val="32"/>
          </w:rPr>
          <w:fldChar w:fldCharType="begin"/>
        </w:r>
        <w:r w:rsidR="00E7088E" w:rsidRPr="00E7088E">
          <w:rPr>
            <w:noProof/>
            <w:webHidden/>
            <w:sz w:val="32"/>
          </w:rPr>
          <w:instrText xml:space="preserve"> PAGEREF _Toc36537957 \h </w:instrText>
        </w:r>
        <w:r w:rsidRPr="00E7088E">
          <w:rPr>
            <w:noProof/>
            <w:webHidden/>
            <w:sz w:val="32"/>
          </w:rPr>
        </w:r>
        <w:r w:rsidRPr="00E7088E">
          <w:rPr>
            <w:noProof/>
            <w:webHidden/>
            <w:sz w:val="32"/>
          </w:rPr>
          <w:fldChar w:fldCharType="separate"/>
        </w:r>
        <w:r w:rsidR="00E606A1">
          <w:rPr>
            <w:noProof/>
            <w:webHidden/>
            <w:sz w:val="32"/>
          </w:rPr>
          <w:t>4</w:t>
        </w:r>
        <w:r w:rsidRPr="00E7088E">
          <w:rPr>
            <w:noProof/>
            <w:webHidden/>
            <w:sz w:val="32"/>
          </w:rPr>
          <w:fldChar w:fldCharType="end"/>
        </w:r>
      </w:hyperlink>
    </w:p>
    <w:p w:rsidR="00E7088E" w:rsidRPr="00E7088E" w:rsidRDefault="00086CC4" w:rsidP="00E7088E">
      <w:pPr>
        <w:pStyle w:val="12"/>
        <w:ind w:left="804"/>
        <w:rPr>
          <w:rFonts w:asciiTheme="minorHAnsi" w:eastAsiaTheme="minorEastAsia" w:hAnsiTheme="minorHAnsi" w:cstheme="minorBidi"/>
          <w:noProof/>
          <w:kern w:val="2"/>
          <w:szCs w:val="22"/>
        </w:rPr>
      </w:pPr>
      <w:hyperlink w:anchor="_Toc36537958" w:history="1">
        <w:r w:rsidR="00E7088E" w:rsidRPr="00E7088E">
          <w:rPr>
            <w:rStyle w:val="aa"/>
            <w:rFonts w:ascii="黑体" w:eastAsia="黑体" w:hAnsi="黑体" w:hint="eastAsia"/>
            <w:noProof/>
            <w:sz w:val="32"/>
          </w:rPr>
          <w:t>第三部分</w:t>
        </w:r>
        <w:r w:rsidR="00E7088E" w:rsidRPr="00E7088E">
          <w:rPr>
            <w:rStyle w:val="aa"/>
            <w:rFonts w:ascii="黑体" w:eastAsia="黑体" w:hAnsi="黑体"/>
            <w:noProof/>
            <w:sz w:val="32"/>
          </w:rPr>
          <w:t xml:space="preserve">  </w:t>
        </w:r>
        <w:r w:rsidR="00E7088E" w:rsidRPr="00E7088E">
          <w:rPr>
            <w:rStyle w:val="aa"/>
            <w:rFonts w:ascii="黑体" w:eastAsia="黑体" w:hAnsi="黑体" w:hint="eastAsia"/>
            <w:noProof/>
            <w:sz w:val="32"/>
            <w:lang w:val="zh-CN"/>
          </w:rPr>
          <w:t>投标人</w:t>
        </w:r>
        <w:r w:rsidR="00E7088E" w:rsidRPr="00E7088E">
          <w:rPr>
            <w:rStyle w:val="aa"/>
            <w:rFonts w:ascii="黑体" w:eastAsia="黑体" w:hAnsi="黑体" w:hint="eastAsia"/>
            <w:noProof/>
            <w:sz w:val="32"/>
          </w:rPr>
          <w:t>须知</w:t>
        </w:r>
        <w:r w:rsidR="00E7088E" w:rsidRPr="00E7088E">
          <w:rPr>
            <w:noProof/>
            <w:webHidden/>
            <w:sz w:val="32"/>
          </w:rPr>
          <w:tab/>
        </w:r>
        <w:r w:rsidRPr="00E7088E">
          <w:rPr>
            <w:noProof/>
            <w:webHidden/>
            <w:sz w:val="32"/>
          </w:rPr>
          <w:fldChar w:fldCharType="begin"/>
        </w:r>
        <w:r w:rsidR="00E7088E" w:rsidRPr="00E7088E">
          <w:rPr>
            <w:noProof/>
            <w:webHidden/>
            <w:sz w:val="32"/>
          </w:rPr>
          <w:instrText xml:space="preserve"> PAGEREF _Toc36537958 \h </w:instrText>
        </w:r>
        <w:r w:rsidRPr="00E7088E">
          <w:rPr>
            <w:noProof/>
            <w:webHidden/>
            <w:sz w:val="32"/>
          </w:rPr>
        </w:r>
        <w:r w:rsidRPr="00E7088E">
          <w:rPr>
            <w:noProof/>
            <w:webHidden/>
            <w:sz w:val="32"/>
          </w:rPr>
          <w:fldChar w:fldCharType="separate"/>
        </w:r>
        <w:r w:rsidR="00E606A1">
          <w:rPr>
            <w:noProof/>
            <w:webHidden/>
            <w:sz w:val="32"/>
          </w:rPr>
          <w:t>8</w:t>
        </w:r>
        <w:r w:rsidRPr="00E7088E">
          <w:rPr>
            <w:noProof/>
            <w:webHidden/>
            <w:sz w:val="32"/>
          </w:rPr>
          <w:fldChar w:fldCharType="end"/>
        </w:r>
      </w:hyperlink>
    </w:p>
    <w:p w:rsidR="00E7088E" w:rsidRPr="00E7088E" w:rsidRDefault="00086CC4" w:rsidP="00E7088E">
      <w:pPr>
        <w:pStyle w:val="12"/>
        <w:ind w:left="804"/>
        <w:rPr>
          <w:rFonts w:asciiTheme="minorHAnsi" w:eastAsiaTheme="minorEastAsia" w:hAnsiTheme="minorHAnsi" w:cstheme="minorBidi"/>
          <w:noProof/>
          <w:kern w:val="2"/>
          <w:szCs w:val="22"/>
        </w:rPr>
      </w:pPr>
      <w:hyperlink w:anchor="_Toc36537959" w:history="1">
        <w:r w:rsidR="00E7088E" w:rsidRPr="00E7088E">
          <w:rPr>
            <w:rStyle w:val="aa"/>
            <w:rFonts w:ascii="黑体" w:eastAsia="黑体" w:hAnsi="黑体" w:hint="eastAsia"/>
            <w:bCs/>
            <w:noProof/>
            <w:sz w:val="32"/>
          </w:rPr>
          <w:t>第四部分</w:t>
        </w:r>
        <w:r w:rsidR="00E7088E" w:rsidRPr="00E7088E">
          <w:rPr>
            <w:rStyle w:val="aa"/>
            <w:rFonts w:ascii="黑体" w:eastAsia="黑体" w:hAnsi="黑体"/>
            <w:bCs/>
            <w:noProof/>
            <w:sz w:val="32"/>
          </w:rPr>
          <w:t xml:space="preserve">  </w:t>
        </w:r>
        <w:r w:rsidR="00E7088E" w:rsidRPr="00E7088E">
          <w:rPr>
            <w:rStyle w:val="aa"/>
            <w:rFonts w:ascii="黑体" w:eastAsia="黑体" w:hAnsi="黑体" w:hint="eastAsia"/>
            <w:bCs/>
            <w:noProof/>
            <w:sz w:val="32"/>
          </w:rPr>
          <w:t>合同样本</w:t>
        </w:r>
        <w:r w:rsidR="00E7088E" w:rsidRPr="00E7088E">
          <w:rPr>
            <w:noProof/>
            <w:webHidden/>
            <w:sz w:val="32"/>
          </w:rPr>
          <w:tab/>
        </w:r>
        <w:r w:rsidRPr="00E7088E">
          <w:rPr>
            <w:noProof/>
            <w:webHidden/>
            <w:sz w:val="32"/>
          </w:rPr>
          <w:fldChar w:fldCharType="begin"/>
        </w:r>
        <w:r w:rsidR="00E7088E" w:rsidRPr="00E7088E">
          <w:rPr>
            <w:noProof/>
            <w:webHidden/>
            <w:sz w:val="32"/>
          </w:rPr>
          <w:instrText xml:space="preserve"> PAGEREF _Toc36537959 \h </w:instrText>
        </w:r>
        <w:r w:rsidRPr="00E7088E">
          <w:rPr>
            <w:noProof/>
            <w:webHidden/>
            <w:sz w:val="32"/>
          </w:rPr>
        </w:r>
        <w:r w:rsidRPr="00E7088E">
          <w:rPr>
            <w:noProof/>
            <w:webHidden/>
            <w:sz w:val="32"/>
          </w:rPr>
          <w:fldChar w:fldCharType="separate"/>
        </w:r>
        <w:r w:rsidR="00E606A1">
          <w:rPr>
            <w:noProof/>
            <w:webHidden/>
            <w:sz w:val="32"/>
          </w:rPr>
          <w:t>30</w:t>
        </w:r>
        <w:r w:rsidRPr="00E7088E">
          <w:rPr>
            <w:noProof/>
            <w:webHidden/>
            <w:sz w:val="32"/>
          </w:rPr>
          <w:fldChar w:fldCharType="end"/>
        </w:r>
      </w:hyperlink>
    </w:p>
    <w:p w:rsidR="00E7088E" w:rsidRDefault="00086CC4" w:rsidP="00E7088E">
      <w:pPr>
        <w:pStyle w:val="12"/>
        <w:ind w:left="804"/>
        <w:rPr>
          <w:rFonts w:asciiTheme="minorHAnsi" w:eastAsiaTheme="minorEastAsia" w:hAnsiTheme="minorHAnsi" w:cstheme="minorBidi"/>
          <w:noProof/>
          <w:kern w:val="2"/>
          <w:sz w:val="21"/>
          <w:szCs w:val="22"/>
        </w:rPr>
      </w:pPr>
      <w:hyperlink w:anchor="_Toc36537960" w:history="1">
        <w:r w:rsidR="00E7088E" w:rsidRPr="00E7088E">
          <w:rPr>
            <w:rStyle w:val="aa"/>
            <w:rFonts w:ascii="黑体" w:eastAsia="黑体" w:hAnsi="黑体" w:hint="eastAsia"/>
            <w:noProof/>
            <w:sz w:val="32"/>
          </w:rPr>
          <w:t>第五部分</w:t>
        </w:r>
        <w:r w:rsidR="00E7088E" w:rsidRPr="00E7088E">
          <w:rPr>
            <w:rStyle w:val="aa"/>
            <w:rFonts w:ascii="黑体" w:eastAsia="黑体" w:hAnsi="黑体"/>
            <w:noProof/>
            <w:sz w:val="32"/>
          </w:rPr>
          <w:t xml:space="preserve">  </w:t>
        </w:r>
        <w:r w:rsidR="00E7088E" w:rsidRPr="00E7088E">
          <w:rPr>
            <w:rStyle w:val="aa"/>
            <w:rFonts w:ascii="黑体" w:eastAsia="黑体" w:hAnsi="黑体" w:hint="eastAsia"/>
            <w:noProof/>
            <w:sz w:val="32"/>
          </w:rPr>
          <w:t>附件</w:t>
        </w:r>
        <w:r w:rsidR="00E7088E" w:rsidRPr="00E7088E">
          <w:rPr>
            <w:rStyle w:val="aa"/>
            <w:rFonts w:ascii="黑体" w:eastAsia="黑体" w:hAnsi="黑体"/>
            <w:noProof/>
            <w:sz w:val="32"/>
          </w:rPr>
          <w:t>/</w:t>
        </w:r>
        <w:r w:rsidR="00E7088E" w:rsidRPr="00E7088E">
          <w:rPr>
            <w:rStyle w:val="aa"/>
            <w:rFonts w:ascii="黑体" w:eastAsia="黑体" w:hAnsi="黑体" w:hint="eastAsia"/>
            <w:noProof/>
            <w:sz w:val="32"/>
          </w:rPr>
          <w:t>投标文件格式</w:t>
        </w:r>
        <w:r w:rsidR="00E7088E" w:rsidRPr="00E7088E">
          <w:rPr>
            <w:noProof/>
            <w:webHidden/>
            <w:sz w:val="32"/>
          </w:rPr>
          <w:tab/>
        </w:r>
        <w:r w:rsidRPr="00E7088E">
          <w:rPr>
            <w:noProof/>
            <w:webHidden/>
            <w:sz w:val="32"/>
          </w:rPr>
          <w:fldChar w:fldCharType="begin"/>
        </w:r>
        <w:r w:rsidR="00E7088E" w:rsidRPr="00E7088E">
          <w:rPr>
            <w:noProof/>
            <w:webHidden/>
            <w:sz w:val="32"/>
          </w:rPr>
          <w:instrText xml:space="preserve"> PAGEREF _Toc36537960 \h </w:instrText>
        </w:r>
        <w:r w:rsidRPr="00E7088E">
          <w:rPr>
            <w:noProof/>
            <w:webHidden/>
            <w:sz w:val="32"/>
          </w:rPr>
        </w:r>
        <w:r w:rsidRPr="00E7088E">
          <w:rPr>
            <w:noProof/>
            <w:webHidden/>
            <w:sz w:val="32"/>
          </w:rPr>
          <w:fldChar w:fldCharType="separate"/>
        </w:r>
        <w:r w:rsidR="00E606A1">
          <w:rPr>
            <w:noProof/>
            <w:webHidden/>
            <w:sz w:val="32"/>
          </w:rPr>
          <w:t>33</w:t>
        </w:r>
        <w:r w:rsidRPr="00E7088E">
          <w:rPr>
            <w:noProof/>
            <w:webHidden/>
            <w:sz w:val="32"/>
          </w:rPr>
          <w:fldChar w:fldCharType="end"/>
        </w:r>
      </w:hyperlink>
    </w:p>
    <w:p w:rsidR="007154D8" w:rsidRPr="002B0A3B" w:rsidRDefault="00086CC4" w:rsidP="00881A2F">
      <w:pPr>
        <w:jc w:val="distribute"/>
        <w:rPr>
          <w:rFonts w:ascii="仿宋_GB2312" w:eastAsia="仿宋_GB2312" w:hAnsi="宋体" w:cs="Times New Roman"/>
          <w:kern w:val="0"/>
          <w:sz w:val="32"/>
          <w:szCs w:val="32"/>
        </w:rPr>
      </w:pPr>
      <w:r>
        <w:rPr>
          <w:rFonts w:ascii="仿宋_GB2312" w:eastAsia="仿宋_GB2312" w:hAnsi="宋体" w:cs="Times New Roman"/>
          <w:kern w:val="0"/>
          <w:sz w:val="32"/>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C41986">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047F41" w:rsidRDefault="000F19EE" w:rsidP="00047F41">
      <w:pPr>
        <w:pStyle w:val="1"/>
        <w:jc w:val="center"/>
        <w:rPr>
          <w:rFonts w:ascii="黑体" w:eastAsia="黑体" w:hAnsi="黑体"/>
          <w:kern w:val="0"/>
          <w:sz w:val="32"/>
          <w:szCs w:val="32"/>
        </w:rPr>
      </w:pPr>
      <w:bookmarkStart w:id="1" w:name="_Toc285612593"/>
      <w:bookmarkStart w:id="2" w:name="_Toc435540978"/>
      <w:bookmarkStart w:id="3" w:name="_Toc36537956"/>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047F41">
      <w:pPr>
        <w:jc w:val="center"/>
        <w:rPr>
          <w:rFonts w:ascii="Tahoma" w:hAnsi="Tahoma" w:cs="Tahoma"/>
          <w:b/>
          <w:bCs/>
          <w:kern w:val="0"/>
          <w:sz w:val="28"/>
          <w:szCs w:val="28"/>
        </w:rPr>
      </w:pPr>
      <w:r w:rsidRPr="00297A15">
        <w:rPr>
          <w:rFonts w:ascii="Tahoma" w:hAnsi="Tahoma" w:cs="Tahoma" w:hint="eastAsia"/>
          <w:b/>
          <w:bCs/>
          <w:kern w:val="0"/>
          <w:sz w:val="28"/>
          <w:szCs w:val="28"/>
        </w:rPr>
        <w:t>关于</w:t>
      </w:r>
      <w:r w:rsidR="001432A7" w:rsidRPr="001432A7">
        <w:rPr>
          <w:rFonts w:ascii="Tahoma" w:hAnsi="Tahoma" w:cs="Tahoma" w:hint="eastAsia"/>
          <w:b/>
          <w:bCs/>
          <w:kern w:val="0"/>
          <w:sz w:val="28"/>
          <w:szCs w:val="28"/>
        </w:rPr>
        <w:t>电动肌肉振动仪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9A5C13">
        <w:rPr>
          <w:rFonts w:ascii="Tahoma" w:hAnsi="Tahoma" w:cs="Tahoma" w:hint="eastAsia"/>
          <w:kern w:val="0"/>
          <w:sz w:val="28"/>
          <w:szCs w:val="28"/>
        </w:rPr>
        <w:t>1</w:t>
      </w:r>
      <w:r w:rsidR="001432A7">
        <w:rPr>
          <w:rFonts w:ascii="Tahoma" w:hAnsi="Tahoma" w:cs="Tahoma" w:hint="eastAsia"/>
          <w:kern w:val="0"/>
          <w:sz w:val="28"/>
          <w:szCs w:val="28"/>
        </w:rPr>
        <w:t>5</w:t>
      </w:r>
    </w:p>
    <w:p w:rsidR="00297A15" w:rsidRDefault="00297A15" w:rsidP="00B02DB7">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B02DB7">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1432A7" w:rsidRPr="001432A7">
        <w:rPr>
          <w:rFonts w:asciiTheme="minorEastAsia" w:hAnsiTheme="minorEastAsia" w:cs="Times New Roman" w:hint="eastAsia"/>
          <w:b/>
          <w:kern w:val="0"/>
          <w:sz w:val="24"/>
          <w:szCs w:val="24"/>
        </w:rPr>
        <w:t>电动肌肉振动仪</w:t>
      </w:r>
    </w:p>
    <w:p w:rsidR="000F19EE" w:rsidRPr="001A1DAD" w:rsidRDefault="004E18EC" w:rsidP="00B02DB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9A5C13">
        <w:rPr>
          <w:rFonts w:asciiTheme="minorEastAsia" w:hAnsiTheme="minorEastAsia" w:cs="Times New Roman" w:hint="eastAsia"/>
          <w:b/>
          <w:kern w:val="0"/>
          <w:sz w:val="24"/>
          <w:szCs w:val="24"/>
        </w:rPr>
        <w:t>1</w:t>
      </w:r>
      <w:r w:rsidR="001432A7">
        <w:rPr>
          <w:rFonts w:asciiTheme="minorEastAsia" w:hAnsiTheme="minorEastAsia" w:cs="Times New Roman" w:hint="eastAsia"/>
          <w:b/>
          <w:kern w:val="0"/>
          <w:sz w:val="24"/>
          <w:szCs w:val="24"/>
        </w:rPr>
        <w:t>5</w:t>
      </w:r>
    </w:p>
    <w:p w:rsidR="000F19EE" w:rsidRPr="001A1DAD" w:rsidRDefault="004E18EC" w:rsidP="00B02DB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B21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B21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B2130">
            <w:pPr>
              <w:adjustRightInd w:val="0"/>
              <w:snapToGrid w:val="0"/>
              <w:spacing w:line="36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1432A7" w:rsidRDefault="001432A7" w:rsidP="003B2130">
            <w:pPr>
              <w:adjustRightInd w:val="0"/>
              <w:snapToGrid w:val="0"/>
              <w:spacing w:line="360" w:lineRule="exact"/>
              <w:jc w:val="center"/>
              <w:rPr>
                <w:rFonts w:asciiTheme="minorEastAsia" w:hAnsiTheme="minorEastAsia" w:cs="Times New Roman"/>
                <w:szCs w:val="21"/>
              </w:rPr>
            </w:pPr>
            <w:r w:rsidRPr="001432A7">
              <w:rPr>
                <w:rFonts w:asciiTheme="minorEastAsia" w:hAnsiTheme="minorEastAsia" w:cs="Times New Roman" w:hint="eastAsia"/>
                <w:szCs w:val="21"/>
              </w:rPr>
              <w:t>电动肌肉</w:t>
            </w:r>
          </w:p>
          <w:p w:rsidR="000F19EE" w:rsidRPr="00D9263A" w:rsidRDefault="001432A7" w:rsidP="003B2130">
            <w:pPr>
              <w:adjustRightInd w:val="0"/>
              <w:snapToGrid w:val="0"/>
              <w:spacing w:line="360" w:lineRule="exact"/>
              <w:jc w:val="center"/>
              <w:rPr>
                <w:rFonts w:asciiTheme="minorEastAsia" w:hAnsiTheme="minorEastAsia" w:cs="Times New Roman"/>
                <w:szCs w:val="21"/>
              </w:rPr>
            </w:pPr>
            <w:r w:rsidRPr="001432A7">
              <w:rPr>
                <w:rFonts w:asciiTheme="minorEastAsia" w:hAnsiTheme="minorEastAsia" w:cs="Times New Roman" w:hint="eastAsia"/>
                <w:szCs w:val="21"/>
              </w:rPr>
              <w:t>振动仪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952988" w:rsidP="003B2130">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952988" w:rsidP="003B2130">
            <w:pPr>
              <w:adjustRightInd w:val="0"/>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3</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6031C8" w:rsidRPr="006031C8">
              <w:rPr>
                <w:rFonts w:asciiTheme="minorEastAsia" w:hAnsiTheme="minorEastAsia" w:cs="Times New Roman" w:hint="eastAsia"/>
                <w:szCs w:val="21"/>
              </w:rPr>
              <w:t>日历日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B2130">
            <w:pPr>
              <w:adjustRightInd w:val="0"/>
              <w:snapToGrid w:val="0"/>
              <w:spacing w:line="360" w:lineRule="exact"/>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B2130">
            <w:pPr>
              <w:adjustRightInd w:val="0"/>
              <w:snapToGrid w:val="0"/>
              <w:spacing w:line="360" w:lineRule="exact"/>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B2130">
            <w:pPr>
              <w:adjustRightInd w:val="0"/>
              <w:snapToGrid w:val="0"/>
              <w:spacing w:line="360" w:lineRule="exact"/>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B02DB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B02DB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B02DB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B02DB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B02DB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B02DB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B02DB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B02DB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B02DB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B02DB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602D74">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602D74">
        <w:rPr>
          <w:rFonts w:asciiTheme="minorEastAsia" w:hAnsiTheme="minorEastAsia" w:cs="Times New Roman" w:hint="eastAsia"/>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602D74">
        <w:rPr>
          <w:rFonts w:asciiTheme="minorEastAsia" w:hAnsiTheme="minorEastAsia" w:cs="Times New Roman" w:hint="eastAsia"/>
          <w:kern w:val="0"/>
          <w:sz w:val="24"/>
          <w:szCs w:val="24"/>
          <w:u w:val="single"/>
        </w:rPr>
        <w:t>21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B02DB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B02D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B02DB7">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B02D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B02D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B02D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B02D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B02D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B02D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B02D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B02D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B02D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B02DB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B02DB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B02DB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602D74">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B02DB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602D74">
        <w:rPr>
          <w:rFonts w:asciiTheme="minorEastAsia" w:hAnsiTheme="minorEastAsia" w:cs="Times New Roman" w:hint="eastAsia"/>
          <w:kern w:val="0"/>
          <w:sz w:val="24"/>
          <w:szCs w:val="24"/>
          <w:u w:val="single"/>
        </w:rPr>
        <w:t>29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B02DB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B02DB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B02DB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B02DB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4</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602D74">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B02DB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B02DB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B02DB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B02D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C41986">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B02DB7">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B02DB7">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602D74">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602D74">
        <w:rPr>
          <w:rFonts w:asciiTheme="minorEastAsia" w:hAnsiTheme="minorEastAsia" w:cs="Times New Roman" w:hint="eastAsia"/>
          <w:kern w:val="0"/>
          <w:sz w:val="24"/>
          <w:szCs w:val="24"/>
        </w:rPr>
        <w:t>7</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3B2130">
      <w:pPr>
        <w:autoSpaceDE w:val="0"/>
        <w:autoSpaceDN w:val="0"/>
        <w:adjustRightInd w:val="0"/>
        <w:snapToGrid w:val="0"/>
        <w:spacing w:line="36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C5456B" w:rsidRPr="006E4763" w:rsidRDefault="000F19EE" w:rsidP="006E4763">
      <w:pPr>
        <w:pStyle w:val="1"/>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53795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3B2130">
      <w:pPr>
        <w:autoSpaceDE w:val="0"/>
        <w:autoSpaceDN w:val="0"/>
        <w:adjustRightInd w:val="0"/>
        <w:snapToGrid w:val="0"/>
        <w:spacing w:line="36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00" w:type="pct"/>
        <w:jc w:val="center"/>
        <w:tblInd w:w="250" w:type="dxa"/>
        <w:tblLook w:val="00A0"/>
      </w:tblPr>
      <w:tblGrid>
        <w:gridCol w:w="852"/>
        <w:gridCol w:w="2220"/>
        <w:gridCol w:w="1253"/>
        <w:gridCol w:w="2369"/>
        <w:gridCol w:w="1043"/>
        <w:gridCol w:w="1323"/>
      </w:tblGrid>
      <w:tr w:rsidR="009B6C69" w:rsidRPr="00E016D8" w:rsidTr="00B3325E">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3B213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1323" w:type="dxa"/>
            <w:tcBorders>
              <w:top w:val="single" w:sz="4" w:space="0" w:color="auto"/>
              <w:left w:val="nil"/>
              <w:bottom w:val="single" w:sz="4" w:space="0" w:color="auto"/>
              <w:right w:val="single" w:sz="4" w:space="0" w:color="auto"/>
            </w:tcBorders>
            <w:vAlign w:val="center"/>
          </w:tcPr>
          <w:p w:rsidR="009B6C69" w:rsidRPr="00E016D8" w:rsidRDefault="009B6C69" w:rsidP="003B2130">
            <w:pPr>
              <w:widowControl/>
              <w:adjustRightInd w:val="0"/>
              <w:snapToGrid w:val="0"/>
              <w:spacing w:line="36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3325E">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3B213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1432A7" w:rsidP="003B2130">
            <w:pPr>
              <w:adjustRightInd w:val="0"/>
              <w:snapToGrid w:val="0"/>
              <w:spacing w:line="360" w:lineRule="exact"/>
              <w:jc w:val="center"/>
              <w:rPr>
                <w:rFonts w:asciiTheme="minorEastAsia" w:hAnsiTheme="minorEastAsia" w:cs="Times New Roman"/>
                <w:kern w:val="0"/>
                <w:sz w:val="24"/>
                <w:szCs w:val="24"/>
              </w:rPr>
            </w:pPr>
            <w:r w:rsidRPr="001432A7">
              <w:rPr>
                <w:rFonts w:asciiTheme="minorEastAsia" w:hAnsiTheme="minorEastAsia" w:cs="Times New Roman" w:hint="eastAsia"/>
                <w:szCs w:val="21"/>
              </w:rPr>
              <w:t>电动肌肉振动仪</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A5C13"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1323" w:type="dxa"/>
            <w:tcBorders>
              <w:top w:val="single" w:sz="4" w:space="0" w:color="auto"/>
              <w:left w:val="nil"/>
              <w:bottom w:val="single" w:sz="4" w:space="0" w:color="auto"/>
              <w:right w:val="single" w:sz="4" w:space="0" w:color="auto"/>
            </w:tcBorders>
            <w:noWrap/>
            <w:vAlign w:val="center"/>
          </w:tcPr>
          <w:p w:rsidR="009B6C69" w:rsidRPr="00E016D8" w:rsidRDefault="00952988" w:rsidP="003B2130">
            <w:pPr>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r>
      <w:bookmarkEnd w:id="8"/>
    </w:tbl>
    <w:p w:rsidR="00241372" w:rsidRDefault="00241372" w:rsidP="003B2130">
      <w:pPr>
        <w:adjustRightInd w:val="0"/>
        <w:snapToGrid w:val="0"/>
        <w:spacing w:line="360" w:lineRule="exact"/>
        <w:jc w:val="center"/>
        <w:rPr>
          <w:rFonts w:ascii="宋体" w:hAnsi="宋体" w:cs="宋体"/>
          <w:bCs/>
          <w:kern w:val="0"/>
          <w:sz w:val="44"/>
          <w:szCs w:val="44"/>
        </w:rPr>
      </w:pPr>
    </w:p>
    <w:p w:rsidR="000F19EE" w:rsidRPr="00AF401F" w:rsidRDefault="001432A7" w:rsidP="003B2130">
      <w:pPr>
        <w:adjustRightInd w:val="0"/>
        <w:snapToGrid w:val="0"/>
        <w:spacing w:line="360" w:lineRule="exact"/>
        <w:jc w:val="center"/>
        <w:rPr>
          <w:rFonts w:ascii="宋体" w:hAnsi="宋体" w:cs="宋体"/>
          <w:bCs/>
          <w:kern w:val="0"/>
          <w:sz w:val="32"/>
          <w:szCs w:val="32"/>
        </w:rPr>
      </w:pPr>
      <w:r w:rsidRPr="001432A7">
        <w:rPr>
          <w:rFonts w:ascii="宋体" w:eastAsia="宋体" w:hAnsi="宋体" w:cs="宋体" w:hint="eastAsia"/>
          <w:bCs/>
          <w:kern w:val="0"/>
          <w:sz w:val="32"/>
          <w:szCs w:val="32"/>
        </w:rPr>
        <w:t>电动肌肉振动仪</w:t>
      </w:r>
      <w:r w:rsidR="00241372" w:rsidRPr="00AF401F">
        <w:rPr>
          <w:rFonts w:ascii="宋体" w:eastAsia="宋体" w:hAnsi="宋体" w:cs="宋体" w:hint="eastAsia"/>
          <w:bCs/>
          <w:kern w:val="0"/>
          <w:sz w:val="32"/>
          <w:szCs w:val="32"/>
        </w:rPr>
        <w:t>技术要求</w:t>
      </w:r>
    </w:p>
    <w:tbl>
      <w:tblPr>
        <w:tblW w:w="9073" w:type="dxa"/>
        <w:tblInd w:w="-34" w:type="dxa"/>
        <w:tblLayout w:type="fixed"/>
        <w:tblLook w:val="0000"/>
      </w:tblPr>
      <w:tblGrid>
        <w:gridCol w:w="851"/>
        <w:gridCol w:w="2410"/>
        <w:gridCol w:w="4678"/>
        <w:gridCol w:w="1134"/>
      </w:tblGrid>
      <w:tr w:rsidR="001432A7" w:rsidRPr="001432A7" w:rsidTr="001432A7">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
                <w:bCs/>
                <w:kern w:val="0"/>
                <w:szCs w:val="21"/>
              </w:rPr>
            </w:pPr>
            <w:r w:rsidRPr="001432A7">
              <w:rPr>
                <w:rFonts w:asciiTheme="minorEastAsia" w:hAnsiTheme="minorEastAsia"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
                <w:bCs/>
                <w:kern w:val="0"/>
                <w:szCs w:val="21"/>
              </w:rPr>
            </w:pPr>
            <w:r w:rsidRPr="001432A7">
              <w:rPr>
                <w:rFonts w:asciiTheme="minorEastAsia" w:hAnsiTheme="minorEastAsia"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
                <w:bCs/>
                <w:kern w:val="0"/>
                <w:szCs w:val="21"/>
              </w:rPr>
            </w:pPr>
            <w:r w:rsidRPr="001432A7">
              <w:rPr>
                <w:rFonts w:asciiTheme="minorEastAsia" w:hAnsiTheme="minorEastAsia"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
                <w:bCs/>
                <w:kern w:val="0"/>
                <w:szCs w:val="21"/>
              </w:rPr>
            </w:pPr>
            <w:r w:rsidRPr="001432A7">
              <w:rPr>
                <w:rFonts w:asciiTheme="minorEastAsia" w:hAnsiTheme="minorEastAsia" w:cs="宋体" w:hint="eastAsia"/>
                <w:b/>
                <w:bCs/>
                <w:kern w:val="0"/>
                <w:szCs w:val="21"/>
              </w:rPr>
              <w:t>备注</w:t>
            </w:r>
          </w:p>
        </w:tc>
      </w:tr>
      <w:tr w:rsidR="001432A7" w:rsidRPr="001432A7" w:rsidTr="001432A7">
        <w:trPr>
          <w:trHeight w:val="478"/>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
                <w:bCs/>
                <w:kern w:val="0"/>
                <w:szCs w:val="21"/>
              </w:rPr>
            </w:pPr>
            <w:r w:rsidRPr="001432A7">
              <w:rPr>
                <w:rFonts w:asciiTheme="minorEastAsia" w:hAnsiTheme="minorEastAsia"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
                <w:bCs/>
                <w:kern w:val="0"/>
                <w:szCs w:val="21"/>
              </w:rPr>
            </w:pPr>
            <w:r w:rsidRPr="001432A7">
              <w:rPr>
                <w:rFonts w:asciiTheme="minorEastAsia" w:hAnsiTheme="minorEastAsia"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
                <w:bCs/>
                <w:kern w:val="0"/>
                <w:szCs w:val="21"/>
              </w:rPr>
            </w:pP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
                <w:bCs/>
                <w:kern w:val="0"/>
                <w:szCs w:val="21"/>
              </w:rPr>
            </w:pPr>
            <w:r w:rsidRPr="001432A7">
              <w:rPr>
                <w:rFonts w:asciiTheme="minorEastAsia" w:hAnsiTheme="minorEastAsia" w:cs="宋体" w:hint="eastAsia"/>
                <w:b/>
                <w:bCs/>
                <w:kern w:val="0"/>
                <w:szCs w:val="21"/>
              </w:rPr>
              <w:t xml:space="preserve">　</w:t>
            </w:r>
          </w:p>
        </w:tc>
      </w:tr>
      <w:tr w:rsidR="001432A7" w:rsidRPr="001432A7" w:rsidTr="001432A7">
        <w:trPr>
          <w:trHeight w:val="613"/>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1.1</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rPr>
                <w:rFonts w:asciiTheme="minorEastAsia" w:hAnsiTheme="minorEastAsia" w:cs="宋体"/>
                <w:kern w:val="0"/>
                <w:szCs w:val="21"/>
              </w:rPr>
            </w:pPr>
            <w:r w:rsidRPr="001432A7">
              <w:rPr>
                <w:rFonts w:asciiTheme="minorEastAsia" w:hAnsiTheme="minorEastAsia" w:cs="Times New Roman" w:hint="eastAsia"/>
                <w:szCs w:val="21"/>
              </w:rPr>
              <w:t>通过对肌肉和肌筋膜产生轻微的牵拉作用，可以有效的保持其弹性。</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471"/>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1432A7" w:rsidRPr="001432A7" w:rsidRDefault="001432A7" w:rsidP="001432A7">
            <w:pPr>
              <w:widowControl/>
              <w:adjustRightInd w:val="0"/>
              <w:snapToGrid w:val="0"/>
              <w:spacing w:line="360" w:lineRule="exact"/>
              <w:jc w:val="center"/>
              <w:rPr>
                <w:rFonts w:asciiTheme="minorEastAsia" w:hAnsiTheme="minorEastAsia" w:cs="宋体"/>
                <w:color w:val="000000"/>
                <w:kern w:val="0"/>
                <w:szCs w:val="21"/>
              </w:rPr>
            </w:pPr>
            <w:r w:rsidRPr="001432A7">
              <w:rPr>
                <w:rFonts w:asciiTheme="minorEastAsia" w:hAnsiTheme="minorEastAsia" w:cs="宋体" w:hint="eastAsia"/>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p>
        </w:tc>
        <w:tc>
          <w:tcPr>
            <w:tcW w:w="1134" w:type="dxa"/>
            <w:tcBorders>
              <w:top w:val="single" w:sz="4" w:space="0" w:color="auto"/>
              <w:left w:val="nil"/>
              <w:bottom w:val="single" w:sz="4" w:space="0" w:color="auto"/>
              <w:right w:val="single" w:sz="8" w:space="0" w:color="auto"/>
            </w:tcBorders>
            <w:shd w:val="clear" w:color="000000" w:fill="auto"/>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2472"/>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Cs/>
                <w:kern w:val="0"/>
                <w:szCs w:val="21"/>
              </w:rPr>
            </w:pPr>
            <w:r w:rsidRPr="001432A7">
              <w:rPr>
                <w:rFonts w:asciiTheme="minorEastAsia" w:hAnsiTheme="minorEastAsia" w:cs="宋体" w:hint="eastAsia"/>
                <w:bCs/>
                <w:kern w:val="0"/>
                <w:szCs w:val="21"/>
              </w:rPr>
              <w:t>1.3</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Cs/>
                <w:kern w:val="0"/>
                <w:szCs w:val="21"/>
              </w:rPr>
            </w:pPr>
            <w:r w:rsidRPr="001432A7">
              <w:rPr>
                <w:rFonts w:asciiTheme="minorEastAsia" w:hAnsiTheme="minorEastAsia" w:cs="宋体" w:hint="eastAsia"/>
                <w:bCs/>
                <w:kern w:val="0"/>
                <w:szCs w:val="21"/>
              </w:rPr>
              <w:t>特殊功能需求</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numPr>
                <w:ilvl w:val="0"/>
                <w:numId w:val="45"/>
              </w:numPr>
              <w:adjustRightInd w:val="0"/>
              <w:snapToGrid w:val="0"/>
              <w:spacing w:line="360" w:lineRule="exact"/>
              <w:rPr>
                <w:rFonts w:asciiTheme="minorEastAsia" w:hAnsiTheme="minorEastAsia" w:cs="宋体"/>
                <w:bCs/>
                <w:szCs w:val="21"/>
              </w:rPr>
            </w:pPr>
            <w:r w:rsidRPr="001432A7">
              <w:rPr>
                <w:rFonts w:asciiTheme="minorEastAsia" w:hAnsiTheme="minorEastAsia" w:cs="宋体" w:hint="eastAsia"/>
                <w:bCs/>
                <w:szCs w:val="21"/>
              </w:rPr>
              <w:t>根据闸门控制原理，调试出来的最佳频率。在这个频率下进行治疗，肌肉不会因高强度的震动感受到额外疼痛，而是会伴随酥麻感有放松效果。</w:t>
            </w:r>
          </w:p>
          <w:p w:rsidR="001432A7" w:rsidRPr="001432A7" w:rsidRDefault="001432A7" w:rsidP="001432A7">
            <w:pPr>
              <w:widowControl/>
              <w:numPr>
                <w:ilvl w:val="0"/>
                <w:numId w:val="45"/>
              </w:numPr>
              <w:adjustRightInd w:val="0"/>
              <w:snapToGrid w:val="0"/>
              <w:spacing w:line="360" w:lineRule="exact"/>
              <w:rPr>
                <w:rFonts w:asciiTheme="minorEastAsia" w:hAnsiTheme="minorEastAsia" w:cs="宋体"/>
                <w:bCs/>
                <w:szCs w:val="21"/>
              </w:rPr>
            </w:pPr>
            <w:r w:rsidRPr="001432A7">
              <w:rPr>
                <w:rFonts w:asciiTheme="minorEastAsia" w:hAnsiTheme="minorEastAsia" w:cs="宋体" w:hint="eastAsia"/>
                <w:bCs/>
                <w:szCs w:val="21"/>
              </w:rPr>
              <w:t>振动头的固定直径，可以保证电机驱动的力量以恒定的压强施加于患处。</w:t>
            </w:r>
          </w:p>
          <w:p w:rsidR="001432A7" w:rsidRPr="001432A7" w:rsidRDefault="001432A7" w:rsidP="001432A7">
            <w:pPr>
              <w:widowControl/>
              <w:numPr>
                <w:ilvl w:val="0"/>
                <w:numId w:val="45"/>
              </w:numPr>
              <w:adjustRightInd w:val="0"/>
              <w:snapToGrid w:val="0"/>
              <w:spacing w:line="360" w:lineRule="exact"/>
              <w:rPr>
                <w:rFonts w:asciiTheme="minorEastAsia" w:hAnsiTheme="minorEastAsia" w:cs="宋体"/>
                <w:bCs/>
                <w:kern w:val="0"/>
                <w:szCs w:val="21"/>
              </w:rPr>
            </w:pPr>
            <w:r w:rsidRPr="001432A7">
              <w:rPr>
                <w:rFonts w:asciiTheme="minorEastAsia" w:hAnsiTheme="minorEastAsia" w:cs="宋体" w:hint="eastAsia"/>
                <w:bCs/>
                <w:szCs w:val="21"/>
              </w:rPr>
              <w:t>电机寿命为八年以上，保证使用时的振动强度</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rPr>
                <w:rFonts w:asciiTheme="minorEastAsia" w:hAnsiTheme="minorEastAsia" w:cs="宋体"/>
                <w:b/>
                <w:bCs/>
                <w:kern w:val="0"/>
                <w:szCs w:val="21"/>
              </w:rPr>
            </w:pPr>
            <w:r w:rsidRPr="001432A7">
              <w:rPr>
                <w:rFonts w:asciiTheme="minorEastAsia" w:hAnsiTheme="minorEastAsia" w:cs="宋体" w:hint="eastAsia"/>
                <w:b/>
                <w:bCs/>
                <w:kern w:val="0"/>
                <w:szCs w:val="21"/>
              </w:rPr>
              <w:t xml:space="preserve">　</w:t>
            </w: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
                <w:kern w:val="0"/>
                <w:szCs w:val="21"/>
              </w:rPr>
            </w:pPr>
            <w:r w:rsidRPr="001432A7">
              <w:rPr>
                <w:rFonts w:asciiTheme="minorEastAsia" w:hAnsiTheme="minorEastAsia" w:cs="宋体" w:hint="eastAsia"/>
                <w:b/>
                <w:kern w:val="0"/>
                <w:szCs w:val="21"/>
              </w:rPr>
              <w:t>2</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
                <w:bCs/>
                <w:kern w:val="0"/>
                <w:szCs w:val="21"/>
              </w:rPr>
            </w:pPr>
            <w:r w:rsidRPr="001432A7">
              <w:rPr>
                <w:rFonts w:asciiTheme="minorEastAsia" w:hAnsiTheme="minorEastAsia" w:cs="宋体" w:hint="eastAsia"/>
                <w:b/>
                <w:bCs/>
                <w:kern w:val="0"/>
                <w:szCs w:val="21"/>
              </w:rPr>
              <w:t>主要技术参数</w:t>
            </w:r>
            <w:r w:rsidRPr="001432A7">
              <w:rPr>
                <w:rFonts w:asciiTheme="minorEastAsia" w:hAnsiTheme="minorEastAsia"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2.1</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★参数1</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adjustRightInd w:val="0"/>
              <w:snapToGrid w:val="0"/>
              <w:spacing w:line="360" w:lineRule="exact"/>
              <w:jc w:val="left"/>
              <w:rPr>
                <w:rFonts w:asciiTheme="minorEastAsia" w:hAnsiTheme="minorEastAsia" w:cs="Times New Roman"/>
                <w:bCs/>
                <w:szCs w:val="21"/>
              </w:rPr>
            </w:pPr>
            <w:r w:rsidRPr="001432A7">
              <w:rPr>
                <w:rFonts w:asciiTheme="minorEastAsia" w:hAnsiTheme="minorEastAsia" w:cs="Times New Roman" w:hint="eastAsia"/>
                <w:bCs/>
                <w:szCs w:val="21"/>
              </w:rPr>
              <w:t>振动头敲击频率：60Hz。</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2.</w:t>
            </w:r>
            <w:r w:rsidRPr="001432A7">
              <w:rPr>
                <w:rFonts w:asciiTheme="minorEastAsia" w:hAnsiTheme="minorEastAsia" w:cs="宋体"/>
                <w:kern w:val="0"/>
                <w:szCs w:val="21"/>
              </w:rPr>
              <w:t>2</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参数2</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adjustRightInd w:val="0"/>
              <w:snapToGrid w:val="0"/>
              <w:spacing w:line="360" w:lineRule="exact"/>
              <w:jc w:val="left"/>
              <w:rPr>
                <w:rFonts w:asciiTheme="minorEastAsia" w:hAnsiTheme="minorEastAsia" w:cs="Times New Roman"/>
                <w:bCs/>
                <w:szCs w:val="21"/>
              </w:rPr>
            </w:pPr>
            <w:r w:rsidRPr="001432A7">
              <w:rPr>
                <w:rFonts w:asciiTheme="minorEastAsia" w:hAnsiTheme="minorEastAsia" w:cs="Times New Roman" w:hint="eastAsia"/>
                <w:bCs/>
                <w:szCs w:val="21"/>
              </w:rPr>
              <w:t>设备用于扭伤、拉伤等软组织损伤康复。</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rPr>
                <w:rFonts w:asciiTheme="minorEastAsia" w:hAnsiTheme="minorEastAsia" w:cs="宋体"/>
                <w:kern w:val="0"/>
                <w:szCs w:val="21"/>
              </w:rPr>
            </w:pPr>
          </w:p>
        </w:tc>
      </w:tr>
      <w:tr w:rsidR="001432A7" w:rsidRPr="001432A7" w:rsidTr="001432A7">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2.</w:t>
            </w:r>
            <w:r w:rsidRPr="001432A7">
              <w:rPr>
                <w:rFonts w:asciiTheme="minorEastAsia" w:hAnsiTheme="minorEastAsia" w:cs="宋体"/>
                <w:kern w:val="0"/>
                <w:szCs w:val="21"/>
              </w:rPr>
              <w:t>3</w:t>
            </w:r>
          </w:p>
        </w:tc>
        <w:tc>
          <w:tcPr>
            <w:tcW w:w="2410" w:type="dxa"/>
            <w:tcBorders>
              <w:top w:val="single" w:sz="4" w:space="0" w:color="auto"/>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参数3</w:t>
            </w:r>
          </w:p>
        </w:tc>
        <w:tc>
          <w:tcPr>
            <w:tcW w:w="4678" w:type="dxa"/>
            <w:tcBorders>
              <w:top w:val="single" w:sz="4" w:space="0" w:color="auto"/>
              <w:left w:val="nil"/>
              <w:bottom w:val="single" w:sz="4" w:space="0" w:color="auto"/>
              <w:right w:val="single" w:sz="4" w:space="0" w:color="auto"/>
            </w:tcBorders>
            <w:vAlign w:val="center"/>
          </w:tcPr>
          <w:p w:rsidR="001432A7" w:rsidRPr="001432A7" w:rsidRDefault="001432A7" w:rsidP="001432A7">
            <w:pPr>
              <w:adjustRightInd w:val="0"/>
              <w:snapToGrid w:val="0"/>
              <w:spacing w:line="360" w:lineRule="exact"/>
              <w:rPr>
                <w:rFonts w:asciiTheme="minorEastAsia" w:hAnsiTheme="minorEastAsia" w:cs="Times New Roman"/>
                <w:szCs w:val="21"/>
              </w:rPr>
            </w:pPr>
            <w:r w:rsidRPr="001432A7">
              <w:rPr>
                <w:rFonts w:asciiTheme="minorEastAsia" w:hAnsiTheme="minorEastAsia" w:cs="Times New Roman" w:hint="eastAsia"/>
                <w:szCs w:val="21"/>
              </w:rPr>
              <w:t>设备对于促进血液循环与淋巴回流具有显著的作用。</w:t>
            </w:r>
          </w:p>
        </w:tc>
        <w:tc>
          <w:tcPr>
            <w:tcW w:w="1134" w:type="dxa"/>
            <w:tcBorders>
              <w:top w:val="single" w:sz="4" w:space="0" w:color="auto"/>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p>
        </w:tc>
      </w:tr>
      <w:tr w:rsidR="001432A7" w:rsidRPr="001432A7" w:rsidTr="001432A7">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lastRenderedPageBreak/>
              <w:t>2.4</w:t>
            </w:r>
          </w:p>
        </w:tc>
        <w:tc>
          <w:tcPr>
            <w:tcW w:w="2410" w:type="dxa"/>
            <w:tcBorders>
              <w:top w:val="single" w:sz="4" w:space="0" w:color="auto"/>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1432A7" w:rsidRPr="001432A7" w:rsidRDefault="001432A7" w:rsidP="001432A7">
            <w:pPr>
              <w:adjustRightInd w:val="0"/>
              <w:snapToGrid w:val="0"/>
              <w:spacing w:line="360" w:lineRule="exact"/>
              <w:jc w:val="left"/>
              <w:rPr>
                <w:rFonts w:asciiTheme="minorEastAsia" w:hAnsiTheme="minorEastAsia" w:cs="Times New Roman"/>
                <w:bCs/>
                <w:szCs w:val="21"/>
              </w:rPr>
            </w:pPr>
            <w:r w:rsidRPr="001432A7">
              <w:rPr>
                <w:rFonts w:asciiTheme="minorEastAsia" w:hAnsiTheme="minorEastAsia" w:cs="Times New Roman" w:hint="eastAsia"/>
                <w:bCs/>
                <w:szCs w:val="21"/>
              </w:rPr>
              <w:t>设备对于肌肉慢性疼痛都有着极为明显的疗效。 设备通过对肌肉和肌筋膜产生轻微的牵拉作用，可以有效的保持其弹性。</w:t>
            </w:r>
          </w:p>
        </w:tc>
        <w:tc>
          <w:tcPr>
            <w:tcW w:w="1134" w:type="dxa"/>
            <w:tcBorders>
              <w:top w:val="single" w:sz="4" w:space="0" w:color="auto"/>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2.5</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参数5</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adjustRightInd w:val="0"/>
              <w:snapToGrid w:val="0"/>
              <w:spacing w:line="360" w:lineRule="exact"/>
              <w:jc w:val="left"/>
              <w:rPr>
                <w:rFonts w:asciiTheme="minorEastAsia" w:hAnsiTheme="minorEastAsia" w:cs="Times New Roman"/>
                <w:bCs/>
                <w:szCs w:val="21"/>
              </w:rPr>
            </w:pPr>
            <w:r w:rsidRPr="001432A7">
              <w:rPr>
                <w:rFonts w:asciiTheme="minorEastAsia" w:hAnsiTheme="minorEastAsia" w:cs="Times New Roman" w:hint="eastAsia"/>
                <w:bCs/>
                <w:szCs w:val="21"/>
              </w:rPr>
              <w:t>设备可有效治疗长度变短的肌肉，刺激较弱以及萎缩肌肉，有效促进肌肉力量平衡，恢复正确体姿，帮助实现更大的运动范围。</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2.6</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参数6</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adjustRightInd w:val="0"/>
              <w:snapToGrid w:val="0"/>
              <w:spacing w:line="360" w:lineRule="exact"/>
              <w:jc w:val="left"/>
              <w:rPr>
                <w:rFonts w:asciiTheme="minorEastAsia" w:hAnsiTheme="minorEastAsia" w:cs="Times New Roman"/>
                <w:bCs/>
                <w:szCs w:val="21"/>
              </w:rPr>
            </w:pPr>
            <w:r w:rsidRPr="001432A7">
              <w:rPr>
                <w:rFonts w:asciiTheme="minorEastAsia" w:hAnsiTheme="minorEastAsia" w:cs="Times New Roman" w:hint="eastAsia"/>
                <w:bCs/>
                <w:szCs w:val="21"/>
              </w:rPr>
              <w:t>设备用于训练后全身肌肉或局部肌肉紧张痉挛的治疗与放松，有效缓解训练后乳酸堆积。</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2.7</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参数7</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adjustRightInd w:val="0"/>
              <w:snapToGrid w:val="0"/>
              <w:spacing w:line="360" w:lineRule="exact"/>
              <w:jc w:val="left"/>
              <w:rPr>
                <w:rFonts w:asciiTheme="minorEastAsia" w:hAnsiTheme="minorEastAsia" w:cs="Times New Roman"/>
                <w:bCs/>
                <w:szCs w:val="21"/>
              </w:rPr>
            </w:pPr>
            <w:r w:rsidRPr="001432A7">
              <w:rPr>
                <w:rFonts w:asciiTheme="minorEastAsia" w:hAnsiTheme="minorEastAsia" w:cs="Times New Roman" w:hint="eastAsia"/>
                <w:bCs/>
                <w:szCs w:val="21"/>
              </w:rPr>
              <w:t>振动仪尺寸：≤26cm×6cm×14cm</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2.8</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Times New Roman"/>
                <w:szCs w:val="21"/>
              </w:rPr>
            </w:pPr>
            <w:r w:rsidRPr="001432A7">
              <w:rPr>
                <w:rFonts w:asciiTheme="minorEastAsia" w:hAnsiTheme="minorEastAsia" w:cs="宋体" w:hint="eastAsia"/>
                <w:kern w:val="0"/>
                <w:szCs w:val="21"/>
              </w:rPr>
              <w:t>参数8</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adjustRightInd w:val="0"/>
              <w:snapToGrid w:val="0"/>
              <w:spacing w:line="360" w:lineRule="exact"/>
              <w:jc w:val="left"/>
              <w:rPr>
                <w:rFonts w:asciiTheme="minorEastAsia" w:hAnsiTheme="minorEastAsia" w:cs="Times New Roman"/>
                <w:bCs/>
                <w:szCs w:val="21"/>
              </w:rPr>
            </w:pPr>
            <w:r w:rsidRPr="001432A7">
              <w:rPr>
                <w:rFonts w:asciiTheme="minorEastAsia" w:hAnsiTheme="minorEastAsia" w:cs="Times New Roman" w:hint="eastAsia"/>
                <w:bCs/>
                <w:szCs w:val="21"/>
              </w:rPr>
              <w:t>振动头伸缩距离：≥</w:t>
            </w:r>
            <w:r w:rsidR="007B43A7" w:rsidRPr="001432A7">
              <w:rPr>
                <w:rFonts w:asciiTheme="minorEastAsia" w:hAnsiTheme="minorEastAsia" w:cs="Times New Roman" w:hint="eastAsia"/>
                <w:bCs/>
                <w:szCs w:val="21"/>
              </w:rPr>
              <w:t>6cm</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2.9</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参数9</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adjustRightInd w:val="0"/>
              <w:snapToGrid w:val="0"/>
              <w:spacing w:line="360" w:lineRule="exact"/>
              <w:jc w:val="left"/>
              <w:rPr>
                <w:rFonts w:asciiTheme="minorEastAsia" w:hAnsiTheme="minorEastAsia" w:cs="Times New Roman"/>
                <w:bCs/>
                <w:szCs w:val="21"/>
              </w:rPr>
            </w:pPr>
            <w:r w:rsidRPr="001432A7">
              <w:rPr>
                <w:rFonts w:asciiTheme="minorEastAsia" w:hAnsiTheme="minorEastAsia" w:cs="Times New Roman" w:hint="eastAsia"/>
                <w:bCs/>
                <w:szCs w:val="21"/>
              </w:rPr>
              <w:t>手柄直径：≤6cm</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2.10</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参数10</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adjustRightInd w:val="0"/>
              <w:snapToGrid w:val="0"/>
              <w:spacing w:line="360" w:lineRule="exact"/>
              <w:jc w:val="left"/>
              <w:rPr>
                <w:rFonts w:asciiTheme="minorEastAsia" w:hAnsiTheme="minorEastAsia" w:cs="Times New Roman"/>
                <w:bCs/>
                <w:szCs w:val="21"/>
              </w:rPr>
            </w:pPr>
            <w:r w:rsidRPr="001432A7">
              <w:rPr>
                <w:rFonts w:asciiTheme="minorEastAsia" w:hAnsiTheme="minorEastAsia" w:cs="Times New Roman" w:hint="eastAsia"/>
                <w:bCs/>
                <w:szCs w:val="21"/>
              </w:rPr>
              <w:t>振动仪重量：≤3kg</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2.11</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参数11</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adjustRightInd w:val="0"/>
              <w:snapToGrid w:val="0"/>
              <w:spacing w:line="360" w:lineRule="exact"/>
              <w:jc w:val="left"/>
              <w:rPr>
                <w:rFonts w:asciiTheme="minorEastAsia" w:hAnsiTheme="minorEastAsia" w:cs="Times New Roman"/>
                <w:bCs/>
                <w:szCs w:val="21"/>
              </w:rPr>
            </w:pPr>
            <w:r w:rsidRPr="001432A7">
              <w:rPr>
                <w:rFonts w:asciiTheme="minorEastAsia" w:hAnsiTheme="minorEastAsia" w:cs="Times New Roman" w:hint="eastAsia"/>
                <w:bCs/>
                <w:szCs w:val="21"/>
              </w:rPr>
              <w:t>击打头材质：钛合金</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
                <w:kern w:val="0"/>
                <w:szCs w:val="21"/>
              </w:rPr>
            </w:pPr>
            <w:r w:rsidRPr="001432A7">
              <w:rPr>
                <w:rFonts w:asciiTheme="minorEastAsia" w:hAnsiTheme="minorEastAsia" w:cs="宋体" w:hint="eastAsia"/>
                <w:b/>
                <w:kern w:val="0"/>
                <w:szCs w:val="21"/>
              </w:rPr>
              <w:t>3</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
                <w:bCs/>
                <w:kern w:val="0"/>
                <w:szCs w:val="21"/>
              </w:rPr>
            </w:pPr>
            <w:r w:rsidRPr="001432A7">
              <w:rPr>
                <w:rFonts w:asciiTheme="minorEastAsia" w:hAnsiTheme="minorEastAsia" w:cs="宋体" w:hint="eastAsia"/>
                <w:b/>
                <w:bCs/>
                <w:kern w:val="0"/>
                <w:szCs w:val="21"/>
              </w:rPr>
              <w:t>配置需求</w:t>
            </w:r>
            <w:r w:rsidRPr="001432A7">
              <w:rPr>
                <w:rFonts w:asciiTheme="minorEastAsia" w:hAnsiTheme="minorEastAsia" w:cs="宋体" w:hint="eastAsia"/>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3.1</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配置1</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adjustRightInd w:val="0"/>
              <w:snapToGrid w:val="0"/>
              <w:spacing w:line="360" w:lineRule="exact"/>
              <w:rPr>
                <w:rFonts w:asciiTheme="minorEastAsia" w:hAnsiTheme="minorEastAsia" w:cs="Times New Roman"/>
                <w:szCs w:val="21"/>
              </w:rPr>
            </w:pPr>
            <w:r w:rsidRPr="001432A7">
              <w:rPr>
                <w:rFonts w:asciiTheme="minorEastAsia" w:hAnsiTheme="minorEastAsia" w:cs="Times New Roman" w:hint="eastAsia"/>
                <w:szCs w:val="21"/>
              </w:rPr>
              <w:t>主机1台</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3.2</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配置2</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rPr>
                <w:rFonts w:asciiTheme="minorEastAsia" w:hAnsiTheme="minorEastAsia" w:cs="Times New Roman"/>
                <w:bCs/>
                <w:szCs w:val="21"/>
              </w:rPr>
            </w:pPr>
            <w:r w:rsidRPr="001432A7">
              <w:rPr>
                <w:rFonts w:asciiTheme="minorEastAsia" w:hAnsiTheme="minorEastAsia" w:cs="Times New Roman" w:hint="eastAsia"/>
                <w:szCs w:val="21"/>
              </w:rPr>
              <w:t>电源线1根</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配置3</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adjustRightInd w:val="0"/>
              <w:snapToGrid w:val="0"/>
              <w:spacing w:line="360" w:lineRule="exact"/>
              <w:rPr>
                <w:rFonts w:asciiTheme="minorEastAsia" w:hAnsiTheme="minorEastAsia" w:cs="Times New Roman"/>
                <w:szCs w:val="21"/>
              </w:rPr>
            </w:pPr>
            <w:r w:rsidRPr="001432A7">
              <w:rPr>
                <w:rFonts w:asciiTheme="minorEastAsia" w:hAnsiTheme="minorEastAsia" w:cs="Times New Roman" w:hint="eastAsia"/>
                <w:szCs w:val="21"/>
              </w:rPr>
              <w:t>转换器1个</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3.4 </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配置4</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adjustRightInd w:val="0"/>
              <w:snapToGrid w:val="0"/>
              <w:spacing w:line="360" w:lineRule="exact"/>
              <w:rPr>
                <w:rFonts w:asciiTheme="minorEastAsia" w:hAnsiTheme="minorEastAsia" w:cs="Times New Roman"/>
                <w:szCs w:val="21"/>
              </w:rPr>
            </w:pPr>
            <w:r w:rsidRPr="001432A7">
              <w:rPr>
                <w:rFonts w:asciiTheme="minorEastAsia" w:hAnsiTheme="minorEastAsia" w:cs="Times New Roman" w:hint="eastAsia"/>
                <w:szCs w:val="21"/>
              </w:rPr>
              <w:t>说明书1份</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
                <w:bCs/>
                <w:kern w:val="0"/>
                <w:szCs w:val="21"/>
              </w:rPr>
            </w:pPr>
            <w:r w:rsidRPr="001432A7">
              <w:rPr>
                <w:rFonts w:asciiTheme="minorEastAsia" w:hAnsiTheme="minorEastAsia"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
                <w:bCs/>
                <w:kern w:val="0"/>
                <w:szCs w:val="21"/>
              </w:rPr>
            </w:pPr>
            <w:r w:rsidRPr="001432A7">
              <w:rPr>
                <w:rFonts w:asciiTheme="minorEastAsia" w:hAnsiTheme="minorEastAsia"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
                <w:bCs/>
                <w:kern w:val="0"/>
                <w:szCs w:val="21"/>
              </w:rPr>
            </w:pP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b/>
                <w:bCs/>
                <w:kern w:val="0"/>
                <w:szCs w:val="21"/>
              </w:rPr>
            </w:pPr>
            <w:r w:rsidRPr="001432A7">
              <w:rPr>
                <w:rFonts w:asciiTheme="minorEastAsia" w:hAnsiTheme="minorEastAsia" w:cs="宋体" w:hint="eastAsia"/>
                <w:b/>
                <w:bCs/>
                <w:kern w:val="0"/>
                <w:szCs w:val="21"/>
              </w:rPr>
              <w:t xml:space="preserve">　</w:t>
            </w: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4.1</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≥3年</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4.2</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维修到达现场时间≤6小时（本地）</w:t>
            </w:r>
            <w:r w:rsidRPr="001432A7">
              <w:rPr>
                <w:rFonts w:asciiTheme="minorEastAsia" w:hAnsiTheme="minorEastAsia"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4.3</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4.4</w:t>
            </w:r>
          </w:p>
        </w:tc>
        <w:tc>
          <w:tcPr>
            <w:tcW w:w="2410" w:type="dxa"/>
            <w:tcBorders>
              <w:top w:val="single" w:sz="4" w:space="0" w:color="auto"/>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耗材及零配件</w:t>
            </w:r>
          </w:p>
        </w:tc>
        <w:tc>
          <w:tcPr>
            <w:tcW w:w="4678" w:type="dxa"/>
            <w:tcBorders>
              <w:top w:val="single" w:sz="4" w:space="0" w:color="auto"/>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提供耗材及主要零配件目录（含报价）</w:t>
            </w:r>
          </w:p>
        </w:tc>
        <w:tc>
          <w:tcPr>
            <w:tcW w:w="1134" w:type="dxa"/>
            <w:tcBorders>
              <w:top w:val="single" w:sz="4" w:space="0" w:color="auto"/>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4.5</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lastRenderedPageBreak/>
              <w:t>4.6</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4.7</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预防性维修</w:t>
            </w:r>
            <w:r w:rsidRPr="001432A7">
              <w:rPr>
                <w:rFonts w:asciiTheme="minorEastAsia" w:hAnsiTheme="minorEastAsia"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4.8</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开放</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4.9</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升级</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4.10</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r w:rsidR="001432A7" w:rsidRPr="001432A7" w:rsidTr="001432A7">
        <w:trPr>
          <w:trHeight w:val="567"/>
        </w:trPr>
        <w:tc>
          <w:tcPr>
            <w:tcW w:w="851" w:type="dxa"/>
            <w:tcBorders>
              <w:top w:val="nil"/>
              <w:left w:val="single" w:sz="8" w:space="0" w:color="auto"/>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4.11</w:t>
            </w:r>
          </w:p>
        </w:tc>
        <w:tc>
          <w:tcPr>
            <w:tcW w:w="2410"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1432A7" w:rsidRPr="001432A7" w:rsidRDefault="001432A7" w:rsidP="001432A7">
            <w:pPr>
              <w:widowControl/>
              <w:adjustRightInd w:val="0"/>
              <w:snapToGrid w:val="0"/>
              <w:spacing w:line="360" w:lineRule="exact"/>
              <w:jc w:val="center"/>
              <w:rPr>
                <w:rFonts w:asciiTheme="minorEastAsia" w:hAnsiTheme="minorEastAsia" w:cs="宋体"/>
                <w:kern w:val="0"/>
                <w:szCs w:val="21"/>
              </w:rPr>
            </w:pPr>
            <w:r w:rsidRPr="001432A7">
              <w:rPr>
                <w:rFonts w:asciiTheme="minorEastAsia" w:hAnsiTheme="minorEastAsia" w:cs="宋体" w:hint="eastAsia"/>
                <w:kern w:val="0"/>
                <w:szCs w:val="21"/>
              </w:rPr>
              <w:t xml:space="preserve">　</w:t>
            </w:r>
          </w:p>
        </w:tc>
      </w:tr>
    </w:tbl>
    <w:p w:rsidR="00AA55F3" w:rsidRPr="00E016D8" w:rsidRDefault="00DD2C6F" w:rsidP="00B02DB7">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B02DB7">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B02DB7">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B02DB7">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B02DB7">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B02DB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B02DB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B02DB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B02DB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B02DB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B02DB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B02DB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w:t>
      </w:r>
      <w:r w:rsidRPr="001946ED">
        <w:rPr>
          <w:rFonts w:asciiTheme="minorEastAsia" w:hAnsiTheme="minorEastAsia" w:cs="Arial" w:hint="eastAsia"/>
          <w:sz w:val="24"/>
          <w:szCs w:val="24"/>
        </w:rPr>
        <w:lastRenderedPageBreak/>
        <w:t>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B02DB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B02DB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B02DB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B02DB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B02DB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B02DB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B02DB7">
      <w:pPr>
        <w:adjustRightInd w:val="0"/>
        <w:snapToGrid w:val="0"/>
        <w:spacing w:line="440" w:lineRule="exact"/>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B02DB7">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653795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B02DB7">
      <w:pPr>
        <w:adjustRightInd w:val="0"/>
        <w:snapToGrid w:val="0"/>
        <w:spacing w:line="440" w:lineRule="exact"/>
        <w:rPr>
          <w:rFonts w:asciiTheme="minorEastAsia" w:hAnsiTheme="minorEastAsia" w:cs="Times New Roman"/>
          <w:kern w:val="0"/>
          <w:sz w:val="24"/>
          <w:szCs w:val="24"/>
        </w:rPr>
      </w:pPr>
    </w:p>
    <w:p w:rsidR="000F19EE" w:rsidRPr="00E016D8" w:rsidRDefault="006C1CF4" w:rsidP="00B02D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B02DB7">
      <w:pPr>
        <w:adjustRightInd w:val="0"/>
        <w:snapToGrid w:val="0"/>
        <w:spacing w:line="440" w:lineRule="exact"/>
        <w:rPr>
          <w:rFonts w:asciiTheme="minorEastAsia" w:hAnsiTheme="minorEastAsia" w:cs="Times New Roman"/>
          <w:kern w:val="0"/>
          <w:sz w:val="24"/>
          <w:szCs w:val="24"/>
        </w:rPr>
      </w:pPr>
    </w:p>
    <w:p w:rsidR="000F19EE" w:rsidRPr="00E016D8" w:rsidRDefault="006C1CF4"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B02DB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B02DB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B02DB7">
      <w:pPr>
        <w:adjustRightInd w:val="0"/>
        <w:snapToGrid w:val="0"/>
        <w:spacing w:line="440" w:lineRule="exact"/>
        <w:rPr>
          <w:rFonts w:asciiTheme="minorEastAsia" w:hAnsiTheme="minorEastAsia" w:cs="Times New Roman"/>
          <w:kern w:val="0"/>
          <w:sz w:val="24"/>
          <w:szCs w:val="24"/>
        </w:rPr>
      </w:pPr>
    </w:p>
    <w:p w:rsidR="000F19EE" w:rsidRPr="00E016D8" w:rsidRDefault="002C0F66" w:rsidP="00B02D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B02DB7">
      <w:pPr>
        <w:adjustRightInd w:val="0"/>
        <w:snapToGrid w:val="0"/>
        <w:spacing w:line="440" w:lineRule="exact"/>
        <w:rPr>
          <w:rFonts w:asciiTheme="minorEastAsia" w:hAnsiTheme="minorEastAsia" w:cs="Times New Roman"/>
          <w:kern w:val="0"/>
          <w:sz w:val="24"/>
          <w:szCs w:val="24"/>
        </w:rPr>
      </w:pPr>
    </w:p>
    <w:p w:rsidR="000F19EE" w:rsidRPr="00E016D8" w:rsidRDefault="002C0F66"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B02DB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B02D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B02DB7">
      <w:pPr>
        <w:adjustRightInd w:val="0"/>
        <w:snapToGrid w:val="0"/>
        <w:spacing w:line="440" w:lineRule="exact"/>
        <w:rPr>
          <w:rFonts w:asciiTheme="minorEastAsia" w:hAnsiTheme="minorEastAsia" w:cs="Times New Roman"/>
          <w:kern w:val="0"/>
          <w:sz w:val="24"/>
          <w:szCs w:val="24"/>
        </w:rPr>
      </w:pPr>
    </w:p>
    <w:p w:rsidR="000F19EE" w:rsidRPr="00E016D8" w:rsidRDefault="008E43CB"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B02DB7">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B02DB7">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B02DB7">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B02DB7">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B02DB7">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B02DB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B02DB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B02DB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B02DB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B02DB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B02DB7">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B02DB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B02DB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B02DB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B02DB7">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B02DB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B02DB7">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B02DB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B02DB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B02DB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B02DB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B02D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B02DB7">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B02DB7">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B02DB7">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B02DB7">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B02DB7">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B02DB7">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B02DB7">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B02D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B02DB7">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B02DB7">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B02DB7">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AA43E5" w:rsidRPr="00E016D8" w:rsidRDefault="00AA43E5" w:rsidP="003B2130">
      <w:pPr>
        <w:adjustRightInd w:val="0"/>
        <w:snapToGrid w:val="0"/>
        <w:spacing w:line="360" w:lineRule="exact"/>
        <w:ind w:firstLineChars="200" w:firstLine="462"/>
        <w:rPr>
          <w:rFonts w:asciiTheme="minorEastAsia" w:hAnsiTheme="minorEastAsia" w:cs="Times New Roman"/>
          <w:kern w:val="0"/>
          <w:sz w:val="24"/>
          <w:szCs w:val="24"/>
        </w:rPr>
      </w:pPr>
    </w:p>
    <w:p w:rsidR="000F19EE" w:rsidRPr="008557A0" w:rsidRDefault="000F19EE" w:rsidP="00110DCE">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110DCE">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3B2130">
      <w:pPr>
        <w:adjustRightInd w:val="0"/>
        <w:snapToGrid w:val="0"/>
        <w:spacing w:line="36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3B2130">
            <w:pPr>
              <w:adjustRightInd w:val="0"/>
              <w:snapToGrid w:val="0"/>
              <w:spacing w:line="36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3B2130">
            <w:pPr>
              <w:widowControl/>
              <w:adjustRightInd w:val="0"/>
              <w:snapToGrid w:val="0"/>
              <w:spacing w:line="36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3B2130">
            <w:pPr>
              <w:widowControl/>
              <w:adjustRightInd w:val="0"/>
              <w:snapToGrid w:val="0"/>
              <w:spacing w:line="36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3B2130">
            <w:pPr>
              <w:widowControl/>
              <w:adjustRightInd w:val="0"/>
              <w:snapToGrid w:val="0"/>
              <w:spacing w:line="36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3B2130">
      <w:pPr>
        <w:widowControl/>
        <w:adjustRightInd w:val="0"/>
        <w:snapToGrid w:val="0"/>
        <w:spacing w:line="36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4A2006">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4A2006">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3B2130">
            <w:pPr>
              <w:adjustRightInd w:val="0"/>
              <w:snapToGrid w:val="0"/>
              <w:spacing w:line="36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3B2130">
            <w:pPr>
              <w:adjustRightInd w:val="0"/>
              <w:snapToGrid w:val="0"/>
              <w:spacing w:line="36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AB4A4E" w:rsidRPr="003D363B" w:rsidRDefault="00AB4A4E"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3B2130">
            <w:pPr>
              <w:adjustRightInd w:val="0"/>
              <w:snapToGrid w:val="0"/>
              <w:spacing w:line="36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3B2130">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r>
      <w:tr w:rsidR="00C43C6F" w:rsidRPr="00AB4A4E" w:rsidTr="00B45B2C">
        <w:trPr>
          <w:trHeight w:val="364"/>
        </w:trPr>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tcBorders>
            <w:hideMark/>
          </w:tcPr>
          <w:p w:rsidR="00C43C6F" w:rsidRPr="00B45B2C" w:rsidRDefault="00C43C6F" w:rsidP="003B2130">
            <w:pPr>
              <w:adjustRightInd w:val="0"/>
              <w:snapToGrid w:val="0"/>
              <w:spacing w:line="360" w:lineRule="exact"/>
              <w:rPr>
                <w:rFonts w:asciiTheme="majorEastAsia" w:eastAsiaTheme="majorEastAsia" w:hAnsiTheme="majorEastAsia"/>
                <w:sz w:val="21"/>
                <w:szCs w:val="21"/>
              </w:rPr>
            </w:pPr>
            <w:r w:rsidRPr="00B45B2C">
              <w:rPr>
                <w:rFonts w:asciiTheme="majorEastAsia" w:eastAsiaTheme="majorEastAsia" w:hAnsiTheme="majorEastAsia" w:hint="eastAsia"/>
                <w:sz w:val="21"/>
                <w:szCs w:val="21"/>
              </w:rPr>
              <w:t>4.</w:t>
            </w:r>
            <w:r w:rsidR="00A46821" w:rsidRPr="00B45B2C">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3B2130">
            <w:pPr>
              <w:adjustRightInd w:val="0"/>
              <w:snapToGrid w:val="0"/>
              <w:spacing w:line="360" w:lineRule="exact"/>
              <w:jc w:val="center"/>
              <w:rPr>
                <w:rFonts w:asciiTheme="minorEastAsia" w:hAnsiTheme="minorEastAsia"/>
                <w:szCs w:val="21"/>
              </w:rPr>
            </w:pP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3B2130">
            <w:pPr>
              <w:adjustRightInd w:val="0"/>
              <w:snapToGrid w:val="0"/>
              <w:spacing w:line="360" w:lineRule="exact"/>
              <w:rPr>
                <w:rFonts w:asciiTheme="majorEastAsia" w:eastAsiaTheme="majorEastAsia" w:hAnsiTheme="majorEastAsia"/>
                <w:sz w:val="21"/>
                <w:szCs w:val="21"/>
              </w:rPr>
            </w:pPr>
            <w:r w:rsidRPr="003D363B">
              <w:rPr>
                <w:rFonts w:ascii="宋体" w:hAnsi="宋体" w:cs="宋体" w:hint="eastAsia"/>
                <w:sz w:val="21"/>
                <w:szCs w:val="21"/>
              </w:rPr>
              <w:t>★</w:t>
            </w:r>
            <w:r w:rsidR="00B85D8E" w:rsidRPr="00B85D8E">
              <w:rPr>
                <w:rFonts w:ascii="宋体" w:hAnsi="宋体" w:hint="eastAsia"/>
                <w:bCs/>
                <w:sz w:val="21"/>
                <w:szCs w:val="21"/>
              </w:rPr>
              <w:t>振动头敲击频率：60Hz</w:t>
            </w:r>
          </w:p>
        </w:tc>
        <w:tc>
          <w:tcPr>
            <w:tcW w:w="708" w:type="dxa"/>
            <w:vAlign w:val="center"/>
            <w:hideMark/>
          </w:tcPr>
          <w:p w:rsidR="00AB4A4E" w:rsidRPr="00AB4A4E" w:rsidRDefault="00E8156D"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B85D8E" w:rsidP="0061026A">
            <w:pPr>
              <w:adjustRightInd w:val="0"/>
              <w:snapToGrid w:val="0"/>
              <w:spacing w:line="360" w:lineRule="exact"/>
              <w:rPr>
                <w:rFonts w:asciiTheme="majorEastAsia" w:eastAsiaTheme="majorEastAsia" w:hAnsiTheme="majorEastAsia"/>
                <w:sz w:val="21"/>
                <w:szCs w:val="21"/>
              </w:rPr>
            </w:pPr>
            <w:r w:rsidRPr="00B85D8E">
              <w:rPr>
                <w:rFonts w:ascii="宋体" w:hAnsi="宋体" w:cs="宋体" w:hint="eastAsia"/>
                <w:bCs/>
                <w:sz w:val="21"/>
                <w:szCs w:val="21"/>
              </w:rPr>
              <w:t>设备用于扭伤、拉伤等软组织损伤康复</w:t>
            </w:r>
          </w:p>
        </w:tc>
        <w:tc>
          <w:tcPr>
            <w:tcW w:w="708" w:type="dxa"/>
            <w:vAlign w:val="center"/>
            <w:hideMark/>
          </w:tcPr>
          <w:p w:rsidR="00AB4A4E" w:rsidRPr="00AB4A4E" w:rsidRDefault="00FD7A4E" w:rsidP="00E8156D">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E8156D">
              <w:rPr>
                <w:rFonts w:asciiTheme="minorEastAsia" w:eastAsiaTheme="minorEastAsia" w:hAnsiTheme="minorEastAsia" w:hint="eastAsia"/>
                <w:sz w:val="21"/>
                <w:szCs w:val="21"/>
              </w:rPr>
              <w:t>8</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B85D8E" w:rsidP="0061026A">
            <w:pPr>
              <w:adjustRightInd w:val="0"/>
              <w:snapToGrid w:val="0"/>
              <w:spacing w:line="360" w:lineRule="exact"/>
              <w:rPr>
                <w:rFonts w:asciiTheme="majorEastAsia" w:eastAsiaTheme="majorEastAsia" w:hAnsiTheme="majorEastAsia"/>
                <w:sz w:val="21"/>
                <w:szCs w:val="21"/>
              </w:rPr>
            </w:pPr>
            <w:r w:rsidRPr="00B85D8E">
              <w:rPr>
                <w:rFonts w:ascii="宋体" w:hAnsi="宋体" w:cs="宋体" w:hint="eastAsia"/>
                <w:sz w:val="21"/>
                <w:szCs w:val="21"/>
              </w:rPr>
              <w:t>设备对于促进血液循环与淋巴回流具有显著的作用</w:t>
            </w:r>
          </w:p>
        </w:tc>
        <w:tc>
          <w:tcPr>
            <w:tcW w:w="708" w:type="dxa"/>
            <w:vAlign w:val="center"/>
            <w:hideMark/>
          </w:tcPr>
          <w:p w:rsidR="00AB4A4E" w:rsidRPr="00AB4A4E" w:rsidRDefault="00FD7A4E" w:rsidP="00E8156D">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E8156D">
              <w:rPr>
                <w:rFonts w:asciiTheme="minorEastAsia" w:eastAsiaTheme="minorEastAsia" w:hAnsiTheme="minorEastAsia" w:hint="eastAsia"/>
                <w:sz w:val="21"/>
                <w:szCs w:val="21"/>
              </w:rPr>
              <w:t>8</w:t>
            </w:r>
          </w:p>
        </w:tc>
      </w:tr>
      <w:tr w:rsidR="00AB4A4E" w:rsidRPr="00AB4A4E" w:rsidTr="00222099">
        <w:trPr>
          <w:trHeight w:val="330"/>
        </w:trPr>
        <w:tc>
          <w:tcPr>
            <w:tcW w:w="708" w:type="dxa"/>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AB4A4E" w:rsidRPr="003D363B" w:rsidRDefault="00B85D8E" w:rsidP="003B2130">
            <w:pPr>
              <w:adjustRightInd w:val="0"/>
              <w:snapToGrid w:val="0"/>
              <w:spacing w:line="360" w:lineRule="exact"/>
              <w:rPr>
                <w:rFonts w:asciiTheme="majorEastAsia" w:eastAsiaTheme="majorEastAsia" w:hAnsiTheme="majorEastAsia"/>
                <w:sz w:val="21"/>
                <w:szCs w:val="21"/>
              </w:rPr>
            </w:pPr>
            <w:r w:rsidRPr="00B85D8E">
              <w:rPr>
                <w:rFonts w:ascii="宋体" w:hAnsi="宋体" w:cs="宋体" w:hint="eastAsia"/>
                <w:bCs/>
                <w:sz w:val="21"/>
                <w:szCs w:val="21"/>
              </w:rPr>
              <w:t>设备对于肌肉慢性疼痛都有着极为明显的疗效。 设备通过对肌肉和肌筋膜产生轻微的牵拉作用，可以有效的保持其弹性</w:t>
            </w:r>
          </w:p>
        </w:tc>
        <w:tc>
          <w:tcPr>
            <w:tcW w:w="708" w:type="dxa"/>
            <w:vAlign w:val="center"/>
            <w:hideMark/>
          </w:tcPr>
          <w:p w:rsidR="00AB4A4E" w:rsidRPr="00AB4A4E" w:rsidRDefault="0001149E" w:rsidP="00E8156D">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E8156D">
              <w:rPr>
                <w:rFonts w:asciiTheme="minorEastAsia" w:eastAsiaTheme="minorEastAsia" w:hAnsiTheme="minorEastAsia" w:hint="eastAsia"/>
                <w:sz w:val="21"/>
                <w:szCs w:val="21"/>
              </w:rPr>
              <w:t>8</w:t>
            </w:r>
          </w:p>
        </w:tc>
      </w:tr>
      <w:tr w:rsidR="0001149E" w:rsidRPr="00AB4A4E" w:rsidTr="00260FC4">
        <w:trPr>
          <w:trHeight w:val="336"/>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01149E" w:rsidRPr="003D363B" w:rsidRDefault="00B85D8E" w:rsidP="003B2130">
            <w:pPr>
              <w:adjustRightInd w:val="0"/>
              <w:snapToGrid w:val="0"/>
              <w:spacing w:line="360" w:lineRule="exact"/>
              <w:rPr>
                <w:rFonts w:asciiTheme="majorEastAsia" w:eastAsiaTheme="majorEastAsia" w:hAnsiTheme="majorEastAsia" w:cs="宋体"/>
                <w:sz w:val="21"/>
                <w:szCs w:val="21"/>
              </w:rPr>
            </w:pPr>
            <w:r w:rsidRPr="00B85D8E">
              <w:rPr>
                <w:rFonts w:ascii="宋体" w:hAnsi="宋体" w:cs="宋体" w:hint="eastAsia"/>
                <w:bCs/>
                <w:sz w:val="21"/>
                <w:szCs w:val="21"/>
              </w:rPr>
              <w:t>设备可有效治疗长度变短的肌肉，刺激较弱以及萎缩肌肉，有效促进肌肉力量平衡，恢复正确体姿，帮助实现更大的运动范围</w:t>
            </w:r>
          </w:p>
        </w:tc>
        <w:tc>
          <w:tcPr>
            <w:tcW w:w="708" w:type="dxa"/>
            <w:vAlign w:val="center"/>
            <w:hideMark/>
          </w:tcPr>
          <w:p w:rsidR="0001149E" w:rsidRPr="00AB4A4E" w:rsidRDefault="00FD7A4E" w:rsidP="00E8156D">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E8156D">
              <w:rPr>
                <w:rFonts w:asciiTheme="minorEastAsia" w:eastAsiaTheme="minorEastAsia" w:hAnsiTheme="minorEastAsia" w:hint="eastAsia"/>
                <w:sz w:val="21"/>
                <w:szCs w:val="21"/>
              </w:rPr>
              <w:t>8</w:t>
            </w:r>
          </w:p>
        </w:tc>
      </w:tr>
      <w:tr w:rsidR="0001149E" w:rsidRPr="00AB4A4E" w:rsidTr="00260FC4">
        <w:trPr>
          <w:trHeight w:val="283"/>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eastAsiaTheme="minorEastAsia" w:hAnsiTheme="minorEastAsia"/>
                <w:sz w:val="21"/>
                <w:szCs w:val="21"/>
              </w:rPr>
            </w:pPr>
          </w:p>
        </w:tc>
        <w:tc>
          <w:tcPr>
            <w:tcW w:w="6946" w:type="dxa"/>
            <w:noWrap/>
            <w:hideMark/>
          </w:tcPr>
          <w:p w:rsidR="0001149E" w:rsidRPr="003D363B" w:rsidRDefault="00B85D8E" w:rsidP="003B2130">
            <w:pPr>
              <w:adjustRightInd w:val="0"/>
              <w:snapToGrid w:val="0"/>
              <w:spacing w:line="360" w:lineRule="exact"/>
              <w:rPr>
                <w:rFonts w:asciiTheme="majorEastAsia" w:eastAsiaTheme="majorEastAsia" w:hAnsiTheme="majorEastAsia" w:cs="宋体"/>
                <w:sz w:val="21"/>
                <w:szCs w:val="21"/>
              </w:rPr>
            </w:pPr>
            <w:r w:rsidRPr="00B85D8E">
              <w:rPr>
                <w:rFonts w:asciiTheme="majorEastAsia" w:eastAsiaTheme="majorEastAsia" w:hAnsiTheme="majorEastAsia" w:cs="宋体" w:hint="eastAsia"/>
                <w:bCs/>
                <w:sz w:val="21"/>
                <w:szCs w:val="21"/>
              </w:rPr>
              <w:t>设备用于训练后全身肌肉或局部肌肉紧张痉挛的治疗与放松，有效缓解训练后乳酸堆积</w:t>
            </w:r>
          </w:p>
        </w:tc>
        <w:tc>
          <w:tcPr>
            <w:tcW w:w="708" w:type="dxa"/>
            <w:vAlign w:val="center"/>
            <w:hideMark/>
          </w:tcPr>
          <w:p w:rsidR="0001149E" w:rsidRPr="00AB4A4E" w:rsidRDefault="00E8156D"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01149E" w:rsidRPr="00AB4A4E" w:rsidTr="00222099">
        <w:trPr>
          <w:trHeight w:val="330"/>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6946" w:type="dxa"/>
            <w:noWrap/>
            <w:hideMark/>
          </w:tcPr>
          <w:p w:rsidR="0001149E" w:rsidRPr="0061026A" w:rsidRDefault="00B85D8E" w:rsidP="003B2130">
            <w:pPr>
              <w:adjustRightInd w:val="0"/>
              <w:snapToGrid w:val="0"/>
              <w:spacing w:line="360" w:lineRule="exact"/>
              <w:rPr>
                <w:rFonts w:ascii="宋体" w:hAnsi="宋体" w:cs="宋体"/>
                <w:sz w:val="21"/>
                <w:szCs w:val="21"/>
              </w:rPr>
            </w:pPr>
            <w:r w:rsidRPr="00B85D8E">
              <w:rPr>
                <w:rFonts w:ascii="宋体" w:hAnsi="宋体" w:cs="宋体" w:hint="eastAsia"/>
                <w:bCs/>
                <w:sz w:val="21"/>
                <w:szCs w:val="21"/>
              </w:rPr>
              <w:t>振动仪尺寸：≤26cm×6cm×14cm</w:t>
            </w:r>
          </w:p>
        </w:tc>
        <w:tc>
          <w:tcPr>
            <w:tcW w:w="708" w:type="dxa"/>
            <w:vAlign w:val="center"/>
            <w:hideMark/>
          </w:tcPr>
          <w:p w:rsidR="0001149E" w:rsidRPr="00AB4A4E" w:rsidRDefault="00E8156D"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01149E" w:rsidRPr="00AB4A4E" w:rsidTr="00222099">
        <w:trPr>
          <w:trHeight w:val="330"/>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6946" w:type="dxa"/>
            <w:noWrap/>
            <w:hideMark/>
          </w:tcPr>
          <w:p w:rsidR="0001149E" w:rsidRPr="0061026A" w:rsidRDefault="00E8156D" w:rsidP="003B2130">
            <w:pPr>
              <w:adjustRightInd w:val="0"/>
              <w:snapToGrid w:val="0"/>
              <w:spacing w:line="360" w:lineRule="exact"/>
              <w:rPr>
                <w:rFonts w:ascii="宋体" w:hAnsi="宋体" w:cs="宋体"/>
                <w:sz w:val="21"/>
                <w:szCs w:val="21"/>
              </w:rPr>
            </w:pPr>
            <w:r w:rsidRPr="00E8156D">
              <w:rPr>
                <w:rFonts w:ascii="宋体" w:hAnsi="宋体" w:cs="宋体" w:hint="eastAsia"/>
                <w:bCs/>
                <w:sz w:val="21"/>
                <w:szCs w:val="21"/>
              </w:rPr>
              <w:t>振动头伸缩距离：≥</w:t>
            </w:r>
            <w:r w:rsidR="00D75A86" w:rsidRPr="00E8156D">
              <w:rPr>
                <w:rFonts w:ascii="宋体" w:hAnsi="宋体" w:cs="宋体" w:hint="eastAsia"/>
                <w:bCs/>
                <w:sz w:val="21"/>
                <w:szCs w:val="21"/>
              </w:rPr>
              <w:t>6cm</w:t>
            </w:r>
          </w:p>
        </w:tc>
        <w:tc>
          <w:tcPr>
            <w:tcW w:w="708" w:type="dxa"/>
            <w:vAlign w:val="center"/>
            <w:hideMark/>
          </w:tcPr>
          <w:p w:rsidR="0001149E" w:rsidRPr="00AB4A4E" w:rsidRDefault="00E8156D"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01149E" w:rsidRPr="00AB4A4E" w:rsidTr="00222099">
        <w:trPr>
          <w:trHeight w:val="330"/>
        </w:trPr>
        <w:tc>
          <w:tcPr>
            <w:tcW w:w="708" w:type="dxa"/>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01149E" w:rsidRPr="00AB4A4E" w:rsidRDefault="0001149E" w:rsidP="003B2130">
            <w:pPr>
              <w:adjustRightInd w:val="0"/>
              <w:snapToGrid w:val="0"/>
              <w:spacing w:line="360" w:lineRule="exact"/>
              <w:jc w:val="center"/>
              <w:rPr>
                <w:rFonts w:asciiTheme="minorEastAsia" w:hAnsiTheme="minorEastAsia"/>
                <w:szCs w:val="21"/>
              </w:rPr>
            </w:pPr>
          </w:p>
        </w:tc>
        <w:tc>
          <w:tcPr>
            <w:tcW w:w="6946" w:type="dxa"/>
            <w:noWrap/>
            <w:hideMark/>
          </w:tcPr>
          <w:p w:rsidR="0001149E" w:rsidRPr="0061026A" w:rsidRDefault="00E8156D" w:rsidP="003B2130">
            <w:pPr>
              <w:adjustRightInd w:val="0"/>
              <w:snapToGrid w:val="0"/>
              <w:spacing w:line="360" w:lineRule="exact"/>
              <w:rPr>
                <w:rFonts w:ascii="宋体" w:hAnsi="宋体" w:cs="宋体"/>
                <w:sz w:val="21"/>
                <w:szCs w:val="21"/>
              </w:rPr>
            </w:pPr>
            <w:r w:rsidRPr="00E8156D">
              <w:rPr>
                <w:rFonts w:ascii="宋体" w:hAnsi="宋体" w:cs="宋体" w:hint="eastAsia"/>
                <w:bCs/>
                <w:sz w:val="21"/>
                <w:szCs w:val="21"/>
              </w:rPr>
              <w:t>手柄直径：≤6cm</w:t>
            </w:r>
          </w:p>
        </w:tc>
        <w:tc>
          <w:tcPr>
            <w:tcW w:w="708" w:type="dxa"/>
            <w:vAlign w:val="center"/>
            <w:hideMark/>
          </w:tcPr>
          <w:p w:rsidR="0001149E" w:rsidRPr="00AB4A4E" w:rsidRDefault="00E8156D"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w:t>
            </w:r>
          </w:p>
        </w:tc>
      </w:tr>
      <w:tr w:rsidR="0061026A" w:rsidRPr="00AB4A4E" w:rsidTr="00222099">
        <w:trPr>
          <w:trHeight w:val="330"/>
        </w:trPr>
        <w:tc>
          <w:tcPr>
            <w:tcW w:w="708" w:type="dxa"/>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6946" w:type="dxa"/>
            <w:noWrap/>
            <w:hideMark/>
          </w:tcPr>
          <w:p w:rsidR="0061026A" w:rsidRPr="0061026A" w:rsidRDefault="00E8156D" w:rsidP="003B2130">
            <w:pPr>
              <w:adjustRightInd w:val="0"/>
              <w:snapToGrid w:val="0"/>
              <w:spacing w:line="360" w:lineRule="exact"/>
              <w:rPr>
                <w:rFonts w:ascii="宋体" w:hAnsi="宋体" w:cs="宋体"/>
                <w:sz w:val="21"/>
                <w:szCs w:val="21"/>
              </w:rPr>
            </w:pPr>
            <w:r w:rsidRPr="00E8156D">
              <w:rPr>
                <w:rFonts w:ascii="宋体" w:hAnsi="宋体" w:cs="宋体" w:hint="eastAsia"/>
                <w:bCs/>
                <w:sz w:val="21"/>
                <w:szCs w:val="21"/>
              </w:rPr>
              <w:t>振动仪重量：≤3kg</w:t>
            </w:r>
          </w:p>
        </w:tc>
        <w:tc>
          <w:tcPr>
            <w:tcW w:w="708" w:type="dxa"/>
            <w:vAlign w:val="center"/>
            <w:hideMark/>
          </w:tcPr>
          <w:p w:rsidR="0061026A" w:rsidRDefault="00E8156D" w:rsidP="003B213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3.8</w:t>
            </w:r>
          </w:p>
        </w:tc>
      </w:tr>
      <w:tr w:rsidR="0061026A" w:rsidRPr="00AB4A4E" w:rsidTr="00222099">
        <w:trPr>
          <w:trHeight w:val="330"/>
        </w:trPr>
        <w:tc>
          <w:tcPr>
            <w:tcW w:w="708" w:type="dxa"/>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61026A" w:rsidRPr="00AB4A4E" w:rsidRDefault="0061026A" w:rsidP="003B2130">
            <w:pPr>
              <w:adjustRightInd w:val="0"/>
              <w:snapToGrid w:val="0"/>
              <w:spacing w:line="360" w:lineRule="exact"/>
              <w:jc w:val="center"/>
              <w:rPr>
                <w:rFonts w:asciiTheme="minorEastAsia" w:hAnsiTheme="minorEastAsia"/>
                <w:szCs w:val="21"/>
              </w:rPr>
            </w:pPr>
          </w:p>
        </w:tc>
        <w:tc>
          <w:tcPr>
            <w:tcW w:w="6946" w:type="dxa"/>
            <w:noWrap/>
            <w:hideMark/>
          </w:tcPr>
          <w:p w:rsidR="0061026A" w:rsidRPr="0061026A" w:rsidRDefault="00E8156D" w:rsidP="003B2130">
            <w:pPr>
              <w:adjustRightInd w:val="0"/>
              <w:snapToGrid w:val="0"/>
              <w:spacing w:line="360" w:lineRule="exact"/>
              <w:rPr>
                <w:rFonts w:ascii="宋体" w:hAnsi="宋体" w:cs="宋体"/>
                <w:sz w:val="21"/>
                <w:szCs w:val="21"/>
              </w:rPr>
            </w:pPr>
            <w:r w:rsidRPr="00E8156D">
              <w:rPr>
                <w:rFonts w:ascii="宋体" w:hAnsi="宋体" w:cs="宋体" w:hint="eastAsia"/>
                <w:bCs/>
                <w:sz w:val="21"/>
                <w:szCs w:val="21"/>
              </w:rPr>
              <w:t>击打头材质：钛合金</w:t>
            </w:r>
          </w:p>
        </w:tc>
        <w:tc>
          <w:tcPr>
            <w:tcW w:w="708" w:type="dxa"/>
            <w:vAlign w:val="center"/>
            <w:hideMark/>
          </w:tcPr>
          <w:p w:rsidR="0061026A" w:rsidRDefault="00E8156D" w:rsidP="003B213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3.8</w:t>
            </w:r>
          </w:p>
        </w:tc>
      </w:tr>
      <w:tr w:rsidR="00FD7A4E" w:rsidRPr="00AB4A4E" w:rsidTr="00222099">
        <w:trPr>
          <w:trHeight w:val="555"/>
        </w:trPr>
        <w:tc>
          <w:tcPr>
            <w:tcW w:w="708" w:type="dxa"/>
            <w:vMerge w:val="restart"/>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FD7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3</w:t>
            </w:r>
          </w:p>
        </w:tc>
      </w:tr>
      <w:tr w:rsidR="00FD7A4E" w:rsidRPr="00AB4A4E" w:rsidTr="00222099">
        <w:trPr>
          <w:trHeight w:val="720"/>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FD7A4E" w:rsidRPr="00AB4A4E" w:rsidTr="00222099">
        <w:trPr>
          <w:trHeight w:val="288"/>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FD7A4E" w:rsidRPr="00AB4A4E" w:rsidTr="00222099">
        <w:trPr>
          <w:trHeight w:val="555"/>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FD7A4E" w:rsidRPr="00AB4A4E" w:rsidTr="00222099">
        <w:trPr>
          <w:trHeight w:val="480"/>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FD7A4E" w:rsidRPr="00AB4A4E" w:rsidTr="00222099">
        <w:trPr>
          <w:trHeight w:val="2568"/>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FD7A4E"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FD7A4E" w:rsidRPr="00AB4A4E" w:rsidRDefault="00FD7A4E" w:rsidP="003B2130">
            <w:pPr>
              <w:adjustRightInd w:val="0"/>
              <w:snapToGrid w:val="0"/>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FD7A4E" w:rsidRPr="00AB4A4E" w:rsidRDefault="00FD7A4E" w:rsidP="003B2130">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FD7A4E" w:rsidRPr="00AB4A4E" w:rsidTr="00222099">
        <w:trPr>
          <w:trHeight w:val="660"/>
        </w:trPr>
        <w:tc>
          <w:tcPr>
            <w:tcW w:w="708" w:type="dxa"/>
            <w:vMerge/>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c>
          <w:tcPr>
            <w:tcW w:w="994" w:type="dxa"/>
            <w:gridSpan w:val="2"/>
            <w:vMerge/>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c>
          <w:tcPr>
            <w:tcW w:w="6946" w:type="dxa"/>
            <w:tcBorders>
              <w:top w:val="single" w:sz="4" w:space="0" w:color="auto"/>
            </w:tcBorders>
            <w:hideMark/>
          </w:tcPr>
          <w:p w:rsidR="00FD7A4E" w:rsidRPr="00EC6932" w:rsidRDefault="00FD7A4E" w:rsidP="003B2130">
            <w:pPr>
              <w:adjustRightInd w:val="0"/>
              <w:snapToGrid w:val="0"/>
              <w:spacing w:line="36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FD7A4E" w:rsidRPr="00AB4A4E" w:rsidRDefault="00FD7A4E" w:rsidP="003B2130">
            <w:pPr>
              <w:adjustRightInd w:val="0"/>
              <w:snapToGrid w:val="0"/>
              <w:spacing w:line="360" w:lineRule="exact"/>
              <w:jc w:val="center"/>
              <w:rPr>
                <w:rFonts w:asciiTheme="minorEastAsia" w:hAnsiTheme="minorEastAsia"/>
                <w:szCs w:val="21"/>
              </w:rPr>
            </w:pPr>
          </w:p>
        </w:tc>
      </w:tr>
    </w:tbl>
    <w:p w:rsidR="009A1A23" w:rsidRPr="00094D66" w:rsidRDefault="009A1A23" w:rsidP="003B2130">
      <w:pPr>
        <w:adjustRightInd w:val="0"/>
        <w:snapToGrid w:val="0"/>
        <w:spacing w:line="360" w:lineRule="exact"/>
        <w:rPr>
          <w:rFonts w:ascii="宋体" w:eastAsia="宋体" w:hAnsi="宋体" w:cs="Times New Roman"/>
          <w:kern w:val="0"/>
          <w:sz w:val="28"/>
          <w:szCs w:val="28"/>
        </w:rPr>
      </w:pPr>
    </w:p>
    <w:p w:rsidR="001D3A1B" w:rsidRDefault="001D3A1B" w:rsidP="003B2130">
      <w:pPr>
        <w:widowControl/>
        <w:adjustRightInd w:val="0"/>
        <w:snapToGrid w:val="0"/>
        <w:spacing w:line="36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B02DB7">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B02D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B02DB7">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B02D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B02D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B02DB7">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B02D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B02DB7">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B02DB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B02D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B02DB7">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B02DB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B02D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B02DB7">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B02DB7">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B02DB7">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B02D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B02DB7">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B02DB7">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B02DB7">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B02DB7">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B02DB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B02DB7">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B02DB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3B2130">
      <w:pPr>
        <w:adjustRightInd w:val="0"/>
        <w:snapToGrid w:val="0"/>
        <w:spacing w:line="360" w:lineRule="exact"/>
        <w:ind w:firstLineChars="200" w:firstLine="462"/>
        <w:rPr>
          <w:rFonts w:asciiTheme="minorEastAsia" w:hAnsiTheme="minorEastAsia" w:cs="Times New Roman"/>
          <w:kern w:val="0"/>
          <w:sz w:val="24"/>
          <w:szCs w:val="24"/>
        </w:rPr>
      </w:pPr>
    </w:p>
    <w:p w:rsidR="009D403B" w:rsidRDefault="009D403B" w:rsidP="003B2130">
      <w:pPr>
        <w:adjustRightInd w:val="0"/>
        <w:snapToGrid w:val="0"/>
        <w:spacing w:line="360" w:lineRule="exact"/>
        <w:jc w:val="center"/>
        <w:rPr>
          <w:rFonts w:asciiTheme="minorEastAsia" w:hAnsiTheme="minorEastAsia" w:cs="Times New Roman"/>
          <w:kern w:val="0"/>
          <w:sz w:val="24"/>
          <w:szCs w:val="24"/>
        </w:rPr>
      </w:pPr>
    </w:p>
    <w:p w:rsidR="000F19EE" w:rsidRPr="00E016D8" w:rsidRDefault="00DE45D1" w:rsidP="00B02DB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B02DB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B02DB7">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653795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13A99">
              <w:rPr>
                <w:rFonts w:ascii="宋体" w:eastAsia="宋体" w:hAnsi="宋体" w:cs="Times New Roman" w:hint="eastAsia"/>
                <w:bCs/>
                <w:spacing w:val="48"/>
                <w:kern w:val="0"/>
                <w:szCs w:val="21"/>
                <w:fitText w:val="1170" w:id="1190323200"/>
              </w:rPr>
              <w:t>单位名</w:t>
            </w:r>
            <w:r w:rsidRPr="00213A9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48"/>
                <w:kern w:val="0"/>
                <w:szCs w:val="21"/>
                <w:fitText w:val="1170" w:id="1190323200"/>
              </w:rPr>
              <w:t>单位名</w:t>
            </w:r>
            <w:r w:rsidRPr="00213A9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12"/>
                <w:kern w:val="0"/>
                <w:szCs w:val="21"/>
                <w:fitText w:val="1170" w:id="1190323200"/>
              </w:rPr>
              <w:t>法定代表</w:t>
            </w:r>
            <w:r w:rsidRPr="00213A9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12"/>
                <w:kern w:val="0"/>
                <w:szCs w:val="21"/>
                <w:fitText w:val="1170" w:id="1190323200"/>
              </w:rPr>
              <w:t>法定代表</w:t>
            </w:r>
            <w:r w:rsidRPr="00213A9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12"/>
                <w:kern w:val="0"/>
                <w:szCs w:val="21"/>
                <w:fitText w:val="1170" w:id="1190323200"/>
              </w:rPr>
              <w:t>委托代理</w:t>
            </w:r>
            <w:r w:rsidRPr="00213A9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12"/>
                <w:kern w:val="0"/>
                <w:szCs w:val="21"/>
                <w:fitText w:val="1170" w:id="1190323200"/>
              </w:rPr>
              <w:t>委托代理</w:t>
            </w:r>
            <w:r w:rsidRPr="00213A9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120"/>
                <w:kern w:val="0"/>
                <w:szCs w:val="21"/>
                <w:fitText w:val="1170" w:id="1190323200"/>
              </w:rPr>
              <w:t>联系</w:t>
            </w:r>
            <w:r w:rsidRPr="00213A9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120"/>
                <w:kern w:val="0"/>
                <w:szCs w:val="21"/>
                <w:fitText w:val="1170" w:id="1190323200"/>
              </w:rPr>
              <w:t>联系</w:t>
            </w:r>
            <w:r w:rsidRPr="00213A9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48"/>
                <w:kern w:val="0"/>
                <w:szCs w:val="21"/>
                <w:fitText w:val="1170" w:id="1190323200"/>
              </w:rPr>
              <w:t>联系电</w:t>
            </w:r>
            <w:r w:rsidRPr="00213A9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48"/>
                <w:kern w:val="0"/>
                <w:szCs w:val="21"/>
                <w:fitText w:val="1170" w:id="1190323200"/>
              </w:rPr>
              <w:t>联系电</w:t>
            </w:r>
            <w:r w:rsidRPr="00213A9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48"/>
                <w:kern w:val="0"/>
                <w:szCs w:val="21"/>
                <w:fitText w:val="1170" w:id="1190323200"/>
              </w:rPr>
              <w:t>通讯地</w:t>
            </w:r>
            <w:r w:rsidRPr="00213A9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48"/>
                <w:kern w:val="0"/>
                <w:szCs w:val="21"/>
                <w:fitText w:val="1170" w:id="1190323200"/>
              </w:rPr>
              <w:t>通讯地</w:t>
            </w:r>
            <w:r w:rsidRPr="00213A9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48"/>
                <w:kern w:val="0"/>
                <w:szCs w:val="21"/>
                <w:fitText w:val="1170" w:id="1190323200"/>
              </w:rPr>
              <w:t>邮政编</w:t>
            </w:r>
            <w:r w:rsidRPr="00213A9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48"/>
                <w:kern w:val="0"/>
                <w:szCs w:val="21"/>
                <w:fitText w:val="1170" w:id="1190323200"/>
              </w:rPr>
              <w:t>邮政编</w:t>
            </w:r>
            <w:r w:rsidRPr="00213A9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48"/>
                <w:kern w:val="0"/>
                <w:szCs w:val="21"/>
                <w:fitText w:val="1170" w:id="1190323200"/>
              </w:rPr>
              <w:t>付款单</w:t>
            </w:r>
            <w:r w:rsidRPr="00213A9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48"/>
                <w:kern w:val="0"/>
                <w:szCs w:val="21"/>
                <w:fitText w:val="1170" w:id="1190323200"/>
              </w:rPr>
              <w:t>开户名</w:t>
            </w:r>
            <w:r w:rsidRPr="00213A9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48"/>
                <w:kern w:val="0"/>
                <w:szCs w:val="21"/>
                <w:fitText w:val="1170" w:id="1190323200"/>
              </w:rPr>
              <w:t>开户银</w:t>
            </w:r>
            <w:r w:rsidRPr="00213A9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48"/>
                <w:kern w:val="0"/>
                <w:szCs w:val="21"/>
                <w:fitText w:val="1170" w:id="1190323200"/>
              </w:rPr>
              <w:t>开户银</w:t>
            </w:r>
            <w:r w:rsidRPr="00213A9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48"/>
                <w:kern w:val="0"/>
                <w:szCs w:val="21"/>
                <w:fitText w:val="1170" w:id="1190323200"/>
              </w:rPr>
              <w:t>银行账</w:t>
            </w:r>
            <w:r w:rsidRPr="00213A9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13A99">
              <w:rPr>
                <w:rFonts w:ascii="宋体" w:eastAsia="宋体" w:hAnsi="宋体" w:cs="Times New Roman" w:hint="eastAsia"/>
                <w:bCs/>
                <w:spacing w:val="48"/>
                <w:kern w:val="0"/>
                <w:szCs w:val="21"/>
                <w:fitText w:val="1170" w:id="1190323200"/>
              </w:rPr>
              <w:t>银行账</w:t>
            </w:r>
            <w:r w:rsidRPr="00213A9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653796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41986">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154A37" w:rsidRDefault="00154A37" w:rsidP="00881A2F">
      <w:pPr>
        <w:ind w:firstLineChars="200" w:firstLine="542"/>
        <w:rPr>
          <w:rFonts w:ascii="Times New Roman" w:eastAsia="宋体" w:hAnsi="Times New Roman" w:cs="Times New Roman"/>
          <w:kern w:val="0"/>
          <w:sz w:val="28"/>
          <w:szCs w:val="28"/>
          <w:lang w:val="zh-CN"/>
        </w:rPr>
      </w:pPr>
    </w:p>
    <w:p w:rsidR="00FB52C0" w:rsidRPr="00FB52C0" w:rsidRDefault="000F19EE" w:rsidP="00D811AD">
      <w:pPr>
        <w:ind w:firstLineChars="200" w:firstLine="542"/>
        <w:rPr>
          <w:rFonts w:ascii="宋体" w:eastAsia="宋体" w:hAnsi="宋体" w:cs="Times New Roman"/>
          <w:kern w:val="0"/>
          <w:sz w:val="28"/>
          <w:szCs w:val="28"/>
          <w:lang w:val="zh-CN"/>
        </w:rPr>
      </w:pPr>
      <w:r w:rsidRPr="00FB52C0">
        <w:rPr>
          <w:rFonts w:asciiTheme="minorEastAsia" w:hAnsiTheme="minorEastAsia" w:cs="Times New Roman" w:hint="eastAsia"/>
          <w:kern w:val="0"/>
          <w:sz w:val="28"/>
          <w:szCs w:val="28"/>
          <w:lang w:val="zh-CN"/>
        </w:rPr>
        <w:t>（</w:t>
      </w:r>
      <w:r w:rsidR="00D811AD" w:rsidRPr="00D811AD">
        <w:rPr>
          <w:rFonts w:asciiTheme="minorEastAsia" w:hAnsiTheme="minorEastAsia" w:cs="Times New Roman" w:hint="eastAsia"/>
          <w:kern w:val="0"/>
          <w:sz w:val="28"/>
          <w:szCs w:val="28"/>
          <w:lang w:val="zh-CN"/>
        </w:rPr>
        <w:t>投标人对照商务评审表中售后服务评审项自行编制。</w:t>
      </w:r>
      <w:r w:rsidR="00FB52C0" w:rsidRPr="00FB52C0">
        <w:rPr>
          <w:rFonts w:ascii="宋体" w:eastAsia="宋体" w:hAnsi="宋体" w:cs="Times New Roman" w:hint="eastAsia"/>
          <w:kern w:val="0"/>
          <w:sz w:val="28"/>
          <w:szCs w:val="28"/>
          <w:lang w:val="zh-CN"/>
        </w:rPr>
        <w:t>）</w:t>
      </w:r>
    </w:p>
    <w:p w:rsidR="000F19EE" w:rsidRPr="00B57556" w:rsidRDefault="000F19EE" w:rsidP="00881A2F">
      <w:pPr>
        <w:ind w:firstLineChars="200" w:firstLine="622"/>
        <w:rPr>
          <w:rFonts w:ascii="仿宋_GB2312" w:eastAsia="仿宋_GB2312" w:hAnsi="Times New Roman" w:cs="Times New Roman"/>
          <w:kern w:val="0"/>
          <w:sz w:val="32"/>
          <w:szCs w:val="32"/>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B57556" w:rsidRPr="001E3BC8" w:rsidRDefault="00B57556" w:rsidP="001E3BC8">
      <w:pPr>
        <w:ind w:firstLineChars="600" w:firstLine="1626"/>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投标人全称：（盖章）</w:t>
      </w:r>
    </w:p>
    <w:p w:rsidR="00B57556" w:rsidRPr="001E3BC8" w:rsidRDefault="00B57556" w:rsidP="001E3BC8">
      <w:pPr>
        <w:ind w:firstLineChars="600" w:firstLine="1626"/>
        <w:rPr>
          <w:rFonts w:asciiTheme="minorEastAsia" w:hAnsiTheme="minorEastAsia" w:cs="宋体"/>
          <w:kern w:val="0"/>
          <w:sz w:val="28"/>
          <w:szCs w:val="28"/>
        </w:rPr>
      </w:pPr>
      <w:r w:rsidRPr="001E3BC8">
        <w:rPr>
          <w:rFonts w:asciiTheme="minorEastAsia" w:hAnsiTheme="minorEastAsia" w:cs="宋体" w:hint="eastAsia"/>
          <w:kern w:val="0"/>
          <w:sz w:val="28"/>
          <w:szCs w:val="28"/>
          <w:lang w:val="zh-CN"/>
        </w:rPr>
        <w:t xml:space="preserve">法定代表人（或授权代表）：（签字）  </w:t>
      </w:r>
      <w:r w:rsidRPr="001E3BC8">
        <w:rPr>
          <w:rFonts w:asciiTheme="minorEastAsia" w:hAnsiTheme="minorEastAsia" w:cs="宋体" w:hint="eastAsia"/>
          <w:kern w:val="0"/>
          <w:sz w:val="28"/>
          <w:szCs w:val="28"/>
        </w:rPr>
        <w:t xml:space="preserve"> </w:t>
      </w:r>
    </w:p>
    <w:p w:rsidR="00B57556" w:rsidRPr="001E3BC8" w:rsidRDefault="00B57556" w:rsidP="001E3BC8">
      <w:pPr>
        <w:ind w:firstLineChars="1400" w:firstLine="3794"/>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年  月  日</w:t>
      </w: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D811AD" w:rsidRDefault="00D811A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94310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94310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943108">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94310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94310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943108">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94310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94310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086CC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85D8E" w:rsidRPr="00934050" w:rsidRDefault="00B85D8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85D8E" w:rsidRPr="00934050" w:rsidRDefault="00B85D8E"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85D8E" w:rsidRPr="00934050" w:rsidRDefault="00B85D8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85D8E" w:rsidRPr="00934050" w:rsidRDefault="00B85D8E"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086CC4" w:rsidP="00A36553">
      <w:pPr>
        <w:ind w:firstLine="573"/>
        <w:rPr>
          <w:rFonts w:asciiTheme="minorEastAsia" w:hAnsiTheme="minorEastAsia" w:cs="Times New Roman"/>
          <w:kern w:val="0"/>
          <w:sz w:val="28"/>
          <w:szCs w:val="28"/>
        </w:rPr>
      </w:pPr>
      <w:r w:rsidRPr="00086CC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85D8E" w:rsidRPr="00934050" w:rsidRDefault="00B85D8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85D8E" w:rsidRPr="00934050" w:rsidRDefault="00B85D8E"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86CC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85D8E" w:rsidRPr="00934050" w:rsidRDefault="00B85D8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85D8E" w:rsidRPr="00934050" w:rsidRDefault="00B85D8E"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A99" w:rsidRDefault="00213A99" w:rsidP="00156746">
      <w:r>
        <w:separator/>
      </w:r>
    </w:p>
  </w:endnote>
  <w:endnote w:type="continuationSeparator" w:id="0">
    <w:p w:rsidR="00213A99" w:rsidRDefault="00213A9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8E" w:rsidRPr="00EB77AB" w:rsidRDefault="00B85D8E">
    <w:pPr>
      <w:pStyle w:val="a5"/>
      <w:wordWrap w:val="0"/>
      <w:jc w:val="right"/>
      <w:rPr>
        <w:sz w:val="24"/>
        <w:szCs w:val="24"/>
      </w:rPr>
    </w:pPr>
    <w:r w:rsidRPr="00EB77AB">
      <w:rPr>
        <w:rFonts w:hint="eastAsia"/>
        <w:sz w:val="24"/>
        <w:szCs w:val="24"/>
      </w:rPr>
      <w:t>—</w:t>
    </w:r>
    <w:r w:rsidR="00086CC4" w:rsidRPr="00EB77AB">
      <w:rPr>
        <w:rStyle w:val="a7"/>
        <w:sz w:val="24"/>
        <w:szCs w:val="24"/>
      </w:rPr>
      <w:fldChar w:fldCharType="begin"/>
    </w:r>
    <w:r w:rsidRPr="00EB77AB">
      <w:rPr>
        <w:rStyle w:val="a7"/>
        <w:sz w:val="24"/>
        <w:szCs w:val="24"/>
      </w:rPr>
      <w:instrText xml:space="preserve"> PAGE </w:instrText>
    </w:r>
    <w:r w:rsidR="00086CC4" w:rsidRPr="00EB77AB">
      <w:rPr>
        <w:rStyle w:val="a7"/>
        <w:sz w:val="24"/>
        <w:szCs w:val="24"/>
      </w:rPr>
      <w:fldChar w:fldCharType="separate"/>
    </w:r>
    <w:r w:rsidR="00E606A1">
      <w:rPr>
        <w:rStyle w:val="a7"/>
        <w:noProof/>
        <w:sz w:val="24"/>
        <w:szCs w:val="24"/>
      </w:rPr>
      <w:t>3</w:t>
    </w:r>
    <w:r w:rsidR="00086CC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8E" w:rsidRPr="00EB77AB" w:rsidRDefault="00B85D8E">
    <w:pPr>
      <w:pStyle w:val="a5"/>
      <w:wordWrap w:val="0"/>
      <w:jc w:val="right"/>
      <w:rPr>
        <w:sz w:val="24"/>
        <w:szCs w:val="24"/>
      </w:rPr>
    </w:pPr>
    <w:r w:rsidRPr="00EB77AB">
      <w:rPr>
        <w:rFonts w:hint="eastAsia"/>
        <w:sz w:val="24"/>
        <w:szCs w:val="24"/>
      </w:rPr>
      <w:t>—</w:t>
    </w:r>
    <w:r w:rsidR="00086CC4" w:rsidRPr="00EB77AB">
      <w:rPr>
        <w:rStyle w:val="a7"/>
        <w:sz w:val="24"/>
        <w:szCs w:val="24"/>
      </w:rPr>
      <w:fldChar w:fldCharType="begin"/>
    </w:r>
    <w:r w:rsidRPr="00EB77AB">
      <w:rPr>
        <w:rStyle w:val="a7"/>
        <w:sz w:val="24"/>
        <w:szCs w:val="24"/>
      </w:rPr>
      <w:instrText xml:space="preserve"> PAGE </w:instrText>
    </w:r>
    <w:r w:rsidR="00086CC4" w:rsidRPr="00EB77AB">
      <w:rPr>
        <w:rStyle w:val="a7"/>
        <w:sz w:val="24"/>
        <w:szCs w:val="24"/>
      </w:rPr>
      <w:fldChar w:fldCharType="separate"/>
    </w:r>
    <w:r w:rsidR="00E606A1">
      <w:rPr>
        <w:rStyle w:val="a7"/>
        <w:noProof/>
        <w:sz w:val="24"/>
        <w:szCs w:val="24"/>
      </w:rPr>
      <w:t>29</w:t>
    </w:r>
    <w:r w:rsidR="00086CC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8E" w:rsidRPr="00EB77AB" w:rsidRDefault="00B85D8E">
    <w:pPr>
      <w:pStyle w:val="a5"/>
      <w:wordWrap w:val="0"/>
      <w:jc w:val="right"/>
      <w:rPr>
        <w:rFonts w:ascii="宋体"/>
        <w:sz w:val="24"/>
        <w:szCs w:val="24"/>
      </w:rPr>
    </w:pPr>
    <w:r w:rsidRPr="00EB77AB">
      <w:rPr>
        <w:rFonts w:ascii="宋体" w:hint="eastAsia"/>
        <w:sz w:val="24"/>
        <w:szCs w:val="24"/>
      </w:rPr>
      <w:t>—</w:t>
    </w:r>
    <w:r w:rsidR="00086CC4" w:rsidRPr="00EB77AB">
      <w:rPr>
        <w:rStyle w:val="a7"/>
        <w:sz w:val="24"/>
        <w:szCs w:val="24"/>
      </w:rPr>
      <w:fldChar w:fldCharType="begin"/>
    </w:r>
    <w:r w:rsidRPr="00EB77AB">
      <w:rPr>
        <w:rStyle w:val="a7"/>
        <w:sz w:val="24"/>
        <w:szCs w:val="24"/>
      </w:rPr>
      <w:instrText xml:space="preserve"> PAGE </w:instrText>
    </w:r>
    <w:r w:rsidR="00086CC4" w:rsidRPr="00EB77AB">
      <w:rPr>
        <w:rStyle w:val="a7"/>
        <w:sz w:val="24"/>
        <w:szCs w:val="24"/>
      </w:rPr>
      <w:fldChar w:fldCharType="separate"/>
    </w:r>
    <w:r w:rsidR="00E606A1">
      <w:rPr>
        <w:rStyle w:val="a7"/>
        <w:noProof/>
        <w:sz w:val="24"/>
        <w:szCs w:val="24"/>
      </w:rPr>
      <w:t>55</w:t>
    </w:r>
    <w:r w:rsidR="00086CC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A99" w:rsidRDefault="00213A99" w:rsidP="00156746">
      <w:r>
        <w:separator/>
      </w:r>
    </w:p>
  </w:footnote>
  <w:footnote w:type="continuationSeparator" w:id="0">
    <w:p w:rsidR="00213A99" w:rsidRDefault="00213A9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8E" w:rsidRDefault="00B85D8E">
    <w:pPr>
      <w:pStyle w:val="a4"/>
      <w:jc w:val="both"/>
      <w:rPr>
        <w:rFonts w:ascii="楷体_GB2312" w:eastAsia="楷体_GB2312"/>
        <w:sz w:val="21"/>
        <w:szCs w:val="21"/>
      </w:rPr>
    </w:pPr>
  </w:p>
  <w:p w:rsidR="00B85D8E" w:rsidRDefault="00B85D8E">
    <w:pPr>
      <w:pStyle w:val="a4"/>
      <w:jc w:val="both"/>
      <w:rPr>
        <w:rFonts w:ascii="楷体_GB2312" w:eastAsia="楷体_GB2312"/>
        <w:sz w:val="21"/>
        <w:szCs w:val="21"/>
      </w:rPr>
    </w:pPr>
  </w:p>
  <w:p w:rsidR="00B85D8E" w:rsidRPr="006A13FB" w:rsidRDefault="00B85D8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8E" w:rsidRDefault="00B85D8E">
    <w:pPr>
      <w:pStyle w:val="a4"/>
      <w:jc w:val="both"/>
      <w:rPr>
        <w:rFonts w:ascii="楷体_GB2312" w:eastAsia="楷体_GB2312"/>
        <w:sz w:val="21"/>
        <w:szCs w:val="21"/>
      </w:rPr>
    </w:pPr>
  </w:p>
  <w:p w:rsidR="00B85D8E" w:rsidRDefault="00B85D8E">
    <w:pPr>
      <w:pStyle w:val="a4"/>
      <w:jc w:val="both"/>
      <w:rPr>
        <w:rFonts w:ascii="楷体_GB2312" w:eastAsia="楷体_GB2312"/>
        <w:sz w:val="21"/>
        <w:szCs w:val="21"/>
      </w:rPr>
    </w:pPr>
  </w:p>
  <w:p w:rsidR="00B85D8E" w:rsidRPr="006A13FB" w:rsidRDefault="00B85D8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8E" w:rsidRDefault="00B85D8E">
    <w:pPr>
      <w:pStyle w:val="a4"/>
      <w:jc w:val="both"/>
      <w:rPr>
        <w:rFonts w:ascii="楷体_GB2312" w:eastAsia="楷体_GB2312"/>
        <w:sz w:val="21"/>
        <w:szCs w:val="21"/>
      </w:rPr>
    </w:pPr>
  </w:p>
  <w:p w:rsidR="00B85D8E" w:rsidRDefault="00B85D8E">
    <w:pPr>
      <w:pStyle w:val="a4"/>
      <w:jc w:val="both"/>
      <w:rPr>
        <w:rFonts w:ascii="楷体_GB2312" w:eastAsia="楷体_GB2312"/>
        <w:sz w:val="21"/>
        <w:szCs w:val="21"/>
      </w:rPr>
    </w:pPr>
  </w:p>
  <w:p w:rsidR="00B85D8E" w:rsidRPr="006A13FB" w:rsidRDefault="00B85D8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8E" w:rsidRPr="006A13FB" w:rsidRDefault="00B85D8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8E" w:rsidRDefault="00B85D8E">
    <w:pPr>
      <w:pStyle w:val="a4"/>
      <w:jc w:val="both"/>
      <w:rPr>
        <w:rFonts w:ascii="楷体_GB2312" w:eastAsia="楷体_GB2312"/>
        <w:sz w:val="21"/>
        <w:szCs w:val="21"/>
      </w:rPr>
    </w:pPr>
  </w:p>
  <w:p w:rsidR="00B85D8E" w:rsidRDefault="00B85D8E">
    <w:pPr>
      <w:pStyle w:val="a4"/>
      <w:jc w:val="both"/>
      <w:rPr>
        <w:rFonts w:ascii="楷体_GB2312" w:eastAsia="楷体_GB2312"/>
        <w:sz w:val="21"/>
        <w:szCs w:val="21"/>
      </w:rPr>
    </w:pPr>
  </w:p>
  <w:p w:rsidR="00B85D8E" w:rsidRPr="006A13FB" w:rsidRDefault="00B85D8E">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8E" w:rsidRDefault="00B85D8E">
    <w:pPr>
      <w:pStyle w:val="a4"/>
      <w:jc w:val="both"/>
      <w:rPr>
        <w:rFonts w:ascii="楷体_GB2312" w:eastAsia="楷体_GB2312"/>
        <w:bCs/>
        <w:sz w:val="21"/>
        <w:szCs w:val="21"/>
      </w:rPr>
    </w:pPr>
  </w:p>
  <w:p w:rsidR="00B85D8E" w:rsidRDefault="00B85D8E">
    <w:pPr>
      <w:pStyle w:val="a4"/>
      <w:jc w:val="both"/>
      <w:rPr>
        <w:rFonts w:ascii="楷体_GB2312" w:eastAsia="楷体_GB2312"/>
        <w:bCs/>
        <w:sz w:val="21"/>
        <w:szCs w:val="21"/>
      </w:rPr>
    </w:pPr>
  </w:p>
  <w:p w:rsidR="00B85D8E" w:rsidRPr="006A13FB" w:rsidRDefault="00B85D8E">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8E" w:rsidRDefault="00B85D8E">
    <w:pPr>
      <w:pStyle w:val="a4"/>
      <w:jc w:val="both"/>
      <w:rPr>
        <w:rFonts w:ascii="楷体_GB2312" w:eastAsia="楷体_GB2312"/>
        <w:bCs/>
        <w:sz w:val="21"/>
        <w:szCs w:val="21"/>
      </w:rPr>
    </w:pPr>
  </w:p>
  <w:p w:rsidR="00B85D8E" w:rsidRDefault="00B85D8E">
    <w:pPr>
      <w:pStyle w:val="a4"/>
      <w:jc w:val="both"/>
      <w:rPr>
        <w:rFonts w:ascii="楷体_GB2312" w:eastAsia="楷体_GB2312"/>
        <w:bCs/>
        <w:sz w:val="21"/>
        <w:szCs w:val="21"/>
      </w:rPr>
    </w:pPr>
  </w:p>
  <w:p w:rsidR="00B85D8E" w:rsidRPr="006A13FB" w:rsidRDefault="00B85D8E">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4"/>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5"/>
  </w:num>
  <w:num w:numId="34">
    <w:abstractNumId w:val="40"/>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5"/>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149E"/>
    <w:rsid w:val="00013467"/>
    <w:rsid w:val="0001562D"/>
    <w:rsid w:val="000158F6"/>
    <w:rsid w:val="00016044"/>
    <w:rsid w:val="00021B72"/>
    <w:rsid w:val="00026C64"/>
    <w:rsid w:val="00030F28"/>
    <w:rsid w:val="00034E63"/>
    <w:rsid w:val="00042DCC"/>
    <w:rsid w:val="0004687A"/>
    <w:rsid w:val="00047F41"/>
    <w:rsid w:val="00050482"/>
    <w:rsid w:val="00054AFA"/>
    <w:rsid w:val="0005539D"/>
    <w:rsid w:val="0006422B"/>
    <w:rsid w:val="00066C3C"/>
    <w:rsid w:val="00070664"/>
    <w:rsid w:val="0007237B"/>
    <w:rsid w:val="000744D5"/>
    <w:rsid w:val="000803AF"/>
    <w:rsid w:val="00085564"/>
    <w:rsid w:val="00086CC4"/>
    <w:rsid w:val="000879CB"/>
    <w:rsid w:val="00090C0E"/>
    <w:rsid w:val="00094D66"/>
    <w:rsid w:val="000A1FBF"/>
    <w:rsid w:val="000A47EE"/>
    <w:rsid w:val="000A77FA"/>
    <w:rsid w:val="000B0A52"/>
    <w:rsid w:val="000B1F30"/>
    <w:rsid w:val="000B4FE3"/>
    <w:rsid w:val="000D1724"/>
    <w:rsid w:val="000E203F"/>
    <w:rsid w:val="000F19EE"/>
    <w:rsid w:val="000F241F"/>
    <w:rsid w:val="000F6B44"/>
    <w:rsid w:val="000F7F74"/>
    <w:rsid w:val="00100C14"/>
    <w:rsid w:val="00104F9C"/>
    <w:rsid w:val="00110DCE"/>
    <w:rsid w:val="00112AB8"/>
    <w:rsid w:val="0011792C"/>
    <w:rsid w:val="001179D2"/>
    <w:rsid w:val="0012622A"/>
    <w:rsid w:val="0012758E"/>
    <w:rsid w:val="00132440"/>
    <w:rsid w:val="001370A6"/>
    <w:rsid w:val="001432A7"/>
    <w:rsid w:val="00143A5E"/>
    <w:rsid w:val="001509A9"/>
    <w:rsid w:val="00153080"/>
    <w:rsid w:val="001542E6"/>
    <w:rsid w:val="00154A37"/>
    <w:rsid w:val="00155AB8"/>
    <w:rsid w:val="00156746"/>
    <w:rsid w:val="00160CAA"/>
    <w:rsid w:val="00161C89"/>
    <w:rsid w:val="0016323B"/>
    <w:rsid w:val="001670CC"/>
    <w:rsid w:val="00170CAC"/>
    <w:rsid w:val="00172E51"/>
    <w:rsid w:val="0017341B"/>
    <w:rsid w:val="00174F72"/>
    <w:rsid w:val="00184BEA"/>
    <w:rsid w:val="00187DDD"/>
    <w:rsid w:val="00190499"/>
    <w:rsid w:val="001946ED"/>
    <w:rsid w:val="00194A09"/>
    <w:rsid w:val="00195A35"/>
    <w:rsid w:val="001A1DAD"/>
    <w:rsid w:val="001A27DE"/>
    <w:rsid w:val="001A3D7B"/>
    <w:rsid w:val="001A7AF3"/>
    <w:rsid w:val="001B0507"/>
    <w:rsid w:val="001B25A6"/>
    <w:rsid w:val="001B30A2"/>
    <w:rsid w:val="001B3B0D"/>
    <w:rsid w:val="001B77E3"/>
    <w:rsid w:val="001C13BA"/>
    <w:rsid w:val="001C7DE1"/>
    <w:rsid w:val="001D04C7"/>
    <w:rsid w:val="001D3A1B"/>
    <w:rsid w:val="001E193A"/>
    <w:rsid w:val="001E3944"/>
    <w:rsid w:val="001E3BC8"/>
    <w:rsid w:val="001E3D72"/>
    <w:rsid w:val="001F49DF"/>
    <w:rsid w:val="001F602A"/>
    <w:rsid w:val="00202DF0"/>
    <w:rsid w:val="00211B4A"/>
    <w:rsid w:val="00213A99"/>
    <w:rsid w:val="00214820"/>
    <w:rsid w:val="00220449"/>
    <w:rsid w:val="00222099"/>
    <w:rsid w:val="00235E78"/>
    <w:rsid w:val="00241372"/>
    <w:rsid w:val="00244F73"/>
    <w:rsid w:val="0025364F"/>
    <w:rsid w:val="00254550"/>
    <w:rsid w:val="00255ABB"/>
    <w:rsid w:val="002579DE"/>
    <w:rsid w:val="00260FC4"/>
    <w:rsid w:val="0027075E"/>
    <w:rsid w:val="00275151"/>
    <w:rsid w:val="0027705C"/>
    <w:rsid w:val="00280EA8"/>
    <w:rsid w:val="00281540"/>
    <w:rsid w:val="00282BA9"/>
    <w:rsid w:val="00285F65"/>
    <w:rsid w:val="002913DB"/>
    <w:rsid w:val="002918A0"/>
    <w:rsid w:val="00293B4C"/>
    <w:rsid w:val="00295DDE"/>
    <w:rsid w:val="00297A15"/>
    <w:rsid w:val="002A1602"/>
    <w:rsid w:val="002A29EE"/>
    <w:rsid w:val="002A4C33"/>
    <w:rsid w:val="002A4D88"/>
    <w:rsid w:val="002B0A3B"/>
    <w:rsid w:val="002B136A"/>
    <w:rsid w:val="002B202E"/>
    <w:rsid w:val="002B38DD"/>
    <w:rsid w:val="002B6049"/>
    <w:rsid w:val="002C0130"/>
    <w:rsid w:val="002C0F66"/>
    <w:rsid w:val="002C1344"/>
    <w:rsid w:val="002C6A11"/>
    <w:rsid w:val="002C6F2D"/>
    <w:rsid w:val="002D0966"/>
    <w:rsid w:val="002D331A"/>
    <w:rsid w:val="002D3B63"/>
    <w:rsid w:val="002D43F5"/>
    <w:rsid w:val="002D5161"/>
    <w:rsid w:val="002E011C"/>
    <w:rsid w:val="002E0A0C"/>
    <w:rsid w:val="002E3D9F"/>
    <w:rsid w:val="002F1927"/>
    <w:rsid w:val="003027C7"/>
    <w:rsid w:val="00302A79"/>
    <w:rsid w:val="00314ADF"/>
    <w:rsid w:val="00317B20"/>
    <w:rsid w:val="00325CE8"/>
    <w:rsid w:val="0032757D"/>
    <w:rsid w:val="0032766C"/>
    <w:rsid w:val="003276E6"/>
    <w:rsid w:val="00335EF0"/>
    <w:rsid w:val="00340B6D"/>
    <w:rsid w:val="00342A28"/>
    <w:rsid w:val="00350CE6"/>
    <w:rsid w:val="003524BF"/>
    <w:rsid w:val="00353505"/>
    <w:rsid w:val="0035787E"/>
    <w:rsid w:val="003611CA"/>
    <w:rsid w:val="00361426"/>
    <w:rsid w:val="0038315E"/>
    <w:rsid w:val="003839B9"/>
    <w:rsid w:val="00384C3A"/>
    <w:rsid w:val="0038583F"/>
    <w:rsid w:val="00391648"/>
    <w:rsid w:val="00392277"/>
    <w:rsid w:val="003923F1"/>
    <w:rsid w:val="0039601D"/>
    <w:rsid w:val="003B0536"/>
    <w:rsid w:val="003B2130"/>
    <w:rsid w:val="003B3F4B"/>
    <w:rsid w:val="003B50D8"/>
    <w:rsid w:val="003B7663"/>
    <w:rsid w:val="003C19BC"/>
    <w:rsid w:val="003C3B80"/>
    <w:rsid w:val="003D363B"/>
    <w:rsid w:val="003E1991"/>
    <w:rsid w:val="003E2C38"/>
    <w:rsid w:val="003E2D1B"/>
    <w:rsid w:val="003E650B"/>
    <w:rsid w:val="003F02F9"/>
    <w:rsid w:val="003F37B0"/>
    <w:rsid w:val="003F4981"/>
    <w:rsid w:val="00402E19"/>
    <w:rsid w:val="00406BC5"/>
    <w:rsid w:val="00412ADF"/>
    <w:rsid w:val="0041496A"/>
    <w:rsid w:val="00420669"/>
    <w:rsid w:val="00426402"/>
    <w:rsid w:val="004350C6"/>
    <w:rsid w:val="004359C8"/>
    <w:rsid w:val="00435AE4"/>
    <w:rsid w:val="00441D08"/>
    <w:rsid w:val="00443086"/>
    <w:rsid w:val="00443F77"/>
    <w:rsid w:val="00447DED"/>
    <w:rsid w:val="00452784"/>
    <w:rsid w:val="00455BD3"/>
    <w:rsid w:val="0045635E"/>
    <w:rsid w:val="004569F6"/>
    <w:rsid w:val="00456AED"/>
    <w:rsid w:val="0046063F"/>
    <w:rsid w:val="00463F09"/>
    <w:rsid w:val="00464557"/>
    <w:rsid w:val="00472142"/>
    <w:rsid w:val="00475253"/>
    <w:rsid w:val="004817C9"/>
    <w:rsid w:val="00490B39"/>
    <w:rsid w:val="00497561"/>
    <w:rsid w:val="004A2006"/>
    <w:rsid w:val="004A51A4"/>
    <w:rsid w:val="004B3316"/>
    <w:rsid w:val="004C1A39"/>
    <w:rsid w:val="004C6962"/>
    <w:rsid w:val="004D09D9"/>
    <w:rsid w:val="004D23FB"/>
    <w:rsid w:val="004E037D"/>
    <w:rsid w:val="004E0BAB"/>
    <w:rsid w:val="004E162D"/>
    <w:rsid w:val="004E18EC"/>
    <w:rsid w:val="004E3F98"/>
    <w:rsid w:val="004E482F"/>
    <w:rsid w:val="004E60AD"/>
    <w:rsid w:val="004F4BBC"/>
    <w:rsid w:val="004F5759"/>
    <w:rsid w:val="005016FA"/>
    <w:rsid w:val="00501BD3"/>
    <w:rsid w:val="00505765"/>
    <w:rsid w:val="00506678"/>
    <w:rsid w:val="0051161F"/>
    <w:rsid w:val="00512A58"/>
    <w:rsid w:val="00514365"/>
    <w:rsid w:val="005143F2"/>
    <w:rsid w:val="00516724"/>
    <w:rsid w:val="00517248"/>
    <w:rsid w:val="00526DAB"/>
    <w:rsid w:val="00530149"/>
    <w:rsid w:val="005342E3"/>
    <w:rsid w:val="00541A12"/>
    <w:rsid w:val="005431D4"/>
    <w:rsid w:val="005501A2"/>
    <w:rsid w:val="00564779"/>
    <w:rsid w:val="005704FC"/>
    <w:rsid w:val="00572585"/>
    <w:rsid w:val="0057658B"/>
    <w:rsid w:val="005847B9"/>
    <w:rsid w:val="00585165"/>
    <w:rsid w:val="00592954"/>
    <w:rsid w:val="00593668"/>
    <w:rsid w:val="005A03AA"/>
    <w:rsid w:val="005A4B13"/>
    <w:rsid w:val="005A4B8A"/>
    <w:rsid w:val="005A63B3"/>
    <w:rsid w:val="005B1A5E"/>
    <w:rsid w:val="005B2EA3"/>
    <w:rsid w:val="005B3948"/>
    <w:rsid w:val="005C0D9D"/>
    <w:rsid w:val="005C3150"/>
    <w:rsid w:val="005E60DB"/>
    <w:rsid w:val="005F240F"/>
    <w:rsid w:val="005F3FC7"/>
    <w:rsid w:val="005F4A22"/>
    <w:rsid w:val="005F5D7D"/>
    <w:rsid w:val="005F680F"/>
    <w:rsid w:val="00602D74"/>
    <w:rsid w:val="006031C8"/>
    <w:rsid w:val="00603D4C"/>
    <w:rsid w:val="00603E3C"/>
    <w:rsid w:val="0061026A"/>
    <w:rsid w:val="00614A6A"/>
    <w:rsid w:val="006202D4"/>
    <w:rsid w:val="0062359B"/>
    <w:rsid w:val="00627EB1"/>
    <w:rsid w:val="00646B99"/>
    <w:rsid w:val="00647C90"/>
    <w:rsid w:val="00650A5D"/>
    <w:rsid w:val="00652826"/>
    <w:rsid w:val="00652A4D"/>
    <w:rsid w:val="00663686"/>
    <w:rsid w:val="0066462B"/>
    <w:rsid w:val="00665B57"/>
    <w:rsid w:val="00666127"/>
    <w:rsid w:val="0067109C"/>
    <w:rsid w:val="00671BDE"/>
    <w:rsid w:val="00681868"/>
    <w:rsid w:val="006819DA"/>
    <w:rsid w:val="00682719"/>
    <w:rsid w:val="00684B77"/>
    <w:rsid w:val="0068595F"/>
    <w:rsid w:val="006933F0"/>
    <w:rsid w:val="006962AD"/>
    <w:rsid w:val="0069676E"/>
    <w:rsid w:val="006979A0"/>
    <w:rsid w:val="006A16F5"/>
    <w:rsid w:val="006A7511"/>
    <w:rsid w:val="006A7FDE"/>
    <w:rsid w:val="006B21E6"/>
    <w:rsid w:val="006B45F4"/>
    <w:rsid w:val="006B7C2C"/>
    <w:rsid w:val="006C1CF4"/>
    <w:rsid w:val="006C45C6"/>
    <w:rsid w:val="006C6901"/>
    <w:rsid w:val="006E23C5"/>
    <w:rsid w:val="006E3186"/>
    <w:rsid w:val="006E4137"/>
    <w:rsid w:val="006E4763"/>
    <w:rsid w:val="006E732A"/>
    <w:rsid w:val="006F4A93"/>
    <w:rsid w:val="007048F0"/>
    <w:rsid w:val="00706B94"/>
    <w:rsid w:val="007144A6"/>
    <w:rsid w:val="007154D8"/>
    <w:rsid w:val="00724F47"/>
    <w:rsid w:val="007264A9"/>
    <w:rsid w:val="00726DAE"/>
    <w:rsid w:val="007302D1"/>
    <w:rsid w:val="00733A42"/>
    <w:rsid w:val="00733BDD"/>
    <w:rsid w:val="00733F31"/>
    <w:rsid w:val="00751CB1"/>
    <w:rsid w:val="00760AB4"/>
    <w:rsid w:val="00765BBC"/>
    <w:rsid w:val="00767AAD"/>
    <w:rsid w:val="0077100A"/>
    <w:rsid w:val="0077103A"/>
    <w:rsid w:val="00772B5D"/>
    <w:rsid w:val="007731DA"/>
    <w:rsid w:val="0077339D"/>
    <w:rsid w:val="0077559A"/>
    <w:rsid w:val="00780C9C"/>
    <w:rsid w:val="0078381A"/>
    <w:rsid w:val="007876EF"/>
    <w:rsid w:val="007912E6"/>
    <w:rsid w:val="00794142"/>
    <w:rsid w:val="00794DFB"/>
    <w:rsid w:val="007A06DB"/>
    <w:rsid w:val="007A0E7A"/>
    <w:rsid w:val="007B376E"/>
    <w:rsid w:val="007B43A7"/>
    <w:rsid w:val="007B79E4"/>
    <w:rsid w:val="007C28FA"/>
    <w:rsid w:val="007C3B80"/>
    <w:rsid w:val="007C42A8"/>
    <w:rsid w:val="007C610C"/>
    <w:rsid w:val="007C7791"/>
    <w:rsid w:val="007E05D4"/>
    <w:rsid w:val="007E1C94"/>
    <w:rsid w:val="007F021A"/>
    <w:rsid w:val="007F2105"/>
    <w:rsid w:val="007F4898"/>
    <w:rsid w:val="008055AC"/>
    <w:rsid w:val="00810E36"/>
    <w:rsid w:val="00813A34"/>
    <w:rsid w:val="00820413"/>
    <w:rsid w:val="00825390"/>
    <w:rsid w:val="00830FC4"/>
    <w:rsid w:val="00833B0E"/>
    <w:rsid w:val="00835412"/>
    <w:rsid w:val="00842750"/>
    <w:rsid w:val="008449BC"/>
    <w:rsid w:val="00844B61"/>
    <w:rsid w:val="008557A0"/>
    <w:rsid w:val="00857990"/>
    <w:rsid w:val="008642CB"/>
    <w:rsid w:val="00864339"/>
    <w:rsid w:val="00871AA1"/>
    <w:rsid w:val="008759E9"/>
    <w:rsid w:val="00881A2F"/>
    <w:rsid w:val="008879B2"/>
    <w:rsid w:val="00892407"/>
    <w:rsid w:val="00894FD2"/>
    <w:rsid w:val="008A0E95"/>
    <w:rsid w:val="008A5296"/>
    <w:rsid w:val="008B5D3A"/>
    <w:rsid w:val="008B72AC"/>
    <w:rsid w:val="008C012A"/>
    <w:rsid w:val="008D01D2"/>
    <w:rsid w:val="008D047D"/>
    <w:rsid w:val="008D10E8"/>
    <w:rsid w:val="008D2301"/>
    <w:rsid w:val="008D3129"/>
    <w:rsid w:val="008D39F3"/>
    <w:rsid w:val="008E2382"/>
    <w:rsid w:val="008E43CB"/>
    <w:rsid w:val="008E4CCD"/>
    <w:rsid w:val="008E773B"/>
    <w:rsid w:val="008F1525"/>
    <w:rsid w:val="008F58AF"/>
    <w:rsid w:val="008F6F93"/>
    <w:rsid w:val="008F7856"/>
    <w:rsid w:val="0090024C"/>
    <w:rsid w:val="00910A73"/>
    <w:rsid w:val="00914CA0"/>
    <w:rsid w:val="00917AC9"/>
    <w:rsid w:val="00922C1C"/>
    <w:rsid w:val="00924CF4"/>
    <w:rsid w:val="0092784F"/>
    <w:rsid w:val="00930468"/>
    <w:rsid w:val="0093212A"/>
    <w:rsid w:val="00932621"/>
    <w:rsid w:val="00934050"/>
    <w:rsid w:val="00943108"/>
    <w:rsid w:val="009474B3"/>
    <w:rsid w:val="009478E9"/>
    <w:rsid w:val="00952988"/>
    <w:rsid w:val="009554D8"/>
    <w:rsid w:val="009570D9"/>
    <w:rsid w:val="00957388"/>
    <w:rsid w:val="00962E40"/>
    <w:rsid w:val="0096732E"/>
    <w:rsid w:val="009719FB"/>
    <w:rsid w:val="00977E68"/>
    <w:rsid w:val="00977F7E"/>
    <w:rsid w:val="00981994"/>
    <w:rsid w:val="00985CB0"/>
    <w:rsid w:val="00993684"/>
    <w:rsid w:val="00997675"/>
    <w:rsid w:val="009A1A23"/>
    <w:rsid w:val="009A5C13"/>
    <w:rsid w:val="009A68A6"/>
    <w:rsid w:val="009B02ED"/>
    <w:rsid w:val="009B6C69"/>
    <w:rsid w:val="009B7EA9"/>
    <w:rsid w:val="009C4029"/>
    <w:rsid w:val="009D403B"/>
    <w:rsid w:val="009E48BE"/>
    <w:rsid w:val="009F16A1"/>
    <w:rsid w:val="009F315B"/>
    <w:rsid w:val="00A03529"/>
    <w:rsid w:val="00A05A0E"/>
    <w:rsid w:val="00A11831"/>
    <w:rsid w:val="00A11DC3"/>
    <w:rsid w:val="00A1300A"/>
    <w:rsid w:val="00A15AF7"/>
    <w:rsid w:val="00A25764"/>
    <w:rsid w:val="00A346B1"/>
    <w:rsid w:val="00A36553"/>
    <w:rsid w:val="00A37843"/>
    <w:rsid w:val="00A416F4"/>
    <w:rsid w:val="00A46821"/>
    <w:rsid w:val="00A522F8"/>
    <w:rsid w:val="00A56B19"/>
    <w:rsid w:val="00A606E9"/>
    <w:rsid w:val="00A66B44"/>
    <w:rsid w:val="00A73616"/>
    <w:rsid w:val="00A755BD"/>
    <w:rsid w:val="00A77905"/>
    <w:rsid w:val="00A81EA5"/>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297A"/>
    <w:rsid w:val="00AD3762"/>
    <w:rsid w:val="00AD6F80"/>
    <w:rsid w:val="00AE024F"/>
    <w:rsid w:val="00AE22ED"/>
    <w:rsid w:val="00AE4417"/>
    <w:rsid w:val="00AF0759"/>
    <w:rsid w:val="00AF1771"/>
    <w:rsid w:val="00AF3AB1"/>
    <w:rsid w:val="00AF3EFD"/>
    <w:rsid w:val="00AF401F"/>
    <w:rsid w:val="00AF5F07"/>
    <w:rsid w:val="00AF6F79"/>
    <w:rsid w:val="00B00DAF"/>
    <w:rsid w:val="00B02B2B"/>
    <w:rsid w:val="00B02DB7"/>
    <w:rsid w:val="00B05091"/>
    <w:rsid w:val="00B07ACA"/>
    <w:rsid w:val="00B14E99"/>
    <w:rsid w:val="00B15CC0"/>
    <w:rsid w:val="00B16B77"/>
    <w:rsid w:val="00B20AA0"/>
    <w:rsid w:val="00B24395"/>
    <w:rsid w:val="00B2575B"/>
    <w:rsid w:val="00B312BF"/>
    <w:rsid w:val="00B3325E"/>
    <w:rsid w:val="00B33EB7"/>
    <w:rsid w:val="00B36D3D"/>
    <w:rsid w:val="00B3727D"/>
    <w:rsid w:val="00B40CE9"/>
    <w:rsid w:val="00B40D8F"/>
    <w:rsid w:val="00B42007"/>
    <w:rsid w:val="00B45248"/>
    <w:rsid w:val="00B45B2C"/>
    <w:rsid w:val="00B554DE"/>
    <w:rsid w:val="00B57556"/>
    <w:rsid w:val="00B62611"/>
    <w:rsid w:val="00B63207"/>
    <w:rsid w:val="00B64ACD"/>
    <w:rsid w:val="00B70AC4"/>
    <w:rsid w:val="00B74539"/>
    <w:rsid w:val="00B83170"/>
    <w:rsid w:val="00B83D1A"/>
    <w:rsid w:val="00B85169"/>
    <w:rsid w:val="00B85D8E"/>
    <w:rsid w:val="00B87CEC"/>
    <w:rsid w:val="00B90304"/>
    <w:rsid w:val="00BA1EA0"/>
    <w:rsid w:val="00BB380A"/>
    <w:rsid w:val="00BB488F"/>
    <w:rsid w:val="00BC21AC"/>
    <w:rsid w:val="00BC41C9"/>
    <w:rsid w:val="00BD737A"/>
    <w:rsid w:val="00BD7CAC"/>
    <w:rsid w:val="00BE4874"/>
    <w:rsid w:val="00BE4D46"/>
    <w:rsid w:val="00BF1317"/>
    <w:rsid w:val="00BF60B1"/>
    <w:rsid w:val="00C0287F"/>
    <w:rsid w:val="00C03359"/>
    <w:rsid w:val="00C03DDC"/>
    <w:rsid w:val="00C05979"/>
    <w:rsid w:val="00C116BF"/>
    <w:rsid w:val="00C1522D"/>
    <w:rsid w:val="00C17C0C"/>
    <w:rsid w:val="00C17E1B"/>
    <w:rsid w:val="00C3022B"/>
    <w:rsid w:val="00C3311B"/>
    <w:rsid w:val="00C41960"/>
    <w:rsid w:val="00C41986"/>
    <w:rsid w:val="00C4330B"/>
    <w:rsid w:val="00C43C6F"/>
    <w:rsid w:val="00C475A2"/>
    <w:rsid w:val="00C5456B"/>
    <w:rsid w:val="00C562A9"/>
    <w:rsid w:val="00C5736D"/>
    <w:rsid w:val="00C57D95"/>
    <w:rsid w:val="00C61CCD"/>
    <w:rsid w:val="00C7014A"/>
    <w:rsid w:val="00C75273"/>
    <w:rsid w:val="00C81CBB"/>
    <w:rsid w:val="00C840DC"/>
    <w:rsid w:val="00C852C5"/>
    <w:rsid w:val="00C91F60"/>
    <w:rsid w:val="00C930A6"/>
    <w:rsid w:val="00C93F1A"/>
    <w:rsid w:val="00C94047"/>
    <w:rsid w:val="00CA47C5"/>
    <w:rsid w:val="00CA4F44"/>
    <w:rsid w:val="00CA53CE"/>
    <w:rsid w:val="00CB0C1E"/>
    <w:rsid w:val="00CB2ECF"/>
    <w:rsid w:val="00CB3835"/>
    <w:rsid w:val="00CB4AA1"/>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F42"/>
    <w:rsid w:val="00D6410D"/>
    <w:rsid w:val="00D746E9"/>
    <w:rsid w:val="00D75A86"/>
    <w:rsid w:val="00D75E68"/>
    <w:rsid w:val="00D75EF5"/>
    <w:rsid w:val="00D811AD"/>
    <w:rsid w:val="00D81BC3"/>
    <w:rsid w:val="00D82273"/>
    <w:rsid w:val="00D91FBB"/>
    <w:rsid w:val="00D9263A"/>
    <w:rsid w:val="00D94BC0"/>
    <w:rsid w:val="00D95A61"/>
    <w:rsid w:val="00DA3CE5"/>
    <w:rsid w:val="00DA48E1"/>
    <w:rsid w:val="00DA5392"/>
    <w:rsid w:val="00DB0D05"/>
    <w:rsid w:val="00DB3B93"/>
    <w:rsid w:val="00DC1D0F"/>
    <w:rsid w:val="00DC4321"/>
    <w:rsid w:val="00DD153E"/>
    <w:rsid w:val="00DD2C6F"/>
    <w:rsid w:val="00DD45CF"/>
    <w:rsid w:val="00DE009D"/>
    <w:rsid w:val="00DE45D1"/>
    <w:rsid w:val="00DF1C4D"/>
    <w:rsid w:val="00DF28D9"/>
    <w:rsid w:val="00DF6112"/>
    <w:rsid w:val="00DF6760"/>
    <w:rsid w:val="00E0008D"/>
    <w:rsid w:val="00E016D8"/>
    <w:rsid w:val="00E14E70"/>
    <w:rsid w:val="00E156DA"/>
    <w:rsid w:val="00E225F7"/>
    <w:rsid w:val="00E270B5"/>
    <w:rsid w:val="00E36E55"/>
    <w:rsid w:val="00E374ED"/>
    <w:rsid w:val="00E40040"/>
    <w:rsid w:val="00E477BF"/>
    <w:rsid w:val="00E50B6E"/>
    <w:rsid w:val="00E52986"/>
    <w:rsid w:val="00E52EBE"/>
    <w:rsid w:val="00E549ED"/>
    <w:rsid w:val="00E558D3"/>
    <w:rsid w:val="00E55F69"/>
    <w:rsid w:val="00E606A1"/>
    <w:rsid w:val="00E63572"/>
    <w:rsid w:val="00E655D3"/>
    <w:rsid w:val="00E67EA1"/>
    <w:rsid w:val="00E7088E"/>
    <w:rsid w:val="00E763C3"/>
    <w:rsid w:val="00E80449"/>
    <w:rsid w:val="00E8156D"/>
    <w:rsid w:val="00E8207C"/>
    <w:rsid w:val="00E9244B"/>
    <w:rsid w:val="00E9607A"/>
    <w:rsid w:val="00EA0A44"/>
    <w:rsid w:val="00EA3D5B"/>
    <w:rsid w:val="00EA5DD8"/>
    <w:rsid w:val="00EB0CD8"/>
    <w:rsid w:val="00EB1CF7"/>
    <w:rsid w:val="00EB77AB"/>
    <w:rsid w:val="00EC1372"/>
    <w:rsid w:val="00EC4B43"/>
    <w:rsid w:val="00EC6932"/>
    <w:rsid w:val="00ED2949"/>
    <w:rsid w:val="00ED5C76"/>
    <w:rsid w:val="00ED78A2"/>
    <w:rsid w:val="00EE05DE"/>
    <w:rsid w:val="00EE2DF1"/>
    <w:rsid w:val="00EE5EF0"/>
    <w:rsid w:val="00EF3F37"/>
    <w:rsid w:val="00F04056"/>
    <w:rsid w:val="00F07E6A"/>
    <w:rsid w:val="00F1490A"/>
    <w:rsid w:val="00F156FF"/>
    <w:rsid w:val="00F16EEB"/>
    <w:rsid w:val="00F17CA4"/>
    <w:rsid w:val="00F213F7"/>
    <w:rsid w:val="00F34D85"/>
    <w:rsid w:val="00F36DC0"/>
    <w:rsid w:val="00F445B0"/>
    <w:rsid w:val="00F52461"/>
    <w:rsid w:val="00F5673F"/>
    <w:rsid w:val="00F61363"/>
    <w:rsid w:val="00F62C5A"/>
    <w:rsid w:val="00F667E1"/>
    <w:rsid w:val="00F66CCE"/>
    <w:rsid w:val="00F733A6"/>
    <w:rsid w:val="00F76262"/>
    <w:rsid w:val="00F7755E"/>
    <w:rsid w:val="00F903C9"/>
    <w:rsid w:val="00F952D2"/>
    <w:rsid w:val="00F96005"/>
    <w:rsid w:val="00FA2C0A"/>
    <w:rsid w:val="00FA3149"/>
    <w:rsid w:val="00FA4E4F"/>
    <w:rsid w:val="00FB52C0"/>
    <w:rsid w:val="00FB62A8"/>
    <w:rsid w:val="00FB78D1"/>
    <w:rsid w:val="00FC33D8"/>
    <w:rsid w:val="00FC6F12"/>
    <w:rsid w:val="00FD2CFC"/>
    <w:rsid w:val="00FD7A4E"/>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AAD8-38F0-4028-95FB-C2002796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12600</TotalTime>
  <Pages>1</Pages>
  <Words>4791</Words>
  <Characters>27314</Characters>
  <Application>Microsoft Office Word</Application>
  <DocSecurity>0</DocSecurity>
  <Lines>227</Lines>
  <Paragraphs>64</Paragraphs>
  <ScaleCrop>false</ScaleCrop>
  <Company>china</Company>
  <LinksUpToDate>false</LinksUpToDate>
  <CharactersWithSpaces>32041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684</cp:revision>
  <cp:lastPrinted>2020-04-07T03:27:00Z</cp:lastPrinted>
  <dcterms:created xsi:type="dcterms:W3CDTF">2016-06-29T06:49:00Z</dcterms:created>
  <dcterms:modified xsi:type="dcterms:W3CDTF">2020-04-07T03:28:00Z</dcterms:modified>
</cp:coreProperties>
</file>