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高端监护仪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2020-JL13(03)-W10080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关于高端监护仪的采购</w:t>
      </w:r>
      <w:r>
        <w:rPr>
          <w:rFonts w:ascii="Tahoma" w:hAnsi="Tahoma" w:cs="Tahoma"/>
          <w:b/>
          <w:bCs/>
          <w:kern w:val="0"/>
          <w:sz w:val="28"/>
          <w:szCs w:val="28"/>
        </w:rPr>
        <w:t>公告</w:t>
      </w:r>
      <w:r>
        <w:rPr>
          <w:rFonts w:hint="eastAsia" w:ascii="Tahoma" w:hAnsi="Tahoma" w:cs="Tahoma"/>
          <w:kern w:val="0"/>
          <w:sz w:val="28"/>
          <w:szCs w:val="28"/>
        </w:rPr>
        <w:t>2020-JL13(03)-W10080</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高端监护仪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高端监护仪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bookmarkStart w:id="24" w:name="_GoBack"/>
      <w:bookmarkEnd w:id="24"/>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435540979"/>
      <w:bookmarkStart w:id="6" w:name="_Toc37172688"/>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高端监护仪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15</w:t>
            </w:r>
          </w:p>
        </w:tc>
      </w:tr>
      <w:bookmarkEnd w:id="8"/>
    </w:tbl>
    <w:p>
      <w:pPr>
        <w:adjustRightInd w:val="0"/>
        <w:snapToGrid w:val="0"/>
        <w:spacing w:line="440" w:lineRule="exact"/>
        <w:jc w:val="center"/>
        <w:rPr>
          <w:rFonts w:ascii="宋体" w:hAnsi="宋体" w:cs="宋体"/>
          <w:bCs/>
          <w:kern w:val="0"/>
          <w:sz w:val="44"/>
          <w:szCs w:val="4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714"/>
        <w:gridCol w:w="378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gridSpan w:val="4"/>
            <w:tcBorders>
              <w:top w:val="nil"/>
              <w:left w:val="nil"/>
              <w:right w:val="nil"/>
            </w:tcBorders>
            <w:vAlign w:val="center"/>
          </w:tcPr>
          <w:p>
            <w:pPr>
              <w:jc w:val="center"/>
              <w:rPr>
                <w:rFonts w:ascii="Times New Roman" w:hAnsi="Times New Roman" w:cs="Times New Roman"/>
                <w:b/>
                <w:sz w:val="44"/>
                <w:szCs w:val="18"/>
              </w:rPr>
            </w:pPr>
            <w:r>
              <w:rPr>
                <w:rFonts w:hint="eastAsia" w:ascii="Times New Roman" w:hAnsi="Times New Roman" w:cs="Times New Roman"/>
                <w:b/>
                <w:sz w:val="44"/>
                <w:szCs w:val="18"/>
              </w:rPr>
              <w:t>多参数监护仪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主要用于连续监测手术病人生命体征，包括心电、血氧、无创血压、有创血压辅助判断病人情况</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屏幕尺寸≥19英寸，</w:t>
            </w:r>
            <w:r>
              <w:rPr>
                <w:rFonts w:asciiTheme="minorEastAsia" w:hAnsiTheme="minorEastAsia" w:cstheme="minorHAnsi"/>
                <w:sz w:val="21"/>
                <w:szCs w:val="21"/>
              </w:rPr>
              <w:t>触摸屏</w:t>
            </w:r>
            <w:r>
              <w:rPr>
                <w:rFonts w:hint="eastAsia" w:asciiTheme="minorEastAsia" w:hAnsiTheme="minorEastAsia" w:cstheme="minorHAnsi"/>
                <w:sz w:val="21"/>
                <w:szCs w:val="21"/>
              </w:rPr>
              <w:t>,具备双屏显示输出功能</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sz w:val="21"/>
                <w:szCs w:val="21"/>
              </w:rPr>
            </w:pPr>
            <w:r>
              <w:rPr>
                <w:rFonts w:asciiTheme="minorEastAsia" w:hAnsiTheme="minorEastAsia" w:cstheme="minorHAnsi"/>
                <w:sz w:val="21"/>
                <w:szCs w:val="21"/>
              </w:rPr>
              <w:t>可同时监测心电、呼吸、血氧饱和度、脉搏、无创血压</w:t>
            </w:r>
            <w:r>
              <w:rPr>
                <w:rFonts w:hint="eastAsia" w:asciiTheme="minorEastAsia" w:hAnsiTheme="minorEastAsia" w:cstheme="minorHAnsi"/>
                <w:sz w:val="21"/>
                <w:szCs w:val="21"/>
              </w:rPr>
              <w:t>、三有创、双温度、麻醉气体监测模块、脑电双频指数，触屏转运模块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780" w:type="dxa"/>
            <w:vAlign w:val="center"/>
          </w:tcPr>
          <w:p>
            <w:pPr>
              <w:keepNext w:val="0"/>
              <w:keepLines w:val="0"/>
              <w:pageBreakBefore w:val="0"/>
              <w:kinsoku/>
              <w:wordWrap/>
              <w:overflowPunct/>
              <w:topLinePunct w:val="0"/>
              <w:autoSpaceDE/>
              <w:autoSpaceDN/>
              <w:bidi w:val="0"/>
              <w:adjustRightInd/>
              <w:snapToGrid/>
              <w:spacing w:after="160" w:line="360" w:lineRule="exact"/>
              <w:jc w:val="left"/>
              <w:textAlignment w:val="auto"/>
              <w:rPr>
                <w:rFonts w:asciiTheme="minorEastAsia" w:hAnsiTheme="minorEastAsia" w:cstheme="minorEastAsia"/>
                <w:sz w:val="21"/>
                <w:szCs w:val="21"/>
              </w:rPr>
            </w:pPr>
            <w:r>
              <w:rPr>
                <w:rFonts w:hint="eastAsia" w:asciiTheme="minorEastAsia" w:hAnsiTheme="minorEastAsia" w:cstheme="minorHAnsi"/>
                <w:sz w:val="21"/>
                <w:szCs w:val="21"/>
              </w:rPr>
              <w:t>12导联实时E</w:t>
            </w:r>
            <w:r>
              <w:rPr>
                <w:rFonts w:asciiTheme="minorEastAsia" w:hAnsiTheme="minorEastAsia" w:cstheme="minorHAnsi"/>
                <w:sz w:val="21"/>
                <w:szCs w:val="21"/>
              </w:rPr>
              <w:t>CG</w:t>
            </w:r>
            <w:r>
              <w:rPr>
                <w:rFonts w:hint="eastAsia" w:asciiTheme="minorEastAsia" w:hAnsiTheme="minorEastAsia" w:cstheme="minorHAnsi"/>
                <w:sz w:val="21"/>
                <w:szCs w:val="21"/>
              </w:rPr>
              <w:t>和12导联S</w:t>
            </w:r>
            <w:r>
              <w:rPr>
                <w:rFonts w:asciiTheme="minorEastAsia" w:hAnsiTheme="minorEastAsia" w:cstheme="minorHAnsi"/>
                <w:sz w:val="21"/>
                <w:szCs w:val="21"/>
              </w:rPr>
              <w:t>T</w:t>
            </w:r>
            <w:r>
              <w:rPr>
                <w:rFonts w:hint="eastAsia" w:asciiTheme="minorEastAsia" w:hAnsiTheme="minorEastAsia" w:cstheme="minorHAnsi"/>
                <w:sz w:val="21"/>
                <w:szCs w:val="21"/>
              </w:rPr>
              <w:t>值同屏显示，并且实时更新</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2.4</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参数4</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支持呼气末二氧化碳，</w:t>
            </w:r>
            <w:r>
              <w:rPr>
                <w:rFonts w:hint="eastAsia" w:asciiTheme="minorEastAsia" w:hAnsiTheme="minorEastAsia" w:cstheme="minorEastAsia"/>
                <w:sz w:val="21"/>
                <w:szCs w:val="21"/>
              </w:rPr>
              <w:t>同一模块可支持主路法和旁路法监测潮气末二氧化碳,多种麻醉气体检测,MAC值显示</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2.5</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参数5</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HAnsi"/>
                <w:sz w:val="21"/>
                <w:szCs w:val="21"/>
              </w:rPr>
            </w:pPr>
            <w:r>
              <w:rPr>
                <w:rFonts w:hint="eastAsia" w:asciiTheme="minorEastAsia" w:hAnsiTheme="minorEastAsia" w:cstheme="minorHAnsi"/>
                <w:sz w:val="21"/>
                <w:szCs w:val="21"/>
              </w:rPr>
              <w:t>心电监测可用≤6个电极获得实时的同屏12导联心电</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2.6</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▲参数6</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氧饱和度同时能做到智能延迟报警和灌注指数显示</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2.7</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▲参数7</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带触摸屏的转运模块，插入主机后可实现双屏双控、双向可视化操作，主机屏幕与模块屏幕独立显示，可同时观察。取下模块后可由️充电电池供电作为独立监护仪单独使用，并保证数据的无缝转运。</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8</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8</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可升级</w:t>
            </w:r>
            <w:r>
              <w:rPr>
                <w:rFonts w:asciiTheme="minorEastAsia" w:hAnsiTheme="minorEastAsia" w:cstheme="minorHAnsi"/>
                <w:sz w:val="21"/>
                <w:szCs w:val="21"/>
              </w:rPr>
              <w:t>连续心输出量监测和右心热稀释法心输出量监测，以上两种测量方法使用同一个模块，方便临床使用</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9</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9</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内置ICU、新生儿、麻醉、心脏专科显示界面≥ 8种</w:t>
            </w:r>
            <w:r>
              <w:rPr>
                <w:rFonts w:hint="eastAsia" w:ascii="仿宋" w:hAnsi="仿宋" w:eastAsia="仿宋" w:cs="仿宋"/>
                <w:sz w:val="21"/>
                <w:szCs w:val="21"/>
              </w:rPr>
              <w:t>。</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10</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10</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微软雅黑" w:hAnsi="微软雅黑" w:eastAsia="微软雅黑" w:cs="微软雅黑"/>
                <w:b/>
                <w:color w:val="FF0000"/>
                <w:sz w:val="21"/>
                <w:szCs w:val="21"/>
              </w:rPr>
            </w:pPr>
            <w:r>
              <w:rPr>
                <w:rFonts w:hint="eastAsia" w:asciiTheme="minorEastAsia" w:hAnsiTheme="minorEastAsia" w:cstheme="minorEastAsia"/>
                <w:sz w:val="21"/>
                <w:szCs w:val="21"/>
              </w:rPr>
              <w:t>波形冻结功能，可分别冻结单个波形，不影响其它实时波形的显示和全部参数的报警</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11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11</w:t>
            </w:r>
          </w:p>
        </w:tc>
        <w:tc>
          <w:tcPr>
            <w:tcW w:w="3780" w:type="dxa"/>
            <w:vAlign w:val="center"/>
          </w:tcPr>
          <w:p>
            <w:pPr>
              <w:keepNext w:val="0"/>
              <w:keepLines w:val="0"/>
              <w:pageBreakBefore w:val="0"/>
              <w:tabs>
                <w:tab w:val="left" w:pos="469"/>
              </w:tabs>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提供显示50%已麻醉病患不会对疼痛刺激做出移动回应的最低肺泡麻醉气体的浓度及显示50%的已麻醉病患对口头指令做出回应的最低肺泡麻醉气体浓度值</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2</w:t>
            </w:r>
          </w:p>
        </w:tc>
        <w:tc>
          <w:tcPr>
            <w:tcW w:w="3780" w:type="dxa"/>
            <w:vAlign w:val="center"/>
          </w:tcPr>
          <w:p>
            <w:pPr>
              <w:keepNext w:val="0"/>
              <w:keepLines w:val="0"/>
              <w:pageBreakBefore w:val="0"/>
              <w:kinsoku/>
              <w:wordWrap/>
              <w:overflowPunct/>
              <w:topLinePunct w:val="0"/>
              <w:autoSpaceDE/>
              <w:autoSpaceDN/>
              <w:bidi w:val="0"/>
              <w:adjustRightInd/>
              <w:snapToGrid/>
              <w:spacing w:after="160"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可升级积水杯旋转，方便插件槽水平或垂直位置固定 </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3</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3</w:t>
            </w:r>
          </w:p>
        </w:tc>
        <w:tc>
          <w:tcPr>
            <w:tcW w:w="3780"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有创压力测压范围： -40至320mmHg。</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4</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4</w:t>
            </w:r>
          </w:p>
        </w:tc>
        <w:tc>
          <w:tcPr>
            <w:tcW w:w="3780" w:type="dxa"/>
            <w:vAlign w:val="center"/>
          </w:tcPr>
          <w:p>
            <w:pPr>
              <w:keepNext w:val="0"/>
              <w:keepLines w:val="0"/>
              <w:pageBreakBefore w:val="0"/>
              <w:kinsoku/>
              <w:wordWrap/>
              <w:overflowPunct/>
              <w:topLinePunct w:val="0"/>
              <w:autoSpaceDE/>
              <w:autoSpaceDN/>
              <w:bidi w:val="0"/>
              <w:adjustRightInd/>
              <w:snapToGrid/>
              <w:spacing w:after="160"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屏幕上可设置“重叠波形显示区域”，在此区域内，可选择不同波形进行重叠显示。便于临床工作人将各种参数波形进行比较，并可更好地发现并定位各类临床事件发生的先后顺序</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r>
              <w:rPr>
                <w:rFonts w:hint="eastAsia" w:asciiTheme="minorEastAsia" w:hAnsiTheme="minorEastAsia" w:cstheme="minorHAnsi"/>
                <w:sz w:val="21"/>
                <w:szCs w:val="21"/>
              </w:rPr>
              <w:t xml:space="preserve"> </w:t>
            </w:r>
            <w:r>
              <w:rPr>
                <w:rFonts w:asciiTheme="minorEastAsia" w:hAnsiTheme="minorEastAsia" w:cstheme="minorHAnsi"/>
                <w:sz w:val="21"/>
                <w:szCs w:val="21"/>
              </w:rPr>
              <w:t xml:space="preserve">            1台</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ind w:left="2880" w:hanging="2412" w:hangingChars="1200"/>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心电、血氧、三有创双温度模块</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1块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3.3</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3</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麻醉模块     </w:t>
            </w:r>
            <w:r>
              <w:rPr>
                <w:rFonts w:asciiTheme="minorEastAsia" w:hAnsiTheme="minorEastAsia" w:cstheme="minorHAnsi"/>
                <w:sz w:val="21"/>
                <w:szCs w:val="21"/>
              </w:rPr>
              <w:t xml:space="preserve">         </w:t>
            </w:r>
            <w:r>
              <w:rPr>
                <w:rFonts w:hint="eastAsia" w:asciiTheme="minorEastAsia" w:hAnsiTheme="minorEastAsia" w:cstheme="minorHAnsi"/>
                <w:sz w:val="21"/>
                <w:szCs w:val="21"/>
              </w:rPr>
              <w:t xml:space="preserve"> 1块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3.4</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4</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脑电双频指数模块       1块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3.5</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5</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触屏转运模块           1块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3.6</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6</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3导/5导导联线         1套</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3.7</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7</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袖带                   1个</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3.8</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8</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电极片                 1包</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78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74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390713968"/>
      <w:bookmarkStart w:id="11" w:name="_Toc240432230"/>
      <w:bookmarkStart w:id="12" w:name="_Toc285612601"/>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cs="Times New Roman" w:asciiTheme="majorEastAsia" w:hAnsiTheme="majorEastAsia"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屏幕尺寸≥19英寸，</w:t>
            </w:r>
            <w:r>
              <w:rPr>
                <w:rFonts w:asciiTheme="minorEastAsia" w:hAnsiTheme="minorEastAsia" w:cstheme="minorHAnsi"/>
                <w:sz w:val="21"/>
                <w:szCs w:val="21"/>
              </w:rPr>
              <w:t>触摸屏</w:t>
            </w:r>
            <w:r>
              <w:rPr>
                <w:rFonts w:hint="eastAsia" w:asciiTheme="minorEastAsia" w:hAnsiTheme="minorEastAsia" w:cstheme="minorHAnsi"/>
                <w:sz w:val="21"/>
                <w:szCs w:val="21"/>
              </w:rPr>
              <w:t>,具备双屏显示输出功能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参数2</w:t>
            </w:r>
            <w:r>
              <w:rPr>
                <w:rFonts w:hint="eastAsia" w:asciiTheme="minorEastAsia" w:hAnsiTheme="minorEastAsia" w:cstheme="minorHAnsi"/>
                <w:sz w:val="21"/>
                <w:szCs w:val="21"/>
                <w:lang w:val="en-US" w:eastAsia="zh-CN"/>
              </w:rPr>
              <w:t xml:space="preserve">  </w:t>
            </w:r>
            <w:r>
              <w:rPr>
                <w:rFonts w:asciiTheme="minorEastAsia" w:hAnsiTheme="minorEastAsia" w:cstheme="minorHAnsi"/>
                <w:sz w:val="21"/>
                <w:szCs w:val="21"/>
              </w:rPr>
              <w:t>可同时监测心电、呼吸、血氧饱和度、脉搏、无创血压</w:t>
            </w:r>
            <w:r>
              <w:rPr>
                <w:rFonts w:hint="eastAsia" w:asciiTheme="minorEastAsia" w:hAnsiTheme="minorEastAsia" w:cstheme="minorHAnsi"/>
                <w:sz w:val="21"/>
                <w:szCs w:val="21"/>
              </w:rPr>
              <w:t>、三有创、双温度、麻醉气体监测模块、脑电双频指数，触屏转运模块</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参数3</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12导联实时E</w:t>
            </w:r>
            <w:r>
              <w:rPr>
                <w:rFonts w:asciiTheme="minorEastAsia" w:hAnsiTheme="minorEastAsia" w:cstheme="minorHAnsi"/>
                <w:sz w:val="21"/>
                <w:szCs w:val="21"/>
              </w:rPr>
              <w:t>CG</w:t>
            </w:r>
            <w:r>
              <w:rPr>
                <w:rFonts w:hint="eastAsia" w:asciiTheme="minorEastAsia" w:hAnsiTheme="minorEastAsia" w:cstheme="minorHAnsi"/>
                <w:sz w:val="21"/>
                <w:szCs w:val="21"/>
              </w:rPr>
              <w:t>和12导联S</w:t>
            </w:r>
            <w:r>
              <w:rPr>
                <w:rFonts w:asciiTheme="minorEastAsia" w:hAnsiTheme="minorEastAsia" w:cstheme="minorHAnsi"/>
                <w:sz w:val="21"/>
                <w:szCs w:val="21"/>
              </w:rPr>
              <w:t>T</w:t>
            </w:r>
            <w:r>
              <w:rPr>
                <w:rFonts w:hint="eastAsia" w:asciiTheme="minorEastAsia" w:hAnsiTheme="minorEastAsia" w:cstheme="minorHAnsi"/>
                <w:sz w:val="21"/>
                <w:szCs w:val="21"/>
              </w:rPr>
              <w:t>值同屏显示，并且实时更新</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w:t>
            </w:r>
            <w:r>
              <w:rPr>
                <w:rFonts w:asciiTheme="minorEastAsia" w:hAnsiTheme="minorEastAsia" w:cstheme="minorHAnsi"/>
                <w:sz w:val="21"/>
                <w:szCs w:val="21"/>
              </w:rPr>
              <w:t>参数4</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支持呼气末二氧化碳，</w:t>
            </w:r>
            <w:r>
              <w:rPr>
                <w:rFonts w:hint="eastAsia" w:asciiTheme="minorEastAsia" w:hAnsiTheme="minorEastAsia" w:cstheme="minorEastAsia"/>
                <w:sz w:val="21"/>
                <w:szCs w:val="21"/>
              </w:rPr>
              <w:t>同一模块可支持主路法和旁路法监测潮气末二氧化碳,多种麻醉气体检测,MAC值显示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w:t>
            </w:r>
            <w:r>
              <w:rPr>
                <w:rFonts w:asciiTheme="minorEastAsia" w:hAnsiTheme="minorEastAsia" w:cstheme="minorHAnsi"/>
                <w:sz w:val="21"/>
                <w:szCs w:val="21"/>
              </w:rPr>
              <w:t>参数5</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心电监测可用≤6个电极获得实时的同屏12导联心电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▲参数6</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氧饱和度同时能做到智能延迟报警和灌注指数显示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▲参数7</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带触摸屏的转运模块，插入主机后可实现双屏双控、双向可视化操作，主机屏幕与模块屏幕独立显示，可同时观察。取下模块后可由️充电电池供电作为独立监护仪单独使用，并保证数据的无缝转运。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8</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可升级</w:t>
            </w:r>
            <w:r>
              <w:rPr>
                <w:rFonts w:asciiTheme="minorEastAsia" w:hAnsiTheme="minorEastAsia" w:cstheme="minorHAnsi"/>
                <w:sz w:val="21"/>
                <w:szCs w:val="21"/>
              </w:rPr>
              <w:t>连续心输出量监测和右心热稀释法心输出量监测，以上两种测量方法使用同一个模块，方便临床使用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9</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内置ICU、新生儿、麻醉、心脏专科显示界面≥ 8种</w:t>
            </w:r>
            <w:r>
              <w:rPr>
                <w:rFonts w:hint="eastAsia" w:ascii="仿宋" w:hAnsi="仿宋" w:eastAsia="仿宋" w:cs="仿宋"/>
                <w:sz w:val="21"/>
                <w:szCs w:val="21"/>
              </w:rPr>
              <w:t>。</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10</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波形冻结功能，可分别冻结单个波形，不影响其它实时波形的显示和全部参数的报警</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11</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提供显示50%已麻醉病患不会对疼痛刺激做出移动回应的最低肺泡麻醉气体的浓度及显示50%的已麻醉病患对口头指令做出回应的最低肺泡麻醉气体浓度值</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rPr>
              <w:t>2</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 xml:space="preserve">可升级积水杯旋转，方便插件槽水平或垂直位置固定 </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rPr>
              <w:t>3</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有创压力测压范围： -40至320mmHg。</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jc w:val="left"/>
              <w:rPr>
                <w:rFonts w:hint="default" w:cs="Times New Roman" w:asciiTheme="majorEastAsia" w:hAnsiTheme="majorEastAsia" w:eastAsiaTheme="minorEastAsia"/>
                <w:kern w:val="0"/>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rPr>
              <w:t>4</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屏幕上可设置“重叠波形显示区域”，在此区域内，可选择不同波形进行重叠显示。便于临床工作人将各种参数波形进行比较，并可更好地发现并定位各类临床事件发生的先后顺序</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85612604"/>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7B009FA"/>
    <w:rsid w:val="0F28678F"/>
    <w:rsid w:val="1D1D420F"/>
    <w:rsid w:val="2043513B"/>
    <w:rsid w:val="245B383E"/>
    <w:rsid w:val="25D16756"/>
    <w:rsid w:val="2B71600A"/>
    <w:rsid w:val="352B451D"/>
    <w:rsid w:val="3D267F68"/>
    <w:rsid w:val="4ACC6672"/>
    <w:rsid w:val="4F404A6A"/>
    <w:rsid w:val="61B37BA7"/>
    <w:rsid w:val="63B9587A"/>
    <w:rsid w:val="64975810"/>
    <w:rsid w:val="75A01EFA"/>
    <w:rsid w:val="7730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2</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2020-12-17T08:00:31Z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