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SZ（双重）学科建设设备（1）（第三次）</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2020-XNYY-YQ-146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关于SZ（双重）学科建设设备（1）（第三次）的采购</w:t>
      </w:r>
      <w:r>
        <w:rPr>
          <w:rFonts w:ascii="Tahoma" w:hAnsi="Tahoma" w:cs="Tahoma"/>
          <w:b/>
          <w:bCs/>
          <w:kern w:val="0"/>
          <w:sz w:val="28"/>
          <w:szCs w:val="28"/>
        </w:rPr>
        <w:t>公告</w:t>
      </w:r>
      <w:r>
        <w:rPr>
          <w:rFonts w:hint="eastAsia" w:ascii="Tahoma" w:hAnsi="Tahoma" w:cs="Tahoma"/>
          <w:kern w:val="0"/>
          <w:sz w:val="28"/>
          <w:szCs w:val="28"/>
        </w:rPr>
        <w:t>2020-XNYY-YQ-146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SZ（双重）学科建设设备（1）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太赫磁辐射源</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2021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太赫磁辐射源</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hint="eastAsia" w:cs="Times New Roman" w:asciiTheme="minorEastAsia" w:hAnsiTheme="minorEastAsia"/>
          <w:b w:val="0"/>
          <w:bCs w:val="0"/>
          <w:kern w:val="0"/>
          <w:sz w:val="24"/>
          <w:szCs w:val="24"/>
          <w:lang w:val="zh-CN"/>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bookmarkStart w:id="26" w:name="_GoBack"/>
      <w:bookmarkEnd w:id="26"/>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85612601"/>
      <w:bookmarkStart w:id="11" w:name="_Toc435540980"/>
      <w:bookmarkStart w:id="12" w:name="_Toc37780285"/>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210134167"/>
              </w:rPr>
              <w:t>单位名</w:t>
            </w:r>
            <w:r>
              <w:rPr>
                <w:rFonts w:hint="eastAsia" w:ascii="宋体" w:hAnsi="宋体" w:eastAsia="宋体" w:cs="Times New Roman"/>
                <w:bCs/>
                <w:spacing w:val="0"/>
                <w:kern w:val="0"/>
                <w:szCs w:val="21"/>
                <w:fitText w:val="1170" w:id="1210134167"/>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90713970"/>
      <w:bookmarkStart w:id="21" w:name="_Toc37172691"/>
      <w:bookmarkStart w:id="22" w:name="_Toc435540982"/>
      <w:bookmarkStart w:id="23" w:name="_Toc240432233"/>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before="156" w:beforeLines="50" w:line="240" w:lineRule="atLeast"/>
        <w:jc w:val="center"/>
        <w:rPr>
          <w:rFonts w:ascii="宋体" w:hAnsi="宋体" w:cs="宋体"/>
          <w:bCs/>
          <w:kern w:val="0"/>
          <w:sz w:val="44"/>
          <w:szCs w:val="44"/>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太赫磁辐射源</w:t>
      </w:r>
    </w:p>
    <w:tbl>
      <w:tblPr>
        <w:tblStyle w:val="17"/>
        <w:tblW w:w="9305" w:type="dxa"/>
        <w:tblInd w:w="-294" w:type="dxa"/>
        <w:tblLayout w:type="fixed"/>
        <w:tblCellMar>
          <w:top w:w="0" w:type="dxa"/>
          <w:left w:w="108" w:type="dxa"/>
          <w:bottom w:w="0" w:type="dxa"/>
          <w:right w:w="108" w:type="dxa"/>
        </w:tblCellMar>
      </w:tblPr>
      <w:tblGrid>
        <w:gridCol w:w="1111"/>
        <w:gridCol w:w="2595"/>
        <w:gridCol w:w="4356"/>
        <w:gridCol w:w="1243"/>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595"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35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243"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373"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35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51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356" w:type="dxa"/>
            <w:tcBorders>
              <w:top w:val="nil"/>
              <w:left w:val="nil"/>
              <w:bottom w:val="single" w:color="auto" w:sz="4" w:space="0"/>
              <w:right w:val="single" w:color="auto" w:sz="4" w:space="0"/>
            </w:tcBorders>
          </w:tcPr>
          <w:p>
            <w:pPr>
              <w:adjustRightInd w:val="0"/>
              <w:snapToGrid w:val="0"/>
              <w:spacing w:before="156" w:beforeLines="50" w:line="240" w:lineRule="atLeast"/>
              <w:rPr>
                <w:rFonts w:cs="宋体" w:asciiTheme="majorEastAsia" w:hAnsiTheme="majorEastAsia" w:eastAsiaTheme="majorEastAsia"/>
                <w:kern w:val="0"/>
              </w:rPr>
            </w:pPr>
            <w:r>
              <w:rPr>
                <w:rFonts w:cs="宋体" w:asciiTheme="majorEastAsia" w:hAnsiTheme="majorEastAsia" w:eastAsiaTheme="majorEastAsia"/>
                <w:kern w:val="0"/>
              </w:rPr>
              <w:t>用于</w:t>
            </w:r>
            <w:r>
              <w:rPr>
                <w:rFonts w:hint="eastAsia" w:cs="宋体" w:asciiTheme="majorEastAsia" w:hAnsiTheme="majorEastAsia" w:eastAsiaTheme="majorEastAsia"/>
                <w:kern w:val="0"/>
              </w:rPr>
              <w:t>产生高功率太赫兹信号，辐照生物样品观察其生物效应</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实验对象</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细胞、细菌等生物样本</w:t>
            </w: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特殊功能需求</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356"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b/>
                <w:bCs/>
              </w:rPr>
            </w:pPr>
          </w:p>
        </w:tc>
      </w:tr>
      <w:tr>
        <w:tblPrEx>
          <w:tblCellMar>
            <w:top w:w="0" w:type="dxa"/>
            <w:left w:w="108" w:type="dxa"/>
            <w:bottom w:w="0" w:type="dxa"/>
            <w:right w:w="108" w:type="dxa"/>
          </w:tblCellMar>
        </w:tblPrEx>
        <w:trPr>
          <w:trHeight w:val="44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356" w:type="dxa"/>
            <w:tcBorders>
              <w:top w:val="nil"/>
              <w:left w:val="nil"/>
              <w:bottom w:val="single" w:color="auto" w:sz="4" w:space="0"/>
              <w:right w:val="single" w:color="auto" w:sz="4" w:space="0"/>
            </w:tcBorders>
            <w:vAlign w:val="center"/>
          </w:tcPr>
          <w:p>
            <w:pPr>
              <w:jc w:val="left"/>
              <w:rPr>
                <w:rFonts w:cs="Times New Roman" w:asciiTheme="majorEastAsia" w:hAnsiTheme="majorEastAsia" w:eastAsiaTheme="majorEastAsia"/>
              </w:rPr>
            </w:pPr>
            <w:r>
              <w:rPr>
                <w:rFonts w:hint="eastAsia"/>
              </w:rPr>
              <w:t>输出频率：1</w:t>
            </w:r>
            <w:r>
              <w:t xml:space="preserve">40 </w:t>
            </w:r>
            <w:r>
              <w:rPr>
                <w:rFonts w:hint="eastAsia"/>
              </w:rPr>
              <w:t>GHz±</w:t>
            </w:r>
            <w:r>
              <w:t>5</w:t>
            </w:r>
            <w:r>
              <w:rPr>
                <w:rFonts w:hint="eastAsia"/>
              </w:rPr>
              <w:t>GHz</w:t>
            </w: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356" w:type="dxa"/>
            <w:tcBorders>
              <w:top w:val="single" w:color="auto" w:sz="4" w:space="0"/>
              <w:left w:val="nil"/>
              <w:bottom w:val="single" w:color="auto" w:sz="4" w:space="0"/>
              <w:right w:val="single" w:color="auto" w:sz="4" w:space="0"/>
            </w:tcBorders>
            <w:vAlign w:val="center"/>
          </w:tcPr>
          <w:p>
            <w:pPr>
              <w:jc w:val="left"/>
              <w:rPr>
                <w:rFonts w:asciiTheme="majorEastAsia" w:hAnsiTheme="majorEastAsia" w:eastAsiaTheme="majorEastAsia"/>
              </w:rPr>
            </w:pPr>
            <w:r>
              <w:rPr>
                <w:rFonts w:hint="eastAsia"/>
              </w:rPr>
              <w:t>输出功率：≥180 mW</w:t>
            </w:r>
          </w:p>
        </w:tc>
        <w:tc>
          <w:tcPr>
            <w:tcW w:w="1243" w:type="dxa"/>
            <w:tcBorders>
              <w:top w:val="single" w:color="auto" w:sz="4" w:space="0"/>
              <w:left w:val="nil"/>
              <w:bottom w:val="single" w:color="auto" w:sz="4" w:space="0"/>
              <w:right w:val="single" w:color="auto" w:sz="8" w:space="0"/>
            </w:tcBorders>
            <w:vAlign w:val="center"/>
          </w:tcPr>
          <w:p>
            <w:pPr>
              <w:rPr>
                <w:rFonts w:hint="eastAsia" w:cs="宋体" w:asciiTheme="majorEastAsia" w:hAnsiTheme="majorEastAsia" w:eastAsiaTheme="majorEastAsia"/>
                <w:lang w:val="en-US" w:eastAsia="zh-CN"/>
              </w:rPr>
            </w:pPr>
            <w:r>
              <w:rPr>
                <w:rFonts w:hint="eastAsia" w:eastAsiaTheme="majorEastAsia"/>
                <w:lang w:val="en-US" w:eastAsia="zh-CN"/>
              </w:rPr>
              <w:t xml:space="preserve"> </w:t>
            </w: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3</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调制频率：1 Hz-10 kHz</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4</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zh-CN"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4</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 xml:space="preserve"> IMAPTT 雪崩二极管技术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5</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5</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喇叭天线：增益2</w:t>
            </w:r>
            <w:r>
              <w:rPr>
                <w:rFonts w:cs="Times New Roman" w:asciiTheme="majorEastAsia" w:hAnsiTheme="majorEastAsia" w:eastAsiaTheme="majorEastAsia"/>
                <w:kern w:val="0"/>
              </w:rPr>
              <w:t xml:space="preserve">5 </w:t>
            </w:r>
            <w:r>
              <w:rPr>
                <w:rFonts w:hint="eastAsia" w:cs="Times New Roman" w:asciiTheme="majorEastAsia" w:hAnsiTheme="majorEastAsia" w:eastAsiaTheme="majorEastAsia"/>
                <w:kern w:val="0"/>
              </w:rPr>
              <w:t>dB</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6</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配带保护隔离器提高稳定性</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7</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7</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TTL 调制，1us 上升/下降沿时间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487"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8</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喇叭天线长度：≥2</w:t>
            </w:r>
            <w:r>
              <w:rPr>
                <w:rFonts w:cs="Times New Roman" w:asciiTheme="majorEastAsia" w:hAnsiTheme="majorEastAsia" w:eastAsiaTheme="majorEastAsia"/>
                <w:kern w:val="0"/>
              </w:rPr>
              <w:t xml:space="preserve">9 </w:t>
            </w:r>
            <w:r>
              <w:rPr>
                <w:rFonts w:hint="eastAsia" w:cs="Times New Roman" w:asciiTheme="majorEastAsia" w:hAnsiTheme="majorEastAsia" w:eastAsiaTheme="majorEastAsia"/>
                <w:kern w:val="0"/>
              </w:rPr>
              <w:t>mm</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1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9</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9</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重量</w:t>
            </w:r>
            <w:r>
              <w:rPr>
                <w:rFonts w:hint="eastAsia" w:cs="Times New Roman" w:asciiTheme="majorEastAsia" w:hAnsiTheme="majorEastAsia" w:eastAsiaTheme="majorEastAsia"/>
                <w:kern w:val="0"/>
                <w:lang w:eastAsia="zh-CN"/>
              </w:rPr>
              <w:t>≤</w:t>
            </w:r>
            <w:r>
              <w:rPr>
                <w:rFonts w:hint="eastAsia" w:cs="Times New Roman" w:asciiTheme="majorEastAsia" w:hAnsiTheme="majorEastAsia" w:eastAsiaTheme="majorEastAsia"/>
                <w:kern w:val="0"/>
              </w:rPr>
              <w:t>3.5 kg</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10</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调制电压：+5V，方波调制</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31"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11</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调制连接头：BNC</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高功率太赫兹辐射系统</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太赫兹聚焦光路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b/>
                <w:bCs/>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rPr>
              <w:t>≥</w:t>
            </w:r>
            <w:r>
              <w:rPr>
                <w:rFonts w:hint="eastAsia"/>
                <w:lang w:val="en-US" w:eastAsia="zh-CN"/>
              </w:rPr>
              <w:t>3</w:t>
            </w:r>
            <w:r>
              <w:rPr>
                <w:rFonts w:cs="Times New Roman" w:asciiTheme="majorEastAsia" w:hAnsiTheme="majorEastAsia" w:eastAsiaTheme="majorEastAsia"/>
                <w:kern w:val="0"/>
              </w:rPr>
              <w:t>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6小时（本地）</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维修到达现场时间≤24小时（外地）</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5C3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A5A57"/>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2FF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37D7BFB"/>
    <w:rsid w:val="046C494D"/>
    <w:rsid w:val="09375029"/>
    <w:rsid w:val="0BEE6F0F"/>
    <w:rsid w:val="153227F0"/>
    <w:rsid w:val="17CC04BB"/>
    <w:rsid w:val="190973B4"/>
    <w:rsid w:val="217C790D"/>
    <w:rsid w:val="229647A9"/>
    <w:rsid w:val="23F7139B"/>
    <w:rsid w:val="2FD07A0F"/>
    <w:rsid w:val="31347C05"/>
    <w:rsid w:val="34F02DB7"/>
    <w:rsid w:val="37047811"/>
    <w:rsid w:val="3A084D6B"/>
    <w:rsid w:val="3BED7056"/>
    <w:rsid w:val="3FD04CAA"/>
    <w:rsid w:val="4624069A"/>
    <w:rsid w:val="4DA37C1A"/>
    <w:rsid w:val="50C23962"/>
    <w:rsid w:val="56545539"/>
    <w:rsid w:val="625D3211"/>
    <w:rsid w:val="62CB330C"/>
    <w:rsid w:val="656F7344"/>
    <w:rsid w:val="659C4D8A"/>
    <w:rsid w:val="674D7FE9"/>
    <w:rsid w:val="69A04336"/>
    <w:rsid w:val="6F770516"/>
    <w:rsid w:val="6FAC3495"/>
    <w:rsid w:val="76E74B0D"/>
    <w:rsid w:val="7BC4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2021-04-15T10:46:17Z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329F478DECDE4B1E82643B35F7FCFF98</vt:lpwstr>
  </property>
</Properties>
</file>