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化学传感器实拟分析仪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2020-JL13(03)-W10023</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579"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关于化学传感器实拟分析仪的采购</w:t>
      </w:r>
      <w:r>
        <w:rPr>
          <w:rFonts w:ascii="Tahoma" w:hAnsi="Tahoma" w:cs="Tahoma"/>
          <w:b/>
          <w:bCs/>
          <w:kern w:val="0"/>
          <w:sz w:val="28"/>
          <w:szCs w:val="28"/>
        </w:rPr>
        <w:t>公告</w:t>
      </w:r>
      <w:r>
        <w:rPr>
          <w:rFonts w:ascii="Tahoma" w:hAnsi="Tahoma" w:cs="Tahoma"/>
          <w:kern w:val="0"/>
          <w:sz w:val="28"/>
          <w:szCs w:val="28"/>
        </w:rPr>
        <w:t>2020-JL13(03)-W10023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化学传感器实拟分析仪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化学传感器</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实拟分析仪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9</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rPr>
        <w:t>21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关于化学传感器实拟分析仪采购</w:t>
      </w:r>
      <w:r>
        <w:rPr>
          <w:rFonts w:hint="eastAsia" w:ascii="Tahoma" w:hAnsi="Tahoma" w:cs="Tahoma"/>
          <w:b/>
          <w:bCs/>
          <w:kern w:val="0"/>
          <w:sz w:val="28"/>
          <w:szCs w:val="28"/>
          <w:lang w:eastAsia="zh-CN"/>
        </w:rPr>
        <w:t>情况再次公示</w:t>
      </w:r>
    </w:p>
    <w:p>
      <w:pPr>
        <w:adjustRightInd w:val="0"/>
        <w:snapToGrid w:val="0"/>
        <w:spacing w:line="440" w:lineRule="exact"/>
        <w:jc w:val="center"/>
        <w:rPr>
          <w:rFonts w:ascii="Tahoma" w:hAnsi="Tahoma" w:cs="Tahoma"/>
          <w:b/>
          <w:bCs/>
          <w:kern w:val="0"/>
          <w:sz w:val="28"/>
          <w:szCs w:val="28"/>
        </w:rPr>
      </w:pPr>
      <w:r>
        <w:rPr>
          <w:rFonts w:ascii="Tahoma" w:hAnsi="Tahoma" w:cs="Tahoma"/>
          <w:kern w:val="0"/>
          <w:sz w:val="28"/>
          <w:szCs w:val="28"/>
        </w:rPr>
        <w:t>2020-JL13(03)-W10023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我院化学传感器实拟分析仪采购项目经网上公告至报名截止时间为止合格报名供应商不足三家，现仍接受供应商报名：</w:t>
      </w:r>
      <w:bookmarkStart w:id="24" w:name="_GoBack"/>
      <w:bookmarkEnd w:id="24"/>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化学传感器实拟分析仪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化学传感器</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实拟分析仪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ind w:firstLine="4851" w:firstLineChars="2100"/>
      </w:pPr>
      <w:r>
        <w:rPr>
          <w:rFonts w:hint="eastAsia" w:cs="Times New Roman" w:asciiTheme="minorEastAsia" w:hAnsiTheme="minorEastAsia"/>
          <w:kern w:val="0"/>
          <w:sz w:val="24"/>
          <w:szCs w:val="24"/>
        </w:rPr>
        <w:t xml:space="preserve">2020 年 </w:t>
      </w:r>
      <w:r>
        <w:rPr>
          <w:rFonts w:hint="eastAsia" w:cs="Times New Roman" w:asciiTheme="minorEastAsia" w:hAnsiTheme="minorEastAsia"/>
          <w:color w:val="FF0000"/>
          <w:kern w:val="0"/>
          <w:sz w:val="24"/>
          <w:szCs w:val="24"/>
        </w:rPr>
        <w:t>9</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30</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szCs w:val="21"/>
              </w:rPr>
              <w:t>化学传感器实拟分析仪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化学传感器实拟分析仪技术要求</w:t>
      </w:r>
    </w:p>
    <w:tbl>
      <w:tblPr>
        <w:tblStyle w:val="17"/>
        <w:tblW w:w="9305" w:type="dxa"/>
        <w:tblInd w:w="-294" w:type="dxa"/>
        <w:tblLayout w:type="fixed"/>
        <w:tblCellMar>
          <w:top w:w="0" w:type="dxa"/>
          <w:left w:w="108" w:type="dxa"/>
          <w:bottom w:w="0" w:type="dxa"/>
          <w:right w:w="108" w:type="dxa"/>
        </w:tblCellMar>
      </w:tblPr>
      <w:tblGrid>
        <w:gridCol w:w="1111"/>
        <w:gridCol w:w="2410"/>
        <w:gridCol w:w="4252"/>
        <w:gridCol w:w="153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序号</w:t>
            </w:r>
          </w:p>
        </w:tc>
        <w:tc>
          <w:tcPr>
            <w:tcW w:w="2410"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技术和性能参数名称</w:t>
            </w:r>
          </w:p>
        </w:tc>
        <w:tc>
          <w:tcPr>
            <w:tcW w:w="4252"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技术参数和性能要求</w:t>
            </w:r>
          </w:p>
        </w:tc>
        <w:tc>
          <w:tcPr>
            <w:tcW w:w="1532" w:type="dxa"/>
            <w:tcBorders>
              <w:top w:val="single" w:color="auto" w:sz="8" w:space="0"/>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备注</w:t>
            </w:r>
          </w:p>
        </w:tc>
      </w:tr>
      <w:tr>
        <w:tblPrEx>
          <w:tblCellMar>
            <w:top w:w="0" w:type="dxa"/>
            <w:left w:w="108" w:type="dxa"/>
            <w:bottom w:w="0" w:type="dxa"/>
            <w:right w:w="108" w:type="dxa"/>
          </w:tblCellMar>
        </w:tblPrEx>
        <w:trPr>
          <w:trHeight w:val="713"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1</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设备使用需求</w:t>
            </w:r>
          </w:p>
        </w:tc>
        <w:tc>
          <w:tcPr>
            <w:tcW w:w="4252" w:type="dxa"/>
            <w:tcBorders>
              <w:top w:val="nil"/>
              <w:left w:val="nil"/>
              <w:bottom w:val="single" w:color="auto" w:sz="4" w:space="0"/>
              <w:right w:val="single" w:color="auto" w:sz="4" w:space="0"/>
            </w:tcBorders>
            <w:vAlign w:val="center"/>
          </w:tcPr>
          <w:p>
            <w:pPr>
              <w:ind w:firstLine="342" w:firstLineChars="200"/>
              <w:rPr>
                <w:rFonts w:ascii="宋体" w:hAnsi="宋体" w:cs="宋体"/>
                <w:color w:val="000000"/>
                <w:sz w:val="18"/>
                <w:szCs w:val="18"/>
              </w:rPr>
            </w:pPr>
          </w:p>
          <w:p>
            <w:pPr>
              <w:widowControl/>
              <w:jc w:val="center"/>
              <w:rPr>
                <w:rFonts w:asciiTheme="majorEastAsia" w:hAnsiTheme="majorEastAsia" w:eastAsiaTheme="majorEastAsia"/>
                <w:b/>
                <w:bCs/>
                <w:kern w:val="0"/>
              </w:rPr>
            </w:pP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rPr>
          <w:trHeight w:val="9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1.1</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设备用途</w:t>
            </w:r>
          </w:p>
        </w:tc>
        <w:tc>
          <w:tcPr>
            <w:tcW w:w="4252" w:type="dxa"/>
            <w:tcBorders>
              <w:top w:val="nil"/>
              <w:left w:val="nil"/>
              <w:bottom w:val="single" w:color="auto" w:sz="4" w:space="0"/>
              <w:right w:val="single" w:color="auto" w:sz="4" w:space="0"/>
            </w:tcBorders>
            <w:vAlign w:val="center"/>
          </w:tcPr>
          <w:p>
            <w:pPr>
              <w:adjustRightInd w:val="0"/>
              <w:snapToGrid w:val="0"/>
              <w:spacing w:before="289" w:beforeLines="50" w:line="360" w:lineRule="exact"/>
              <w:rPr>
                <w:rFonts w:asciiTheme="majorEastAsia" w:hAnsiTheme="majorEastAsia" w:eastAsiaTheme="majorEastAsia"/>
                <w:szCs w:val="21"/>
              </w:rPr>
            </w:pPr>
            <w:r>
              <w:rPr>
                <w:rFonts w:hint="eastAsia" w:asciiTheme="majorEastAsia" w:hAnsiTheme="majorEastAsia" w:eastAsiaTheme="majorEastAsia"/>
                <w:szCs w:val="21"/>
              </w:rPr>
              <w:t>仪器适合于一般电分析应用，传感器研究等。适合野外现场测试以及教学实验等。</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1.2</w:t>
            </w:r>
          </w:p>
        </w:tc>
        <w:tc>
          <w:tcPr>
            <w:tcW w:w="241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heme="majorEastAsia" w:hAnsiTheme="majorEastAsia" w:eastAsiaTheme="majorEastAsia"/>
                <w:color w:val="000000"/>
                <w:kern w:val="0"/>
              </w:rPr>
            </w:pPr>
            <w:r>
              <w:rPr>
                <w:rFonts w:asciiTheme="majorEastAsia" w:hAnsiTheme="majorEastAsia" w:eastAsiaTheme="majorEastAsia"/>
                <w:color w:val="000000"/>
                <w:kern w:val="0"/>
              </w:rPr>
              <w:t>实验对象</w:t>
            </w:r>
          </w:p>
        </w:tc>
        <w:tc>
          <w:tcPr>
            <w:tcW w:w="4252"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289" w:beforeLines="50" w:line="360" w:lineRule="exact"/>
              <w:rPr>
                <w:rFonts w:asciiTheme="majorEastAsia" w:hAnsiTheme="majorEastAsia" w:eastAsiaTheme="majorEastAsia"/>
                <w:szCs w:val="21"/>
              </w:rPr>
            </w:pPr>
            <w:r>
              <w:rPr>
                <w:rFonts w:hint="eastAsia" w:asciiTheme="majorEastAsia" w:hAnsiTheme="majorEastAsia" w:eastAsiaTheme="majorEastAsia"/>
                <w:szCs w:val="21"/>
              </w:rPr>
              <w:t>科研</w:t>
            </w:r>
          </w:p>
        </w:tc>
        <w:tc>
          <w:tcPr>
            <w:tcW w:w="1532"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2</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主要技术参数</w:t>
            </w:r>
            <w:r>
              <w:rPr>
                <w:rFonts w:asciiTheme="majorEastAsia" w:hAnsiTheme="majorEastAsia" w:eastAsiaTheme="majorEastAsia"/>
                <w:b/>
                <w:bCs/>
                <w:kern w:val="0"/>
              </w:rPr>
              <w:br w:type="textWrapping"/>
            </w:r>
            <w:r>
              <w:rPr>
                <w:rFonts w:asciiTheme="majorEastAsia" w:hAnsiTheme="majorEastAsia" w:eastAsiaTheme="majorEastAsia"/>
                <w:b/>
                <w:bCs/>
                <w:kern w:val="0"/>
              </w:rPr>
              <w:t>（一行只写一个参数）</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p>
        </w:tc>
        <w:tc>
          <w:tcPr>
            <w:tcW w:w="1532" w:type="dxa"/>
            <w:tcBorders>
              <w:top w:val="nil"/>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★参数1</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电位范围: -0.5 V - 5.0 V</w:t>
            </w:r>
          </w:p>
        </w:tc>
        <w:tc>
          <w:tcPr>
            <w:tcW w:w="1532" w:type="dxa"/>
            <w:tcBorders>
              <w:top w:val="nil"/>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2.2</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★参数2</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槽压: 0 - 11 V</w:t>
            </w:r>
          </w:p>
        </w:tc>
        <w:tc>
          <w:tcPr>
            <w:tcW w:w="1532"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2.3</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★参数3</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单通道电流范围: 0 - 50 mA，双通道电流: 0 - 35 mA</w:t>
            </w:r>
          </w:p>
        </w:tc>
        <w:tc>
          <w:tcPr>
            <w:tcW w:w="1532" w:type="dxa"/>
            <w:tcBorders>
              <w:top w:val="single" w:color="auto" w:sz="4" w:space="0"/>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2.4</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w:t>
            </w:r>
            <w:r>
              <w:rPr>
                <w:rFonts w:asciiTheme="majorEastAsia" w:hAnsiTheme="majorEastAsia" w:eastAsiaTheme="majorEastAsia"/>
                <w:kern w:val="0"/>
              </w:rPr>
              <w:t>参数4</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参比电极输入阻抗:≥ 1×10</w:t>
            </w:r>
            <w:r>
              <w:rPr>
                <w:rFonts w:hint="eastAsia" w:asciiTheme="majorEastAsia" w:hAnsiTheme="majorEastAsia" w:eastAsiaTheme="majorEastAsia"/>
                <w:kern w:val="0"/>
                <w:szCs w:val="21"/>
                <w:vertAlign w:val="superscript"/>
              </w:rPr>
              <w:t>12</w:t>
            </w:r>
            <w:r>
              <w:rPr>
                <w:rFonts w:hint="eastAsia" w:asciiTheme="majorEastAsia" w:hAnsiTheme="majorEastAsia" w:eastAsiaTheme="majorEastAsia"/>
                <w:kern w:val="0"/>
                <w:szCs w:val="21"/>
              </w:rPr>
              <w:t>Ω</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2.5</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rPr>
            </w:pPr>
            <w:r>
              <w:rPr>
                <w:rFonts w:hint="eastAsia" w:asciiTheme="majorEastAsia" w:hAnsiTheme="majorEastAsia" w:eastAsiaTheme="majorEastAsia"/>
                <w:kern w:val="0"/>
              </w:rPr>
              <w:t>▲</w:t>
            </w:r>
            <w:r>
              <w:rPr>
                <w:rFonts w:asciiTheme="majorEastAsia" w:hAnsiTheme="majorEastAsia" w:eastAsiaTheme="majorEastAsia"/>
                <w:kern w:val="0"/>
              </w:rPr>
              <w:t>参数5</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灵敏度量程: 1×10</w:t>
            </w:r>
            <w:r>
              <w:rPr>
                <w:rFonts w:hint="eastAsia" w:asciiTheme="majorEastAsia" w:hAnsiTheme="majorEastAsia" w:eastAsiaTheme="majorEastAsia"/>
                <w:kern w:val="0"/>
                <w:szCs w:val="21"/>
                <w:vertAlign w:val="superscript"/>
              </w:rPr>
              <w:t>-9</w:t>
            </w:r>
            <w:r>
              <w:rPr>
                <w:rFonts w:hint="eastAsia" w:asciiTheme="majorEastAsia" w:hAnsiTheme="majorEastAsia" w:eastAsiaTheme="majorEastAsia"/>
                <w:kern w:val="0"/>
                <w:szCs w:val="21"/>
              </w:rPr>
              <w:t> - 0.01 A/V至少八档</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0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2.6</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▲参数6</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输入偏置电流: ≦10 pA</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5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2.7</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参数7</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电流测量分辨率: ≦1 pA</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3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8</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asciiTheme="majorEastAsia" w:hAnsiTheme="majorEastAsia" w:eastAsiaTheme="majorEastAsia"/>
                <w:kern w:val="0"/>
              </w:rPr>
              <w:t>参数</w:t>
            </w:r>
            <w:r>
              <w:rPr>
                <w:rFonts w:hint="eastAsia" w:asciiTheme="majorEastAsia" w:hAnsiTheme="majorEastAsia" w:eastAsiaTheme="majorEastAsia"/>
                <w:kern w:val="0"/>
              </w:rPr>
              <w:t>8</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数据采集格式: 16位 @100 kHz</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9</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rPr>
            </w:pPr>
            <w:r>
              <w:rPr>
                <w:rFonts w:asciiTheme="majorEastAsia" w:hAnsiTheme="majorEastAsia" w:eastAsiaTheme="majorEastAsia"/>
                <w:kern w:val="0"/>
              </w:rPr>
              <w:t>参数</w:t>
            </w:r>
            <w:r>
              <w:rPr>
                <w:rFonts w:hint="eastAsia" w:asciiTheme="majorEastAsia" w:hAnsiTheme="majorEastAsia" w:eastAsiaTheme="majorEastAsia"/>
                <w:kern w:val="0"/>
              </w:rPr>
              <w:t>9</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循环伏安法（CV）和线性扫描伏安法（LSV）扫描速度: 0.000001 - 10 V/s</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10</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rPr>
            </w:pPr>
            <w:r>
              <w:rPr>
                <w:rFonts w:asciiTheme="majorEastAsia" w:hAnsiTheme="majorEastAsia" w:eastAsiaTheme="majorEastAsia"/>
                <w:kern w:val="0"/>
              </w:rPr>
              <w:t>参数</w:t>
            </w:r>
            <w:r>
              <w:rPr>
                <w:rFonts w:hint="eastAsia" w:asciiTheme="majorEastAsia" w:hAnsiTheme="majorEastAsia" w:eastAsiaTheme="majorEastAsia"/>
                <w:kern w:val="0"/>
              </w:rPr>
              <w:t>10</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计时电流法（CA）和计时电量法（CC）脉冲宽度: 0.001 - 1000 s</w:t>
            </w:r>
          </w:p>
        </w:tc>
        <w:tc>
          <w:tcPr>
            <w:tcW w:w="1532" w:type="dxa"/>
            <w:tcBorders>
              <w:top w:val="single" w:color="auto" w:sz="4" w:space="0"/>
              <w:left w:val="nil"/>
              <w:bottom w:val="single" w:color="auto" w:sz="4" w:space="0"/>
              <w:right w:val="single" w:color="auto" w:sz="8"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11</w:t>
            </w:r>
          </w:p>
        </w:tc>
        <w:tc>
          <w:tcPr>
            <w:tcW w:w="241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rPr>
            </w:pPr>
            <w:r>
              <w:rPr>
                <w:rFonts w:asciiTheme="majorEastAsia" w:hAnsiTheme="majorEastAsia" w:eastAsiaTheme="majorEastAsia"/>
                <w:kern w:val="0"/>
              </w:rPr>
              <w:t>参数</w:t>
            </w:r>
            <w:r>
              <w:rPr>
                <w:rFonts w:hint="eastAsia" w:asciiTheme="majorEastAsia" w:hAnsiTheme="majorEastAsia" w:eastAsiaTheme="majorEastAsia"/>
                <w:kern w:val="0"/>
              </w:rPr>
              <w:t>11</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计时电流法（CA）和计时电量法（CC）: 1 - 320</w:t>
            </w:r>
          </w:p>
        </w:tc>
        <w:tc>
          <w:tcPr>
            <w:tcW w:w="1532" w:type="dxa"/>
            <w:tcBorders>
              <w:top w:val="nil"/>
              <w:left w:val="nil"/>
              <w:bottom w:val="single" w:color="auto" w:sz="4" w:space="0"/>
              <w:right w:val="single" w:color="auto" w:sz="8"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r>
              <w:rPr>
                <w:rFonts w:hint="eastAsia" w:asciiTheme="majorEastAsia" w:hAnsiTheme="majorEastAsia" w:eastAsiaTheme="majorEastAsia"/>
                <w:kern w:val="0"/>
              </w:rPr>
              <w:t>2</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kern w:val="0"/>
              </w:rPr>
            </w:pPr>
            <w:r>
              <w:rPr>
                <w:rFonts w:asciiTheme="majorEastAsia" w:hAnsiTheme="majorEastAsia" w:eastAsiaTheme="majorEastAsia"/>
                <w:kern w:val="0"/>
              </w:rPr>
              <w:t>参数1</w:t>
            </w:r>
            <w:r>
              <w:rPr>
                <w:rFonts w:hint="eastAsia" w:asciiTheme="majorEastAsia" w:hAnsiTheme="majorEastAsia" w:eastAsiaTheme="majorEastAsia"/>
                <w:kern w:val="0"/>
              </w:rPr>
              <w:t>2</w:t>
            </w:r>
          </w:p>
        </w:tc>
        <w:tc>
          <w:tcPr>
            <w:tcW w:w="425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差分脉冲伏安法（DPV）和常规脉冲伏安法（NPV）脉冲宽度: 0.001 - 10 s</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5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r>
              <w:rPr>
                <w:rFonts w:hint="eastAsia" w:asciiTheme="majorEastAsia" w:hAnsiTheme="majorEastAsia" w:eastAsiaTheme="majorEastAsia"/>
                <w:kern w:val="0"/>
              </w:rPr>
              <w:t>3</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asciiTheme="majorEastAsia" w:hAnsiTheme="majorEastAsia" w:eastAsiaTheme="majorEastAsia"/>
                <w:kern w:val="0"/>
              </w:rPr>
              <w:t>参数1</w:t>
            </w:r>
            <w:r>
              <w:rPr>
                <w:rFonts w:hint="eastAsia" w:asciiTheme="majorEastAsia" w:hAnsiTheme="majorEastAsia" w:eastAsiaTheme="majorEastAsia"/>
                <w:kern w:val="0"/>
              </w:rPr>
              <w:t>3</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方波伏安法（SWV）频率: 1 - 5000 Hz</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95"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r>
              <w:rPr>
                <w:rFonts w:hint="eastAsia" w:asciiTheme="majorEastAsia" w:hAnsiTheme="majorEastAsia" w:eastAsiaTheme="majorEastAsia"/>
                <w:kern w:val="0"/>
              </w:rPr>
              <w:t>4</w:t>
            </w:r>
          </w:p>
        </w:tc>
        <w:tc>
          <w:tcPr>
            <w:tcW w:w="2410" w:type="dxa"/>
            <w:tcBorders>
              <w:top w:val="nil"/>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asciiTheme="majorEastAsia" w:hAnsiTheme="majorEastAsia" w:eastAsiaTheme="majorEastAsia"/>
                <w:kern w:val="0"/>
              </w:rPr>
              <w:t>参数1</w:t>
            </w:r>
            <w:r>
              <w:rPr>
                <w:rFonts w:hint="eastAsia" w:asciiTheme="majorEastAsia" w:hAnsiTheme="majorEastAsia" w:eastAsiaTheme="majorEastAsia"/>
                <w:kern w:val="0"/>
              </w:rPr>
              <w:t>4</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电流测量低通滤波器</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3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2.15</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参数15</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最大数据长度: 128000点 - 4096000点可选择</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17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2.16</w:t>
            </w:r>
          </w:p>
        </w:tc>
        <w:tc>
          <w:tcPr>
            <w:tcW w:w="2410" w:type="dxa"/>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参数16</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同时满足：循环伏安法（CV）/线性扫描伏安法（LSV）/阶梯波伏安法（SCV）/计时电流法（CA）/计时电量法（CC）/差分脉冲伏安法（DPV）/常规脉冲伏安法(NPV）/差分常规脉冲伏安法(DNPV)/方波伏安法（SWV）</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hint="eastAsia" w:asciiTheme="majorEastAsia" w:hAnsiTheme="majorEastAsia" w:eastAsiaTheme="majorEastAsia"/>
                <w:bCs/>
                <w:kern w:val="0"/>
              </w:rPr>
              <w:t>2.17</w:t>
            </w:r>
          </w:p>
        </w:tc>
        <w:tc>
          <w:tcPr>
            <w:tcW w:w="2410" w:type="dxa"/>
            <w:tcBorders>
              <w:top w:val="nil"/>
              <w:left w:val="nil"/>
              <w:bottom w:val="single" w:color="auto" w:sz="4" w:space="0"/>
              <w:right w:val="single" w:color="auto" w:sz="4" w:space="0"/>
            </w:tcBorders>
            <w:vAlign w:val="center"/>
          </w:tcPr>
          <w:p>
            <w:pPr>
              <w:widowControl/>
              <w:ind w:firstLine="201" w:firstLineChars="100"/>
              <w:jc w:val="center"/>
              <w:rPr>
                <w:rFonts w:asciiTheme="majorEastAsia" w:hAnsiTheme="majorEastAsia" w:eastAsiaTheme="majorEastAsia"/>
                <w:b/>
                <w:bCs/>
                <w:kern w:val="0"/>
              </w:rPr>
            </w:pPr>
            <w:r>
              <w:rPr>
                <w:rFonts w:hint="eastAsia" w:asciiTheme="majorEastAsia" w:hAnsiTheme="majorEastAsia" w:eastAsiaTheme="majorEastAsia"/>
                <w:kern w:val="0"/>
              </w:rPr>
              <w:t>参数17</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任意反应机理循环伏安法（CV）模拟器</w:t>
            </w:r>
          </w:p>
        </w:tc>
        <w:tc>
          <w:tcPr>
            <w:tcW w:w="1532" w:type="dxa"/>
            <w:tcBorders>
              <w:top w:val="nil"/>
              <w:left w:val="nil"/>
              <w:bottom w:val="single" w:color="auto" w:sz="4" w:space="0"/>
              <w:right w:val="single" w:color="auto" w:sz="8" w:space="0"/>
            </w:tcBorders>
            <w:vAlign w:val="center"/>
          </w:tcPr>
          <w:p>
            <w:pPr>
              <w:rPr>
                <w:rFonts w:asciiTheme="majorEastAsia" w:hAnsiTheme="majorEastAsia" w:eastAsiaTheme="majorEastAsia"/>
                <w:kern w:val="0"/>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bCs/>
                <w:kern w:val="0"/>
              </w:rPr>
              <w:t>2.18</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参数18</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旋转电极控制信号（0 - 10 V）</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bCs/>
                <w:kern w:val="0"/>
              </w:rPr>
              <w:t>2.19</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参数19</w:t>
            </w:r>
          </w:p>
        </w:tc>
        <w:tc>
          <w:tcPr>
            <w:tcW w:w="4252" w:type="dxa"/>
            <w:tcBorders>
              <w:top w:val="nil"/>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开路电压-时间曲线（OCPT）</w:t>
            </w:r>
          </w:p>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多电位阶跃方法（STEP）</w:t>
            </w:r>
          </w:p>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扫描-阶跃混合方法（SSF）</w:t>
            </w:r>
          </w:p>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三脉冲电流检测（TPA）</w:t>
            </w:r>
          </w:p>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交流（含相敏）伏安法（ACV）</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3</w:t>
            </w:r>
          </w:p>
        </w:tc>
        <w:tc>
          <w:tcPr>
            <w:tcW w:w="2410"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asciiTheme="majorEastAsia" w:hAnsiTheme="majorEastAsia" w:eastAsiaTheme="majorEastAsia"/>
                <w:b/>
                <w:bCs/>
                <w:kern w:val="0"/>
              </w:rPr>
            </w:pPr>
            <w:r>
              <w:rPr>
                <w:rFonts w:asciiTheme="majorEastAsia" w:hAnsiTheme="majorEastAsia" w:eastAsiaTheme="majorEastAsia"/>
                <w:b/>
                <w:bCs/>
                <w:kern w:val="0"/>
              </w:rPr>
              <w:t>配置需求</w:t>
            </w:r>
            <w:r>
              <w:rPr>
                <w:rFonts w:asciiTheme="majorEastAsia" w:hAnsiTheme="majorEastAsia" w:eastAsiaTheme="majorEastAsia"/>
                <w:b/>
                <w:bCs/>
                <w:kern w:val="0"/>
              </w:rPr>
              <w:br w:type="textWrapping"/>
            </w:r>
            <w:r>
              <w:rPr>
                <w:rFonts w:asciiTheme="majorEastAsia" w:hAnsiTheme="majorEastAsia" w:eastAsiaTheme="majorEastAsia"/>
                <w:b/>
                <w:bCs/>
                <w:kern w:val="0"/>
              </w:rPr>
              <w:t>（一行只写一个配置）</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3.1</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配置1</w:t>
            </w:r>
          </w:p>
        </w:tc>
        <w:tc>
          <w:tcPr>
            <w:tcW w:w="4252" w:type="dxa"/>
            <w:tcBorders>
              <w:top w:val="single" w:color="auto" w:sz="4" w:space="0"/>
              <w:left w:val="nil"/>
              <w:bottom w:val="single" w:color="auto" w:sz="4" w:space="0"/>
              <w:right w:val="single" w:color="auto" w:sz="4" w:space="0"/>
            </w:tcBorders>
            <w:vAlign w:val="center"/>
          </w:tcPr>
          <w:p>
            <w:pPr>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数字信号发生器</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3.2</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配置2</w:t>
            </w:r>
          </w:p>
        </w:tc>
        <w:tc>
          <w:tcPr>
            <w:tcW w:w="4252"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ajorEastAsia" w:hAnsiTheme="majorEastAsia" w:eastAsiaTheme="majorEastAsia"/>
                <w:kern w:val="0"/>
                <w:szCs w:val="21"/>
              </w:rPr>
            </w:pPr>
            <w:r>
              <w:rPr>
                <w:rFonts w:hint="eastAsia" w:asciiTheme="majorEastAsia" w:hAnsiTheme="majorEastAsia" w:eastAsiaTheme="majorEastAsia"/>
                <w:kern w:val="0"/>
                <w:szCs w:val="21"/>
              </w:rPr>
              <w:t>数据采集系统</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3.3</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配置3</w:t>
            </w:r>
          </w:p>
        </w:tc>
        <w:tc>
          <w:tcPr>
            <w:tcW w:w="4252"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ajorEastAsia" w:hAnsiTheme="majorEastAsia" w:eastAsiaTheme="majorEastAsia"/>
                <w:kern w:val="0"/>
                <w:szCs w:val="21"/>
              </w:rPr>
            </w:pPr>
            <w:r>
              <w:rPr>
                <w:rFonts w:hint="eastAsia" w:asciiTheme="majorEastAsia" w:hAnsiTheme="majorEastAsia" w:eastAsiaTheme="majorEastAsia"/>
                <w:kern w:val="0"/>
                <w:szCs w:val="21"/>
              </w:rPr>
              <w:t>恒电位仪</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w:t>
            </w:r>
            <w:r>
              <w:rPr>
                <w:rFonts w:hint="eastAsia" w:asciiTheme="majorEastAsia" w:hAnsiTheme="majorEastAsia" w:eastAsiaTheme="majorEastAsia"/>
                <w:kern w:val="0"/>
              </w:rPr>
              <w:t>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配置</w:t>
            </w:r>
            <w:r>
              <w:rPr>
                <w:rFonts w:hint="eastAsia" w:asciiTheme="majorEastAsia" w:hAnsiTheme="majorEastAsia" w:eastAsiaTheme="majorEastAsia"/>
                <w:kern w:val="0"/>
              </w:rPr>
              <w:t>4</w:t>
            </w:r>
          </w:p>
        </w:tc>
        <w:tc>
          <w:tcPr>
            <w:tcW w:w="4252" w:type="dxa"/>
            <w:tcBorders>
              <w:top w:val="single" w:color="auto" w:sz="4" w:space="0"/>
              <w:left w:val="single" w:color="auto" w:sz="4" w:space="0"/>
              <w:bottom w:val="single" w:color="auto" w:sz="4" w:space="0"/>
              <w:right w:val="single" w:color="auto" w:sz="4" w:space="0"/>
            </w:tcBorders>
            <w:vAlign w:val="center"/>
          </w:tcPr>
          <w:p>
            <w:pPr>
              <w:pStyle w:val="46"/>
              <w:spacing w:line="360" w:lineRule="exact"/>
              <w:ind w:firstLine="0" w:firstLineChars="0"/>
              <w:rPr>
                <w:rFonts w:asciiTheme="majorEastAsia" w:hAnsiTheme="majorEastAsia" w:eastAsiaTheme="majorEastAsia"/>
                <w:kern w:val="0"/>
                <w:szCs w:val="21"/>
              </w:rPr>
            </w:pPr>
            <w:r>
              <w:rPr>
                <w:rFonts w:asciiTheme="majorEastAsia" w:hAnsiTheme="majorEastAsia" w:eastAsiaTheme="majorEastAsia"/>
                <w:kern w:val="0"/>
                <w:szCs w:val="21"/>
              </w:rPr>
              <w:t>工具配件</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售后服务</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ajorEastAsia" w:hAnsiTheme="majorEastAsia" w:eastAsiaTheme="majorEastAsia"/>
                <w:b/>
                <w:bCs/>
                <w:kern w:val="0"/>
                <w:szCs w:val="21"/>
              </w:rPr>
            </w:pP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保修年限</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w:t>
            </w:r>
            <w:r>
              <w:rPr>
                <w:rFonts w:hint="eastAsia" w:asciiTheme="majorEastAsia" w:hAnsiTheme="majorEastAsia" w:eastAsiaTheme="majorEastAsia"/>
                <w:kern w:val="0"/>
                <w:szCs w:val="21"/>
              </w:rPr>
              <w:t>3</w:t>
            </w:r>
            <w:r>
              <w:rPr>
                <w:rFonts w:asciiTheme="majorEastAsia" w:hAnsiTheme="majorEastAsia" w:eastAsiaTheme="majorEastAsia"/>
                <w:kern w:val="0"/>
                <w:szCs w:val="21"/>
              </w:rPr>
              <w:t>年</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4.2</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出现故障回应时间</w:t>
            </w:r>
          </w:p>
        </w:tc>
        <w:tc>
          <w:tcPr>
            <w:tcW w:w="4252"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维修到达现场时间≤ 6小时（本地）</w:t>
            </w:r>
            <w:r>
              <w:rPr>
                <w:rFonts w:asciiTheme="majorEastAsia" w:hAnsiTheme="majorEastAsia" w:eastAsiaTheme="majorEastAsia"/>
                <w:kern w:val="0"/>
                <w:szCs w:val="21"/>
              </w:rPr>
              <w:br w:type="textWrapping"/>
            </w:r>
            <w:r>
              <w:rPr>
                <w:rFonts w:asciiTheme="majorEastAsia" w:hAnsiTheme="majorEastAsia" w:eastAsiaTheme="majorEastAsia"/>
                <w:kern w:val="0"/>
                <w:szCs w:val="21"/>
              </w:rPr>
              <w:t>维修到达现场时间≤</w:t>
            </w:r>
            <w:r>
              <w:rPr>
                <w:rFonts w:hint="eastAsia" w:asciiTheme="majorEastAsia" w:hAnsiTheme="majorEastAsia" w:eastAsiaTheme="majorEastAsia"/>
                <w:kern w:val="0"/>
                <w:szCs w:val="21"/>
              </w:rPr>
              <w:t>48</w:t>
            </w:r>
            <w:r>
              <w:rPr>
                <w:rFonts w:asciiTheme="majorEastAsia" w:hAnsiTheme="majorEastAsia" w:eastAsiaTheme="majorEastAsia"/>
                <w:kern w:val="0"/>
                <w:szCs w:val="21"/>
              </w:rPr>
              <w:t>小时（外地）</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4.3</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维修支持</w:t>
            </w:r>
          </w:p>
        </w:tc>
        <w:tc>
          <w:tcPr>
            <w:tcW w:w="4252"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配件供应时间≥</w:t>
            </w:r>
            <w:r>
              <w:rPr>
                <w:rFonts w:hint="eastAsia" w:asciiTheme="majorEastAsia" w:hAnsiTheme="majorEastAsia" w:eastAsiaTheme="majorEastAsia"/>
                <w:kern w:val="0"/>
                <w:szCs w:val="21"/>
              </w:rPr>
              <w:t>3</w:t>
            </w:r>
            <w:r>
              <w:rPr>
                <w:rFonts w:asciiTheme="majorEastAsia" w:hAnsiTheme="majorEastAsia" w:eastAsiaTheme="majorEastAsia"/>
                <w:kern w:val="0"/>
                <w:szCs w:val="21"/>
              </w:rPr>
              <w:t>年</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4.4</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耗材及零配件</w:t>
            </w:r>
          </w:p>
        </w:tc>
        <w:tc>
          <w:tcPr>
            <w:tcW w:w="4252"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提供耗材及主要零配件目录（含报价）</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维修资料</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提供详细操作手册、维修保养手册、安装手册等</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4.6</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软件升级</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hint="eastAsia" w:asciiTheme="majorEastAsia" w:hAnsiTheme="majorEastAsia" w:eastAsiaTheme="majorEastAsia"/>
                <w:kern w:val="0"/>
                <w:szCs w:val="21"/>
              </w:rPr>
              <w:t>支持</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4.7</w:t>
            </w:r>
          </w:p>
        </w:tc>
        <w:tc>
          <w:tcPr>
            <w:tcW w:w="2410" w:type="dxa"/>
            <w:tcBorders>
              <w:top w:val="nil"/>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维修工具</w:t>
            </w:r>
          </w:p>
        </w:tc>
        <w:tc>
          <w:tcPr>
            <w:tcW w:w="4252"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提供维修专用工具1套</w:t>
            </w:r>
          </w:p>
        </w:tc>
        <w:tc>
          <w:tcPr>
            <w:tcW w:w="1532"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4.8</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预防性维修</w:t>
            </w:r>
            <w:r>
              <w:rPr>
                <w:rFonts w:asciiTheme="majorEastAsia" w:hAnsiTheme="majorEastAsia" w:eastAsiaTheme="majorEastAsia"/>
                <w:kern w:val="0"/>
              </w:rPr>
              <w:br w:type="textWrapping"/>
            </w:r>
            <w:r>
              <w:rPr>
                <w:rFonts w:asciiTheme="majorEastAsia" w:hAnsiTheme="majorEastAsia" w:eastAsiaTheme="majorEastAsia"/>
                <w:kern w:val="0"/>
              </w:rPr>
              <w:t>/定期维护保养</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保修期内提供定期维护保养服务</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w:t>
            </w:r>
            <w:r>
              <w:rPr>
                <w:rFonts w:hint="eastAsia" w:asciiTheme="majorEastAsia" w:hAnsiTheme="majorEastAsia" w:eastAsiaTheme="majorEastAsia"/>
                <w:kern w:val="0"/>
              </w:rPr>
              <w:t>9</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维修密码支持</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开放</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4.10</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使用培训</w:t>
            </w:r>
          </w:p>
        </w:tc>
        <w:tc>
          <w:tcPr>
            <w:tcW w:w="4252" w:type="dxa"/>
            <w:tcBorders>
              <w:top w:val="single" w:color="auto" w:sz="4" w:space="0"/>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r>
              <w:rPr>
                <w:rFonts w:asciiTheme="majorEastAsia" w:hAnsiTheme="majorEastAsia" w:eastAsiaTheme="majorEastAsia"/>
                <w:kern w:val="0"/>
                <w:szCs w:val="21"/>
              </w:rPr>
              <w:t>支持</w:t>
            </w:r>
          </w:p>
        </w:tc>
        <w:tc>
          <w:tcPr>
            <w:tcW w:w="1532"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435540980"/>
      <w:bookmarkStart w:id="11" w:name="_Toc285612601"/>
      <w:bookmarkStart w:id="12" w:name="_Toc24043223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4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7229"/>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371"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931"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567"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371"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371"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371"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371"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371"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371"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371"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371"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931"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7229"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7229"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567"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567"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567"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567"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★参数1</w:t>
            </w:r>
            <w:r>
              <w:rPr>
                <w:rFonts w:hint="eastAsia" w:cs="Times New Roman" w:asciiTheme="majorEastAsia" w:hAnsiTheme="majorEastAsia" w:eastAsiaTheme="majorEastAsia"/>
                <w:kern w:val="0"/>
                <w:sz w:val="21"/>
                <w:szCs w:val="21"/>
              </w:rPr>
              <w:t xml:space="preserve">  电位范围: -0.5 V - 5.0 V</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★参数2</w:t>
            </w:r>
            <w:r>
              <w:rPr>
                <w:rFonts w:hint="eastAsia" w:cs="Times New Roman" w:asciiTheme="majorEastAsia" w:hAnsiTheme="majorEastAsia" w:eastAsiaTheme="majorEastAsia"/>
                <w:kern w:val="0"/>
                <w:sz w:val="21"/>
                <w:szCs w:val="21"/>
              </w:rPr>
              <w:t xml:space="preserve">  槽压: 0 - 11 V</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★参数3</w:t>
            </w:r>
            <w:r>
              <w:rPr>
                <w:rFonts w:hint="eastAsia" w:cs="Times New Roman" w:asciiTheme="majorEastAsia" w:hAnsiTheme="majorEastAsia" w:eastAsiaTheme="majorEastAsia"/>
                <w:kern w:val="0"/>
                <w:sz w:val="21"/>
                <w:szCs w:val="21"/>
              </w:rPr>
              <w:t xml:space="preserve">  单通道电流范围: 0 - 50 mA，双通道电流: 0 - 35 mA</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t>参数4</w:t>
            </w:r>
            <w:r>
              <w:rPr>
                <w:rFonts w:hint="eastAsia" w:cs="Times New Roman" w:asciiTheme="majorEastAsia" w:hAnsiTheme="majorEastAsia" w:eastAsiaTheme="majorEastAsia"/>
                <w:kern w:val="0"/>
                <w:sz w:val="21"/>
                <w:szCs w:val="21"/>
              </w:rPr>
              <w:t xml:space="preserve">  参比电极输入阻抗:≥ 1×10</w:t>
            </w:r>
            <w:r>
              <w:rPr>
                <w:rFonts w:hint="eastAsia" w:cs="Times New Roman" w:asciiTheme="majorEastAsia" w:hAnsiTheme="majorEastAsia" w:eastAsiaTheme="majorEastAsia"/>
                <w:kern w:val="0"/>
                <w:sz w:val="21"/>
                <w:szCs w:val="21"/>
                <w:vertAlign w:val="superscript"/>
              </w:rPr>
              <w:t>12</w:t>
            </w:r>
            <w:r>
              <w:rPr>
                <w:rFonts w:hint="eastAsia" w:cs="Times New Roman" w:asciiTheme="majorEastAsia" w:hAnsiTheme="majorEastAsia" w:eastAsiaTheme="majorEastAsia"/>
                <w:kern w:val="0"/>
                <w:sz w:val="21"/>
                <w:szCs w:val="21"/>
              </w:rPr>
              <w:t>Ω</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t>参数5</w:t>
            </w:r>
            <w:r>
              <w:rPr>
                <w:rFonts w:hint="eastAsia" w:cs="Times New Roman" w:asciiTheme="majorEastAsia" w:hAnsiTheme="majorEastAsia" w:eastAsiaTheme="majorEastAsia"/>
                <w:kern w:val="0"/>
                <w:sz w:val="21"/>
                <w:szCs w:val="21"/>
              </w:rPr>
              <w:t xml:space="preserve">  灵敏度量程: 1×10</w:t>
            </w:r>
            <w:r>
              <w:rPr>
                <w:rFonts w:hint="eastAsia" w:cs="Times New Roman" w:asciiTheme="majorEastAsia" w:hAnsiTheme="majorEastAsia" w:eastAsiaTheme="majorEastAsia"/>
                <w:kern w:val="0"/>
                <w:sz w:val="21"/>
                <w:szCs w:val="21"/>
                <w:vertAlign w:val="superscript"/>
              </w:rPr>
              <w:t>-9</w:t>
            </w:r>
            <w:r>
              <w:rPr>
                <w:rFonts w:hint="eastAsia" w:cs="Times New Roman" w:asciiTheme="majorEastAsia" w:hAnsiTheme="majorEastAsia" w:eastAsiaTheme="majorEastAsia"/>
                <w:kern w:val="0"/>
                <w:sz w:val="21"/>
                <w:szCs w:val="21"/>
              </w:rPr>
              <w:t> - 0.01 A/V至少八档</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▲参数6  输入偏置电流: ≦10 pA</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参数7  电流测量分辨率: ≦1 pA</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restart"/>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产品技术性能指标参数满足偏离情况（45分）</w:t>
            </w: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w:t>
            </w:r>
            <w:r>
              <w:rPr>
                <w:rFonts w:hint="eastAsia" w:cs="Times New Roman" w:asciiTheme="majorEastAsia" w:hAnsiTheme="majorEastAsia" w:eastAsiaTheme="majorEastAsia"/>
                <w:kern w:val="0"/>
                <w:sz w:val="21"/>
                <w:szCs w:val="21"/>
              </w:rPr>
              <w:t>8  数据采集格式: 16位 @100 kHz</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w:t>
            </w:r>
            <w:r>
              <w:rPr>
                <w:rFonts w:hint="eastAsia" w:cs="Times New Roman" w:asciiTheme="majorEastAsia" w:hAnsiTheme="majorEastAsia" w:eastAsiaTheme="majorEastAsia"/>
                <w:kern w:val="0"/>
                <w:sz w:val="21"/>
                <w:szCs w:val="21"/>
              </w:rPr>
              <w:t>9  循环伏安法（CV）和线性扫描伏安法（LSV）扫描速度: 0.000001 - 10 V/s</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w:t>
            </w:r>
            <w:r>
              <w:rPr>
                <w:rFonts w:hint="eastAsia" w:cs="Times New Roman" w:asciiTheme="majorEastAsia" w:hAnsiTheme="majorEastAsia" w:eastAsiaTheme="majorEastAsia"/>
                <w:kern w:val="0"/>
                <w:sz w:val="21"/>
                <w:szCs w:val="21"/>
              </w:rPr>
              <w:t>10  计时电流法（CA）和计时电量法（CC）脉冲宽度: 0.001 - 1000 s</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w:t>
            </w:r>
            <w:r>
              <w:rPr>
                <w:rFonts w:hint="eastAsia" w:cs="Times New Roman" w:asciiTheme="majorEastAsia" w:hAnsiTheme="majorEastAsia" w:eastAsiaTheme="majorEastAsia"/>
                <w:kern w:val="0"/>
                <w:sz w:val="21"/>
                <w:szCs w:val="21"/>
              </w:rPr>
              <w:t>11  计时电流法（CA）和计时电量法（CC）: 1 - 320</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参数1</w:t>
            </w:r>
            <w:r>
              <w:rPr>
                <w:rFonts w:hint="eastAsia" w:cs="Times New Roman" w:asciiTheme="majorEastAsia" w:hAnsiTheme="majorEastAsia" w:eastAsiaTheme="majorEastAsia"/>
                <w:kern w:val="0"/>
                <w:sz w:val="21"/>
                <w:szCs w:val="21"/>
              </w:rPr>
              <w:t>2  差分脉冲伏安法（DPV）和常规脉冲伏安法（NPV）脉冲宽度: 0.001 - 10 s</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参数1</w:t>
            </w:r>
            <w:r>
              <w:rPr>
                <w:rFonts w:hint="eastAsia" w:cs="Times New Roman" w:asciiTheme="majorEastAsia" w:hAnsiTheme="majorEastAsia" w:eastAsiaTheme="majorEastAsia"/>
                <w:kern w:val="0"/>
                <w:sz w:val="21"/>
                <w:szCs w:val="21"/>
              </w:rPr>
              <w:t>3  方波伏安法（SWV）频率: 1 - 5000 Hz</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参数1</w:t>
            </w:r>
            <w:r>
              <w:rPr>
                <w:rFonts w:hint="eastAsia" w:cs="Times New Roman" w:asciiTheme="majorEastAsia" w:hAnsiTheme="majorEastAsia" w:eastAsiaTheme="majorEastAsia"/>
                <w:kern w:val="0"/>
                <w:sz w:val="21"/>
                <w:szCs w:val="21"/>
              </w:rPr>
              <w:t>4  电流测量低通滤波器</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参数15  最大数据长度: 128000点 - 4096000点可选择</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参数16  同时满足：循环伏安法（CV）/线性扫描伏安法（LSV）/阶梯波伏安法（SCV）/计时电流法（CA）/计时电量法（CC）/差分脉冲伏安法（DPV）/常规脉冲伏安法(NPV）/差分常规脉冲伏安法(DNPV)/方波伏安法（SWV）</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参数17  任意反应机理循环伏安法（CV）模拟器</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参数18  旋转电极控制信号（0 - 10 V）</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noWrap/>
            <w:vAlign w:val="center"/>
          </w:tcPr>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参数19  开路电压-时间曲线（OCPT）</w:t>
            </w:r>
          </w:p>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多电位阶跃方法（STEP）</w:t>
            </w:r>
          </w:p>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扫描-阶跃混合方法（SSF）</w:t>
            </w:r>
          </w:p>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三脉冲电流检测（TPA）</w:t>
            </w:r>
          </w:p>
          <w:p>
            <w:pPr>
              <w:spacing w:line="36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交流（含相敏）伏安法（ACV）</w:t>
            </w:r>
          </w:p>
        </w:tc>
        <w:tc>
          <w:tcPr>
            <w:tcW w:w="567"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7229"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567"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567"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229"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567"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7229"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567"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285612603"/>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40432233"/>
      <w:bookmarkStart w:id="20" w:name="_Toc285612604"/>
      <w:bookmarkStart w:id="21" w:name="_Toc37172691"/>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2BFD"/>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2F3A64"/>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7F4"/>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16895"/>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67A37"/>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4A14"/>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7F75C9"/>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049E"/>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5AE7"/>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14D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7C4"/>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6FF0"/>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21626"/>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9A85A09"/>
    <w:rsid w:val="2F0F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5D4D9-89A0-4E4C-A041-9B07DC448FA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5006</Words>
  <Characters>28537</Characters>
  <Lines>237</Lines>
  <Paragraphs>66</Paragraphs>
  <TotalTime>1</TotalTime>
  <ScaleCrop>false</ScaleCrop>
  <LinksUpToDate>false</LinksUpToDate>
  <CharactersWithSpaces>33477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2020-09-30T01:32:32Z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