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eastAsia="zh-CN"/>
        </w:rPr>
        <w:t>除颤仪</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lang w:eastAsia="zh-CN"/>
        </w:rPr>
        <w:t>2020-JL13(03)-W10086</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十一</w:t>
      </w:r>
      <w:r>
        <w:rPr>
          <w:rFonts w:ascii="宋体" w:hAnsi="宋体" w:eastAsia="宋体" w:cs="Times New Roman"/>
          <w:kern w:val="0"/>
          <w:sz w:val="36"/>
          <w:szCs w:val="36"/>
        </w:rPr>
        <w:t>月</w:t>
      </w:r>
    </w:p>
    <w:p>
      <w:pPr>
        <w:rPr>
          <w:rFonts w:ascii="黑体" w:hAnsi="黑体" w:eastAsia="黑体" w:cs="Times New Roman"/>
          <w:bCs/>
          <w:kern w:val="0"/>
          <w:sz w:val="30"/>
          <w:szCs w:val="30"/>
        </w:rPr>
      </w:pPr>
      <w:r>
        <w:rPr>
          <w:rFonts w:ascii="黑体" w:hAnsi="黑体" w:eastAsia="黑体" w:cs="Times New Roman"/>
          <w:bCs/>
          <w:kern w:val="0"/>
          <w:sz w:val="30"/>
          <w:szCs w:val="30"/>
        </w:rPr>
        <w:br w:type="page"/>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除颤仪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2020-JL13(03)-W10086</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numPr>
          <w:ilvl w:val="0"/>
          <w:numId w:val="1"/>
        </w:num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除颤仪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2020-JL13(03)-W10086</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除颤仪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8</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color w:val="auto"/>
          <w:kern w:val="0"/>
          <w:sz w:val="24"/>
          <w:szCs w:val="24"/>
        </w:rPr>
        <w:t>发售时间：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17</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（三）发售方式：投标人指定专人现场领取，不接受邮寄等其他方式。</w:t>
      </w:r>
      <w:r>
        <w:rPr>
          <w:rFonts w:hint="eastAsia" w:cs="Times New Roman" w:asciiTheme="minorEastAsia" w:hAnsiTheme="minorEastAsia"/>
          <w:kern w:val="0"/>
          <w:sz w:val="24"/>
          <w:szCs w:val="24"/>
        </w:rPr>
        <w:t>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w:t>
      </w:r>
    </w:p>
    <w:p>
      <w:pPr>
        <w:tabs>
          <w:tab w:val="left" w:pos="0"/>
        </w:tabs>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六、投标开始和截止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12</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七、</w:t>
      </w:r>
      <w:r>
        <w:rPr>
          <w:rFonts w:hint="eastAsia" w:cs="Times New Roman" w:asciiTheme="minorEastAsia" w:hAnsiTheme="minorEastAsia"/>
          <w:b/>
          <w:color w:val="auto"/>
          <w:kern w:val="0"/>
          <w:sz w:val="24"/>
          <w:szCs w:val="24"/>
        </w:rPr>
        <w:tab/>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lang w:val="en-US" w:eastAsia="zh-CN"/>
        </w:rPr>
        <w:t xml:space="preserve"> 12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八、</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九、招标人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line="440" w:lineRule="exact"/>
        <w:ind w:left="4672" w:leftChars="2320" w:hanging="9" w:hangingChars="4"/>
        <w:rPr>
          <w:rFonts w:hint="eastAsia"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2020 年 </w:t>
      </w:r>
      <w:r>
        <w:rPr>
          <w:rFonts w:hint="eastAsia" w:cs="Times New Roman" w:asciiTheme="minorEastAsia" w:hAnsiTheme="minorEastAsia"/>
          <w:color w:val="auto"/>
          <w:kern w:val="0"/>
          <w:sz w:val="24"/>
          <w:szCs w:val="24"/>
          <w:lang w:val="en-US" w:eastAsia="zh-CN"/>
        </w:rPr>
        <w:t>11</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17</w:t>
      </w:r>
      <w:r>
        <w:rPr>
          <w:rFonts w:hint="eastAsia" w:cs="Times New Roman" w:asciiTheme="minorEastAsia" w:hAnsiTheme="minorEastAsia"/>
          <w:color w:val="auto"/>
          <w:kern w:val="0"/>
          <w:sz w:val="24"/>
          <w:szCs w:val="24"/>
        </w:rPr>
        <w:t>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390713967"/>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szCs w:val="21"/>
                <w:lang w:eastAsia="zh-CN"/>
              </w:rPr>
              <w:t>除颤仪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val="en-US" w:eastAsia="zh-CN"/>
              </w:rPr>
              <w:t>8</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Lines="50" w:line="240" w:lineRule="atLeast"/>
        <w:jc w:val="center"/>
        <w:rPr>
          <w:rFonts w:hint="eastAsia" w:eastAsia="宋体" w:cs="Times New Roman"/>
          <w:bCs/>
          <w:kern w:val="0"/>
          <w:sz w:val="44"/>
          <w:szCs w:val="44"/>
          <w:lang w:eastAsia="zh-CN"/>
        </w:rPr>
      </w:pPr>
      <w:r>
        <w:rPr>
          <w:rFonts w:hint="eastAsia" w:hAnsi="宋体" w:cs="Times New Roman"/>
          <w:bCs/>
          <w:kern w:val="0"/>
          <w:sz w:val="44"/>
          <w:szCs w:val="44"/>
        </w:rPr>
        <w:t>除颤仪</w:t>
      </w:r>
      <w:r>
        <w:rPr>
          <w:rFonts w:hint="eastAsia" w:ascii="宋体" w:hAnsi="宋体" w:cs="宋体"/>
          <w:bCs/>
          <w:kern w:val="0"/>
          <w:sz w:val="44"/>
          <w:szCs w:val="44"/>
        </w:rPr>
        <w:t>技术</w:t>
      </w:r>
      <w:r>
        <w:rPr>
          <w:rFonts w:hint="eastAsia" w:ascii="宋体" w:hAnsi="宋体" w:cs="宋体"/>
          <w:bCs/>
          <w:kern w:val="0"/>
          <w:sz w:val="44"/>
          <w:szCs w:val="44"/>
          <w:lang w:eastAsia="zh-CN"/>
        </w:rPr>
        <w:t>要求</w:t>
      </w:r>
    </w:p>
    <w:tbl>
      <w:tblPr>
        <w:tblStyle w:val="17"/>
        <w:tblW w:w="9305" w:type="dxa"/>
        <w:tblInd w:w="-294" w:type="dxa"/>
        <w:tblLayout w:type="fixed"/>
        <w:tblCellMar>
          <w:top w:w="0" w:type="dxa"/>
          <w:left w:w="108" w:type="dxa"/>
          <w:bottom w:w="0" w:type="dxa"/>
          <w:right w:w="108" w:type="dxa"/>
        </w:tblCellMar>
      </w:tblPr>
      <w:tblGrid>
        <w:gridCol w:w="1111"/>
        <w:gridCol w:w="1843"/>
        <w:gridCol w:w="4823"/>
        <w:gridCol w:w="1528"/>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1843"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4823"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1528" w:type="dxa"/>
            <w:tcBorders>
              <w:top w:val="single" w:color="auto" w:sz="8"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4823" w:type="dxa"/>
            <w:tcBorders>
              <w:top w:val="nil"/>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b/>
                <w:bCs/>
                <w:kern w:val="0"/>
              </w:rPr>
            </w:pP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1038"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1.1</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设备用途</w:t>
            </w:r>
          </w:p>
        </w:tc>
        <w:tc>
          <w:tcPr>
            <w:tcW w:w="4823" w:type="dxa"/>
            <w:tcBorders>
              <w:top w:val="nil"/>
              <w:left w:val="nil"/>
              <w:bottom w:val="single" w:color="auto" w:sz="4" w:space="0"/>
              <w:right w:val="single" w:color="auto" w:sz="4" w:space="0"/>
            </w:tcBorders>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主要用于治疗室颤等致命性心律失常的急救设备</w:t>
            </w: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1.2</w:t>
            </w:r>
          </w:p>
        </w:tc>
        <w:tc>
          <w:tcPr>
            <w:tcW w:w="1843"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color w:val="000000"/>
                <w:kern w:val="0"/>
              </w:rPr>
            </w:pPr>
            <w:r>
              <w:rPr>
                <w:rFonts w:cs="Times New Roman" w:asciiTheme="majorEastAsia" w:hAnsiTheme="majorEastAsia" w:eastAsiaTheme="majorEastAsia"/>
                <w:color w:val="000000"/>
                <w:kern w:val="0"/>
              </w:rPr>
              <w:t>实验对象</w:t>
            </w:r>
          </w:p>
        </w:tc>
        <w:tc>
          <w:tcPr>
            <w:tcW w:w="4823"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危重病人</w:t>
            </w:r>
          </w:p>
        </w:tc>
        <w:tc>
          <w:tcPr>
            <w:tcW w:w="1528"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bCs/>
                <w:kern w:val="0"/>
              </w:rPr>
              <w:t>1.3</w:t>
            </w:r>
          </w:p>
        </w:tc>
        <w:tc>
          <w:tcPr>
            <w:tcW w:w="1843"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color w:val="000000"/>
                <w:kern w:val="0"/>
              </w:rPr>
            </w:pPr>
            <w:r>
              <w:rPr>
                <w:rFonts w:cs="Times New Roman" w:asciiTheme="majorEastAsia" w:hAnsiTheme="majorEastAsia" w:eastAsiaTheme="majorEastAsia"/>
                <w:bCs/>
                <w:kern w:val="0"/>
              </w:rPr>
              <w:t>特殊功能需求</w:t>
            </w:r>
          </w:p>
        </w:tc>
        <w:tc>
          <w:tcPr>
            <w:tcW w:w="4823"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无</w:t>
            </w:r>
          </w:p>
        </w:tc>
        <w:tc>
          <w:tcPr>
            <w:tcW w:w="1528"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4823" w:type="dxa"/>
            <w:tcBorders>
              <w:top w:val="nil"/>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kern w:val="0"/>
              </w:rPr>
            </w:pPr>
          </w:p>
        </w:tc>
        <w:tc>
          <w:tcPr>
            <w:tcW w:w="1528" w:type="dxa"/>
            <w:tcBorders>
              <w:top w:val="nil"/>
              <w:left w:val="nil"/>
              <w:bottom w:val="single" w:color="auto" w:sz="4" w:space="0"/>
              <w:right w:val="single" w:color="auto" w:sz="8" w:space="0"/>
            </w:tcBorders>
            <w:vAlign w:val="center"/>
          </w:tcPr>
          <w:p>
            <w:pPr>
              <w:rPr>
                <w:rFonts w:ascii="宋体" w:hAnsi="宋体" w:cs="宋体"/>
                <w:b/>
                <w:bCs/>
              </w:rPr>
            </w:pPr>
          </w:p>
        </w:tc>
      </w:tr>
      <w:tr>
        <w:tblPrEx>
          <w:tblCellMar>
            <w:top w:w="0" w:type="dxa"/>
            <w:left w:w="108" w:type="dxa"/>
            <w:bottom w:w="0" w:type="dxa"/>
            <w:right w:w="108" w:type="dxa"/>
          </w:tblCellMar>
        </w:tblPrEx>
        <w:trPr>
          <w:trHeight w:val="907"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p>
        </w:tc>
        <w:tc>
          <w:tcPr>
            <w:tcW w:w="4823" w:type="dxa"/>
            <w:tcBorders>
              <w:top w:val="nil"/>
              <w:left w:val="nil"/>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采用低能量智能双相波除颤，</w:t>
            </w:r>
            <w:r>
              <w:rPr>
                <w:rFonts w:hint="eastAsia" w:ascii="宋体" w:hAnsi="宋体"/>
              </w:rPr>
              <w:t>除颤能量≤200J，</w:t>
            </w:r>
            <w:r>
              <w:rPr>
                <w:rFonts w:hint="eastAsia" w:cs="Times New Roman" w:asciiTheme="majorEastAsia" w:hAnsiTheme="majorEastAsia" w:eastAsiaTheme="majorEastAsia"/>
              </w:rPr>
              <w:t>根据病人阻抗调整除颤波形，保证有效的经心电流。</w:t>
            </w:r>
          </w:p>
        </w:tc>
        <w:tc>
          <w:tcPr>
            <w:tcW w:w="1528" w:type="dxa"/>
            <w:tcBorders>
              <w:top w:val="nil"/>
              <w:left w:val="nil"/>
              <w:bottom w:val="single" w:color="auto" w:sz="4" w:space="0"/>
              <w:right w:val="single" w:color="auto" w:sz="8" w:space="0"/>
            </w:tcBorders>
            <w:vAlign w:val="center"/>
          </w:tcPr>
          <w:p>
            <w:pPr>
              <w:spacing w:line="240" w:lineRule="auto"/>
              <w:rPr>
                <w:rFonts w:ascii="宋体" w:hAnsi="宋体" w:cs="宋体"/>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2.2</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★参数2</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显示屏幕</w:t>
            </w:r>
            <w:r>
              <w:rPr>
                <w:rFonts w:asciiTheme="majorEastAsia" w:hAnsiTheme="majorEastAsia" w:eastAsiaTheme="majorEastAsia"/>
              </w:rPr>
              <w:t>≥</w:t>
            </w:r>
            <w:r>
              <w:rPr>
                <w:rFonts w:hint="eastAsia" w:asciiTheme="majorEastAsia" w:hAnsiTheme="majorEastAsia" w:eastAsiaTheme="majorEastAsia"/>
              </w:rPr>
              <w:t>6.5寸高分辨率彩色显示屏</w:t>
            </w:r>
          </w:p>
        </w:tc>
        <w:tc>
          <w:tcPr>
            <w:tcW w:w="1528" w:type="dxa"/>
            <w:tcBorders>
              <w:top w:val="single" w:color="auto" w:sz="4" w:space="0"/>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2.3</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3</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sz w:val="24"/>
                <w:szCs w:val="24"/>
              </w:rPr>
            </w:pPr>
            <w:r>
              <w:rPr>
                <w:rFonts w:hint="eastAsia" w:ascii="宋体" w:hAnsi="宋体" w:eastAsia="宋体"/>
                <w:sz w:val="24"/>
                <w:szCs w:val="24"/>
              </w:rPr>
              <w:t>手动除颤最低能量为1J，且1-10J都均可选，除颤能量选择采用旋钮式</w:t>
            </w:r>
          </w:p>
        </w:tc>
        <w:tc>
          <w:tcPr>
            <w:tcW w:w="1528" w:type="dxa"/>
            <w:tcBorders>
              <w:top w:val="single" w:color="auto" w:sz="4" w:space="0"/>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2.4</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4</w:t>
            </w:r>
          </w:p>
        </w:tc>
        <w:tc>
          <w:tcPr>
            <w:tcW w:w="4823" w:type="dxa"/>
            <w:tcBorders>
              <w:top w:val="single" w:color="auto" w:sz="4" w:space="0"/>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rPr>
            </w:pPr>
            <w:r>
              <w:rPr>
                <w:rFonts w:hint="eastAsia" w:asciiTheme="majorEastAsia" w:hAnsiTheme="majorEastAsia" w:eastAsiaTheme="majorEastAsia"/>
              </w:rPr>
              <w:t>防水、防固体渗入等级≥IP54</w:t>
            </w:r>
          </w:p>
        </w:tc>
        <w:tc>
          <w:tcPr>
            <w:tcW w:w="1528" w:type="dxa"/>
            <w:tcBorders>
              <w:top w:val="single" w:color="auto" w:sz="4" w:space="0"/>
              <w:left w:val="nil"/>
              <w:bottom w:val="single" w:color="auto" w:sz="4" w:space="0"/>
              <w:right w:val="single" w:color="auto" w:sz="8" w:space="0"/>
            </w:tcBorders>
            <w:vAlign w:val="center"/>
          </w:tcPr>
          <w:p>
            <w:pPr>
              <w:spacing w:line="240" w:lineRule="auto"/>
              <w:rPr>
                <w:rFonts w:ascii="宋体" w:hAnsi="宋体" w:cs="宋体"/>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5</w:t>
            </w:r>
          </w:p>
        </w:tc>
        <w:tc>
          <w:tcPr>
            <w:tcW w:w="1843"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rPr>
            </w:pP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5</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sz w:val="24"/>
                <w:szCs w:val="24"/>
              </w:rPr>
            </w:pPr>
            <w:r>
              <w:rPr>
                <w:rFonts w:hint="eastAsia" w:ascii="宋体" w:hAnsi="宋体"/>
                <w:bCs/>
              </w:rPr>
              <w:t>成人儿童一体化除颤电极板，具备病人接触是否良好的指示灯</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rPr>
                <w:rFonts w:ascii="宋体" w:hAnsi="宋体" w:cs="宋体"/>
                <w:kern w:val="0"/>
              </w:rPr>
            </w:pPr>
          </w:p>
        </w:tc>
      </w:tr>
      <w:tr>
        <w:tblPrEx>
          <w:tblCellMar>
            <w:top w:w="0" w:type="dxa"/>
            <w:left w:w="108" w:type="dxa"/>
            <w:bottom w:w="0" w:type="dxa"/>
            <w:right w:w="108" w:type="dxa"/>
          </w:tblCellMar>
        </w:tblPrEx>
        <w:trPr>
          <w:trHeight w:val="554"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2.6</w:t>
            </w:r>
          </w:p>
        </w:tc>
        <w:tc>
          <w:tcPr>
            <w:tcW w:w="1843"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6</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具备状态指示器</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4"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2.7</w:t>
            </w:r>
          </w:p>
        </w:tc>
        <w:tc>
          <w:tcPr>
            <w:tcW w:w="1843"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▲参数7</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rPr>
            </w:pPr>
            <w:r>
              <w:rPr>
                <w:rFonts w:hint="eastAsia" w:asciiTheme="minorEastAsia" w:hAnsiTheme="minorEastAsia" w:eastAsiaTheme="minorEastAsia" w:cstheme="minorEastAsia"/>
                <w:sz w:val="24"/>
                <w:szCs w:val="24"/>
              </w:rPr>
              <w:t>具备关机自检功能，无论设备时在关机状态还是工作状态，都具备每小时，每天，每周定期自检（需提供证明材料）</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rPr>
                <w:rFonts w:ascii="宋体" w:hAnsi="宋体" w:cs="宋体"/>
                <w:kern w:val="0"/>
              </w:rPr>
            </w:pPr>
          </w:p>
        </w:tc>
      </w:tr>
      <w:tr>
        <w:tblPrEx>
          <w:tblCellMar>
            <w:top w:w="0" w:type="dxa"/>
            <w:left w:w="108" w:type="dxa"/>
            <w:bottom w:w="0" w:type="dxa"/>
            <w:right w:w="108" w:type="dxa"/>
          </w:tblCellMar>
        </w:tblPrEx>
        <w:trPr>
          <w:trHeight w:val="83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2.8</w:t>
            </w:r>
          </w:p>
        </w:tc>
        <w:tc>
          <w:tcPr>
            <w:tcW w:w="1843"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参数8</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sz w:val="24"/>
                <w:szCs w:val="24"/>
              </w:rPr>
            </w:pPr>
            <w:r>
              <w:rPr>
                <w:rFonts w:hint="eastAsia" w:asciiTheme="majorEastAsia" w:hAnsiTheme="majorEastAsia" w:eastAsiaTheme="majorEastAsia"/>
              </w:rPr>
              <w:t>AED功能具备一键切换成人及婴幼儿儿童模式</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83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2.9</w:t>
            </w:r>
          </w:p>
        </w:tc>
        <w:tc>
          <w:tcPr>
            <w:tcW w:w="1843"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参数9</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标配手动除颤，AED和同步电复律功能</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76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10</w:t>
            </w:r>
          </w:p>
        </w:tc>
        <w:tc>
          <w:tcPr>
            <w:tcW w:w="1843"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10</w:t>
            </w:r>
          </w:p>
        </w:tc>
        <w:tc>
          <w:tcPr>
            <w:tcW w:w="4823" w:type="dxa"/>
            <w:tcBorders>
              <w:top w:val="single" w:color="auto" w:sz="4" w:space="0"/>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rPr>
            </w:pPr>
            <w:r>
              <w:rPr>
                <w:rFonts w:hint="eastAsia" w:cs="Times New Roman" w:asciiTheme="majorEastAsia" w:hAnsiTheme="majorEastAsia" w:eastAsiaTheme="majorEastAsia"/>
              </w:rPr>
              <w:t>标配三导心电监测功能，可升级到五导心电监护</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11</w:t>
            </w:r>
          </w:p>
        </w:tc>
        <w:tc>
          <w:tcPr>
            <w:tcW w:w="1843"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11</w:t>
            </w:r>
          </w:p>
        </w:tc>
        <w:tc>
          <w:tcPr>
            <w:tcW w:w="4823" w:type="dxa"/>
            <w:tcBorders>
              <w:top w:val="single" w:color="auto" w:sz="4" w:space="0"/>
              <w:left w:val="nil"/>
              <w:bottom w:val="single" w:color="auto" w:sz="4" w:space="0"/>
              <w:right w:val="single" w:color="auto" w:sz="4" w:space="0"/>
            </w:tcBorders>
            <w:vAlign w:val="center"/>
          </w:tcPr>
          <w:p>
            <w:pPr>
              <w:rPr>
                <w:rFonts w:cs="Times New Roman" w:asciiTheme="majorEastAsia" w:hAnsiTheme="majorEastAsia" w:eastAsiaTheme="majorEastAsia"/>
              </w:rPr>
            </w:pPr>
            <w:r>
              <w:rPr>
                <w:rFonts w:hint="eastAsia" w:cs="Times New Roman" w:asciiTheme="majorEastAsia" w:hAnsiTheme="majorEastAsia" w:eastAsiaTheme="majorEastAsia"/>
              </w:rPr>
              <w:t>具有快速电击技术，启动AED模式到通电完成时间≤8秒</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12</w:t>
            </w:r>
          </w:p>
        </w:tc>
        <w:tc>
          <w:tcPr>
            <w:tcW w:w="1843" w:type="dxa"/>
            <w:tcBorders>
              <w:top w:val="nil"/>
              <w:left w:val="nil"/>
              <w:bottom w:val="single" w:color="auto" w:sz="4" w:space="0"/>
              <w:right w:val="single" w:color="auto" w:sz="4" w:space="0"/>
            </w:tcBorders>
            <w:vAlign w:val="center"/>
          </w:tcPr>
          <w:p>
            <w:pPr>
              <w:jc w:val="center"/>
              <w:rPr>
                <w:rFonts w:cs="Times New Roman" w:asciiTheme="majorEastAsia" w:hAnsiTheme="majorEastAsia" w:eastAsiaTheme="majorEastAsia"/>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12</w:t>
            </w:r>
          </w:p>
        </w:tc>
        <w:tc>
          <w:tcPr>
            <w:tcW w:w="4823" w:type="dxa"/>
            <w:tcBorders>
              <w:top w:val="nil"/>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rPr>
            </w:pPr>
            <w:r>
              <w:rPr>
                <w:rFonts w:hint="eastAsia" w:cs="Times New Roman" w:asciiTheme="majorEastAsia" w:hAnsiTheme="majorEastAsia" w:eastAsiaTheme="majorEastAsia"/>
              </w:rPr>
              <w:t>可进行持续心电监护，可识别≥9种常见的心率/心律失常报警，有心率快/心率慢、心搏停止、室颤/室速、室速、极度心动过速、室性早搏心率、起搏器未夺获、起搏器未起搏</w:t>
            </w:r>
          </w:p>
        </w:tc>
        <w:tc>
          <w:tcPr>
            <w:tcW w:w="1528" w:type="dxa"/>
            <w:tcBorders>
              <w:top w:val="nil"/>
              <w:left w:val="nil"/>
              <w:bottom w:val="single" w:color="auto" w:sz="4" w:space="0"/>
              <w:right w:val="single" w:color="auto" w:sz="8" w:space="0"/>
            </w:tcBorders>
            <w:vAlign w:val="center"/>
          </w:tcPr>
          <w:p>
            <w:pPr>
              <w:widowControl/>
              <w:spacing w:line="240" w:lineRule="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7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r>
              <w:rPr>
                <w:rFonts w:hint="eastAsia" w:cs="Times New Roman" w:asciiTheme="majorEastAsia" w:hAnsiTheme="majorEastAsia" w:eastAsiaTheme="majorEastAsia"/>
                <w:kern w:val="0"/>
              </w:rPr>
              <w:t>3</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r>
              <w:rPr>
                <w:rFonts w:hint="eastAsia" w:cs="Times New Roman" w:asciiTheme="majorEastAsia" w:hAnsiTheme="majorEastAsia" w:eastAsiaTheme="majorEastAsia"/>
                <w:kern w:val="0"/>
              </w:rPr>
              <w:t>3</w:t>
            </w:r>
          </w:p>
        </w:tc>
        <w:tc>
          <w:tcPr>
            <w:tcW w:w="48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rPr>
            </w:pPr>
            <w:r>
              <w:rPr>
                <w:rFonts w:hint="eastAsia" w:cs="Times New Roman" w:asciiTheme="majorEastAsia" w:hAnsiTheme="majorEastAsia" w:eastAsiaTheme="majorEastAsia"/>
              </w:rPr>
              <w:t>除颤能量采用旋钮选择方式，而非按键选择能量，方便快捷节约抢救时间</w:t>
            </w:r>
          </w:p>
        </w:tc>
        <w:tc>
          <w:tcPr>
            <w:tcW w:w="15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5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r>
              <w:rPr>
                <w:rFonts w:hint="eastAsia" w:cs="Times New Roman" w:asciiTheme="majorEastAsia" w:hAnsiTheme="majorEastAsia" w:eastAsiaTheme="majorEastAsia"/>
                <w:kern w:val="0"/>
              </w:rPr>
              <w:t>4</w:t>
            </w:r>
          </w:p>
        </w:tc>
        <w:tc>
          <w:tcPr>
            <w:tcW w:w="1843"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r>
              <w:rPr>
                <w:rFonts w:hint="eastAsia" w:cs="Times New Roman" w:asciiTheme="majorEastAsia" w:hAnsiTheme="majorEastAsia" w:eastAsiaTheme="majorEastAsia"/>
                <w:kern w:val="0"/>
              </w:rPr>
              <w:t>4</w:t>
            </w:r>
          </w:p>
        </w:tc>
        <w:tc>
          <w:tcPr>
            <w:tcW w:w="4823" w:type="dxa"/>
            <w:tcBorders>
              <w:top w:val="single" w:color="auto" w:sz="4" w:space="0"/>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rPr>
            </w:pPr>
            <w:r>
              <w:rPr>
                <w:rFonts w:hint="eastAsia" w:cs="Times New Roman" w:asciiTheme="majorEastAsia" w:hAnsiTheme="majorEastAsia" w:eastAsiaTheme="majorEastAsia"/>
              </w:rPr>
              <w:t>具备生命体征趋势回顾功能</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1843" w:type="dxa"/>
            <w:tcBorders>
              <w:top w:val="nil"/>
              <w:left w:val="nil"/>
              <w:bottom w:val="single" w:color="auto" w:sz="4" w:space="0"/>
              <w:right w:val="single" w:color="auto" w:sz="4" w:space="0"/>
            </w:tcBorders>
            <w:vAlign w:val="center"/>
          </w:tcPr>
          <w:p>
            <w:pPr>
              <w:widowControl/>
              <w:spacing w:line="240" w:lineRule="auto"/>
              <w:ind w:firstLine="201" w:firstLineChars="100"/>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4823" w:type="dxa"/>
            <w:tcBorders>
              <w:top w:val="nil"/>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kern w:val="0"/>
              </w:rPr>
            </w:pP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3.1</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配置1</w:t>
            </w:r>
          </w:p>
        </w:tc>
        <w:tc>
          <w:tcPr>
            <w:tcW w:w="4823" w:type="dxa"/>
            <w:tcBorders>
              <w:top w:val="single" w:color="auto" w:sz="4" w:space="0"/>
              <w:left w:val="nil"/>
              <w:bottom w:val="single" w:color="auto" w:sz="4" w:space="0"/>
              <w:right w:val="single" w:color="auto" w:sz="4" w:space="0"/>
            </w:tcBorders>
            <w:vAlign w:val="center"/>
          </w:tcPr>
          <w:p>
            <w:pP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体外除颤监护仪仪主机1台</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3.2</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配置2</w:t>
            </w:r>
          </w:p>
        </w:tc>
        <w:tc>
          <w:tcPr>
            <w:tcW w:w="4823" w:type="dxa"/>
            <w:tcBorders>
              <w:top w:val="nil"/>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成人/儿童一体除颤电极板1套</w:t>
            </w: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3.3</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配置3</w:t>
            </w:r>
          </w:p>
        </w:tc>
        <w:tc>
          <w:tcPr>
            <w:tcW w:w="4823" w:type="dxa"/>
            <w:tcBorders>
              <w:top w:val="nil"/>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3导心电电缆一根</w:t>
            </w: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3.4</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配置4</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3导心电导联线1根</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w:t>
            </w:r>
            <w:r>
              <w:rPr>
                <w:rFonts w:hint="eastAsia" w:cs="Times New Roman" w:asciiTheme="majorEastAsia" w:hAnsiTheme="majorEastAsia" w:eastAsiaTheme="majorEastAsia"/>
                <w:kern w:val="0"/>
              </w:rPr>
              <w:t>5</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5</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AED除颤电极适配器1个</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w:t>
            </w:r>
            <w:r>
              <w:rPr>
                <w:rFonts w:hint="eastAsia" w:cs="Times New Roman" w:asciiTheme="majorEastAsia" w:hAnsiTheme="majorEastAsia" w:eastAsiaTheme="majorEastAsia"/>
                <w:kern w:val="0"/>
              </w:rPr>
              <w:t>6</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6</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锂电池1块</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w:t>
            </w:r>
            <w:r>
              <w:rPr>
                <w:rFonts w:hint="eastAsia" w:cs="Times New Roman" w:asciiTheme="majorEastAsia" w:hAnsiTheme="majorEastAsia" w:eastAsiaTheme="majorEastAsia"/>
                <w:kern w:val="0"/>
              </w:rPr>
              <w:t>7</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7</w:t>
            </w:r>
          </w:p>
        </w:tc>
        <w:tc>
          <w:tcPr>
            <w:tcW w:w="482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热敏打印纸1卷</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48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b/>
                <w:bCs/>
                <w:kern w:val="0"/>
              </w:rPr>
            </w:pPr>
          </w:p>
        </w:tc>
        <w:tc>
          <w:tcPr>
            <w:tcW w:w="15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482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≥3年</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482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维修到达现场时间≤ 6小时（本地）</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维修到达现场时间≤24小时（外地）</w:t>
            </w: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482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配件供应时间≥10年</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482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提供耗材及主要零配件目录（含报价）</w:t>
            </w: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48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提供详细操作手册、维修保养手册、安装手册等</w:t>
            </w:r>
          </w:p>
        </w:tc>
        <w:tc>
          <w:tcPr>
            <w:tcW w:w="15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482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提供维修专用工具1套</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482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保修期内提供定期维护保养服务</w:t>
            </w: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482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开放</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482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终身免费软件升级</w:t>
            </w: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482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528"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482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528"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90713968"/>
      <w:bookmarkStart w:id="11" w:name="_Toc37172689"/>
      <w:bookmarkStart w:id="12" w:name="_Toc285612601"/>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bookmarkStart w:id="24" w:name="_GoBack"/>
      <w:bookmarkEnd w:id="24"/>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088" w:type="dxa"/>
            <w:gridSpan w:val="2"/>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708" w:type="dxa"/>
            <w:vAlign w:val="center"/>
          </w:tcPr>
          <w:p>
            <w:pPr>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满足招标文件要求且报价最低的为评审基准价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基准业绩=近三年（截止开标时间）所投产品有效合同累计销售最高数量（以有效合同份数计算）</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52"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852" w:type="dxa"/>
            <w:vMerge w:val="continue"/>
            <w:vAlign w:val="center"/>
          </w:tcPr>
          <w:p>
            <w:pPr>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52"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852" w:type="dxa"/>
            <w:vMerge w:val="continue"/>
            <w:vAlign w:val="center"/>
          </w:tcPr>
          <w:p>
            <w:pPr>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708" w:type="dxa"/>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1.可以量化排名的</w:t>
            </w:r>
            <w:r>
              <w:rPr>
                <w:rFonts w:hint="eastAsia" w:ascii="宋体" w:hAnsi="宋体" w:eastAsia="宋体" w:cs="宋体"/>
                <w:kern w:val="0"/>
                <w:szCs w:val="21"/>
              </w:rPr>
              <w:t>★</w:t>
            </w:r>
            <w:r>
              <w:rPr>
                <w:rFonts w:hint="eastAsia" w:cs="Times New Roman" w:asciiTheme="majorEastAsia" w:hAnsiTheme="majorEastAsia" w:eastAsiaTheme="majorEastAsia"/>
                <w:kern w:val="0"/>
                <w:szCs w:val="21"/>
              </w:rPr>
              <w:t>号、</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2.可以量化排名的</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 xml:space="preserve">3. </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★参数1：</w:t>
            </w:r>
            <w:r>
              <w:rPr>
                <w:rFonts w:hint="eastAsia" w:asciiTheme="minorEastAsia" w:hAnsiTheme="minorEastAsia" w:eastAsiaTheme="minorEastAsia" w:cstheme="minorEastAsia"/>
                <w:sz w:val="21"/>
                <w:szCs w:val="21"/>
              </w:rPr>
              <w:t>采用低能量智能双相波除颤，除颤能量≤200J，根据病人阻抗调整除颤波形，保证有效的经心电流。</w:t>
            </w:r>
          </w:p>
        </w:tc>
        <w:tc>
          <w:tcPr>
            <w:tcW w:w="708" w:type="dxa"/>
            <w:vAlign w:val="center"/>
          </w:tcPr>
          <w:p>
            <w:pPr>
              <w:spacing w:line="440" w:lineRule="exact"/>
              <w:jc w:val="center"/>
              <w:rPr>
                <w:rFonts w:hint="eastAsia" w:eastAsia="宋体" w:cs="Times New Roman" w:asciiTheme="minorEastAsia" w:hAnsiTheme="minorEastAsia"/>
                <w:kern w:val="0"/>
                <w:szCs w:val="21"/>
                <w:lang w:eastAsia="zh-CN"/>
              </w:rPr>
            </w:pPr>
            <w:r>
              <w:rPr>
                <w:rFonts w:hint="eastAsia" w:eastAsia="宋体" w:cs="Times New Roman" w:asciiTheme="minorEastAsia" w:hAnsiTheme="minorEastAsia"/>
                <w:kern w:val="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★参数2：</w:t>
            </w:r>
            <w:r>
              <w:rPr>
                <w:rFonts w:hint="eastAsia" w:asciiTheme="minorEastAsia" w:hAnsiTheme="minorEastAsia" w:eastAsiaTheme="minorEastAsia" w:cstheme="minorEastAsia"/>
                <w:sz w:val="21"/>
                <w:szCs w:val="21"/>
              </w:rPr>
              <w:t>显示屏幕≥6.5寸高分辨率彩色显示屏</w:t>
            </w:r>
          </w:p>
        </w:tc>
        <w:tc>
          <w:tcPr>
            <w:tcW w:w="708" w:type="dxa"/>
            <w:vAlign w:val="center"/>
          </w:tcPr>
          <w:p>
            <w:pPr>
              <w:spacing w:line="440" w:lineRule="exact"/>
              <w:jc w:val="center"/>
              <w:rPr>
                <w:rFonts w:hint="eastAsia" w:eastAsia="宋体" w:cs="Times New Roman" w:asciiTheme="minorEastAsia" w:hAnsiTheme="minorEastAsia"/>
                <w:kern w:val="0"/>
                <w:sz w:val="20"/>
                <w:szCs w:val="21"/>
                <w:lang w:eastAsia="zh-CN"/>
              </w:rPr>
            </w:pPr>
            <w:r>
              <w:rPr>
                <w:rFonts w:hint="eastAsia" w:eastAsia="宋体" w:cs="Times New Roman" w:asciiTheme="minorEastAsia" w:hAnsiTheme="minorEastAsia"/>
                <w:kern w:val="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★参数3：</w:t>
            </w:r>
            <w:r>
              <w:rPr>
                <w:rFonts w:hint="eastAsia" w:asciiTheme="minorEastAsia" w:hAnsiTheme="minorEastAsia" w:eastAsiaTheme="minorEastAsia" w:cstheme="minorEastAsia"/>
                <w:sz w:val="21"/>
                <w:szCs w:val="21"/>
              </w:rPr>
              <w:t>手动除颤最低能量为1J，且1-10J都均可选，除颤能量选择采用旋钮式</w:t>
            </w:r>
          </w:p>
        </w:tc>
        <w:tc>
          <w:tcPr>
            <w:tcW w:w="708" w:type="dxa"/>
            <w:vAlign w:val="center"/>
          </w:tcPr>
          <w:p>
            <w:pPr>
              <w:spacing w:line="440" w:lineRule="exact"/>
              <w:jc w:val="center"/>
              <w:rPr>
                <w:rFonts w:hint="eastAsia" w:eastAsia="宋体" w:cs="Times New Roman" w:asciiTheme="minorEastAsia" w:hAnsiTheme="minorEastAsia"/>
                <w:kern w:val="0"/>
                <w:sz w:val="20"/>
                <w:szCs w:val="21"/>
                <w:lang w:eastAsia="zh-CN"/>
              </w:rPr>
            </w:pPr>
            <w:r>
              <w:rPr>
                <w:rFonts w:hint="eastAsia" w:eastAsia="宋体" w:cs="Times New Roman" w:asciiTheme="minorEastAsia" w:hAnsiTheme="minorEastAsia"/>
                <w:kern w:val="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▲参数4：</w:t>
            </w:r>
            <w:r>
              <w:rPr>
                <w:rFonts w:hint="eastAsia" w:asciiTheme="minorEastAsia" w:hAnsiTheme="minorEastAsia" w:eastAsiaTheme="minorEastAsia" w:cstheme="minorEastAsia"/>
                <w:sz w:val="21"/>
                <w:szCs w:val="21"/>
              </w:rPr>
              <w:t>防水、防固体渗入等级≥IP54</w:t>
            </w:r>
          </w:p>
        </w:tc>
        <w:tc>
          <w:tcPr>
            <w:tcW w:w="708" w:type="dxa"/>
            <w:vAlign w:val="center"/>
          </w:tcPr>
          <w:p>
            <w:pPr>
              <w:spacing w:line="440" w:lineRule="exact"/>
              <w:jc w:val="center"/>
              <w:rPr>
                <w:rFonts w:hint="eastAsia" w:eastAsia="宋体" w:cs="Times New Roman" w:asciiTheme="minorEastAsia" w:hAnsiTheme="minorEastAsia"/>
                <w:kern w:val="0"/>
                <w:sz w:val="20"/>
                <w:szCs w:val="21"/>
                <w:lang w:eastAsia="zh-CN"/>
              </w:rPr>
            </w:pPr>
            <w:r>
              <w:rPr>
                <w:rFonts w:hint="eastAsia" w:eastAsia="宋体" w:cs="Times New Roman" w:asciiTheme="minorEastAsia" w:hAnsiTheme="minorEastAsia"/>
                <w:kern w:val="0"/>
                <w:sz w:val="2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▲参数5：</w:t>
            </w:r>
            <w:r>
              <w:rPr>
                <w:rFonts w:hint="eastAsia" w:asciiTheme="minorEastAsia" w:hAnsiTheme="minorEastAsia" w:eastAsiaTheme="minorEastAsia" w:cstheme="minorEastAsia"/>
                <w:bCs/>
                <w:sz w:val="21"/>
                <w:szCs w:val="21"/>
              </w:rPr>
              <w:t>成人儿童一体化除颤电极板，具备病人接触是否良好的指示灯</w:t>
            </w:r>
          </w:p>
        </w:tc>
        <w:tc>
          <w:tcPr>
            <w:tcW w:w="708" w:type="dxa"/>
            <w:vAlign w:val="center"/>
          </w:tcPr>
          <w:p>
            <w:pPr>
              <w:spacing w:line="440" w:lineRule="exact"/>
              <w:jc w:val="center"/>
              <w:rPr>
                <w:rFonts w:hint="eastAsia" w:eastAsia="宋体" w:cs="Times New Roman" w:asciiTheme="minorEastAsia" w:hAnsiTheme="minorEastAsia"/>
                <w:kern w:val="0"/>
                <w:sz w:val="20"/>
                <w:szCs w:val="21"/>
                <w:lang w:eastAsia="zh-CN"/>
              </w:rPr>
            </w:pPr>
            <w:r>
              <w:rPr>
                <w:rFonts w:hint="eastAsia" w:eastAsia="宋体" w:cs="Times New Roman" w:asciiTheme="minorEastAsia" w:hAnsiTheme="minorEastAsia"/>
                <w:kern w:val="0"/>
                <w:sz w:val="2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▲参数6：</w:t>
            </w:r>
            <w:r>
              <w:rPr>
                <w:rFonts w:hint="eastAsia" w:asciiTheme="minorEastAsia" w:hAnsiTheme="minorEastAsia" w:eastAsiaTheme="minorEastAsia" w:cstheme="minorEastAsia"/>
                <w:sz w:val="21"/>
                <w:szCs w:val="21"/>
              </w:rPr>
              <w:t>具备状态指示器</w:t>
            </w:r>
          </w:p>
        </w:tc>
        <w:tc>
          <w:tcPr>
            <w:tcW w:w="708" w:type="dxa"/>
            <w:vAlign w:val="center"/>
          </w:tcPr>
          <w:p>
            <w:pPr>
              <w:spacing w:line="440" w:lineRule="exact"/>
              <w:jc w:val="center"/>
              <w:rPr>
                <w:rFonts w:hint="eastAsia" w:eastAsia="宋体" w:cs="Times New Roman" w:asciiTheme="minorEastAsia" w:hAnsiTheme="minorEastAsia"/>
                <w:kern w:val="0"/>
                <w:sz w:val="20"/>
                <w:szCs w:val="21"/>
                <w:lang w:eastAsia="zh-CN"/>
              </w:rPr>
            </w:pPr>
            <w:r>
              <w:rPr>
                <w:rFonts w:hint="eastAsia" w:eastAsia="宋体" w:cs="Times New Roman" w:asciiTheme="minorEastAsia" w:hAnsiTheme="minorEastAsia"/>
                <w:kern w:val="0"/>
                <w:sz w:val="2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▲参数7：</w:t>
            </w:r>
            <w:r>
              <w:rPr>
                <w:rFonts w:hint="eastAsia" w:asciiTheme="minorEastAsia" w:hAnsiTheme="minorEastAsia" w:eastAsiaTheme="minorEastAsia" w:cstheme="minorEastAsia"/>
                <w:sz w:val="21"/>
                <w:szCs w:val="21"/>
              </w:rPr>
              <w:t>具备关机自检功能，无论设备时在关机状态还是工作状态，都具备每小时，每天，每周定期自检（需提供证明材料）</w:t>
            </w:r>
          </w:p>
        </w:tc>
        <w:tc>
          <w:tcPr>
            <w:tcW w:w="708" w:type="dxa"/>
            <w:vAlign w:val="center"/>
          </w:tcPr>
          <w:p>
            <w:pPr>
              <w:spacing w:line="440" w:lineRule="exact"/>
              <w:jc w:val="center"/>
              <w:rPr>
                <w:rFonts w:hint="eastAsia" w:eastAsia="宋体" w:cs="Times New Roman" w:asciiTheme="minorEastAsia" w:hAnsiTheme="minorEastAsia"/>
                <w:kern w:val="0"/>
                <w:sz w:val="20"/>
                <w:szCs w:val="21"/>
                <w:lang w:eastAsia="zh-CN"/>
              </w:rPr>
            </w:pPr>
            <w:r>
              <w:rPr>
                <w:rFonts w:hint="eastAsia" w:eastAsia="宋体" w:cs="Times New Roman" w:asciiTheme="minorEastAsia" w:hAnsiTheme="minorEastAsia"/>
                <w:kern w:val="0"/>
                <w:sz w:val="2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参数8：</w:t>
            </w:r>
            <w:r>
              <w:rPr>
                <w:rFonts w:hint="eastAsia" w:asciiTheme="minorEastAsia" w:hAnsiTheme="minorEastAsia" w:eastAsiaTheme="minorEastAsia" w:cstheme="minorEastAsia"/>
                <w:sz w:val="21"/>
                <w:szCs w:val="21"/>
              </w:rPr>
              <w:t>AED功能具备一键切换成人及婴幼儿儿童模式</w:t>
            </w:r>
          </w:p>
        </w:tc>
        <w:tc>
          <w:tcPr>
            <w:tcW w:w="708" w:type="dxa"/>
            <w:vAlign w:val="center"/>
          </w:tcPr>
          <w:p>
            <w:pPr>
              <w:spacing w:line="440" w:lineRule="exact"/>
              <w:jc w:val="center"/>
              <w:rPr>
                <w:rFonts w:hint="eastAsia" w:eastAsia="宋体" w:cs="Times New Roman" w:asciiTheme="minorEastAsia" w:hAnsiTheme="minorEastAsia"/>
                <w:kern w:val="0"/>
                <w:sz w:val="20"/>
                <w:szCs w:val="21"/>
                <w:lang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参数9：</w:t>
            </w:r>
            <w:r>
              <w:rPr>
                <w:rFonts w:hint="eastAsia" w:asciiTheme="minorEastAsia" w:hAnsiTheme="minorEastAsia" w:eastAsiaTheme="minorEastAsia" w:cstheme="minorEastAsia"/>
                <w:sz w:val="21"/>
                <w:szCs w:val="21"/>
              </w:rPr>
              <w:t>标配手动除颤，AED和同步电复律功能</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参数10：</w:t>
            </w:r>
            <w:r>
              <w:rPr>
                <w:rFonts w:hint="eastAsia" w:asciiTheme="minorEastAsia" w:hAnsiTheme="minorEastAsia" w:eastAsiaTheme="minorEastAsia" w:cstheme="minorEastAsia"/>
                <w:sz w:val="21"/>
                <w:szCs w:val="21"/>
              </w:rPr>
              <w:t>标配三导心电监测功能，可升级到五导心电监护</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参数11：</w:t>
            </w:r>
            <w:r>
              <w:rPr>
                <w:rFonts w:hint="eastAsia" w:asciiTheme="minorEastAsia" w:hAnsiTheme="minorEastAsia" w:eastAsiaTheme="minorEastAsia" w:cstheme="minorEastAsia"/>
                <w:sz w:val="21"/>
                <w:szCs w:val="21"/>
              </w:rPr>
              <w:t>具有快速电击技术，启动AED模式到通电完成时间≤8秒</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参数12：</w:t>
            </w:r>
            <w:r>
              <w:rPr>
                <w:rFonts w:hint="eastAsia" w:asciiTheme="minorEastAsia" w:hAnsiTheme="minorEastAsia" w:eastAsiaTheme="minorEastAsia" w:cstheme="minorEastAsia"/>
                <w:sz w:val="21"/>
                <w:szCs w:val="21"/>
              </w:rPr>
              <w:t>可进行持续心电监护，可识别≥9种常见的心率/心律失常报警，有心率快/心率慢、心搏停止、室颤/室速、室速、极度心动过速、室性早搏心率、起搏器未夺获、起搏器未起搏</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参数13：</w:t>
            </w:r>
            <w:r>
              <w:rPr>
                <w:rFonts w:hint="eastAsia" w:asciiTheme="minorEastAsia" w:hAnsiTheme="minorEastAsia" w:eastAsiaTheme="minorEastAsia" w:cstheme="minorEastAsia"/>
                <w:sz w:val="21"/>
                <w:szCs w:val="21"/>
              </w:rPr>
              <w:t>除颤能量采用旋钮选择方式，而非按键选择能量，方便快捷节约抢救时间</w:t>
            </w:r>
          </w:p>
        </w:tc>
        <w:tc>
          <w:tcPr>
            <w:tcW w:w="708" w:type="dxa"/>
            <w:vAlign w:val="center"/>
          </w:tcPr>
          <w:p>
            <w:pPr>
              <w:spacing w:line="440" w:lineRule="exact"/>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参数1</w:t>
            </w: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z w:val="21"/>
                <w:szCs w:val="21"/>
              </w:rPr>
              <w:t>具备生命体征趋势回顾功能</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零配件支持：提供零配件全国统一报价，更换配件价格不超过统一报价的70%。在满足招标文件要求的基础上，根据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285612603"/>
      <w:bookmarkStart w:id="16" w:name="_Toc390713969"/>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390713970"/>
      <w:bookmarkStart w:id="20" w:name="_Toc240432233"/>
      <w:bookmarkStart w:id="21" w:name="_Toc37172691"/>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_x0000_s1026" o:spid="_x0000_s1026" o:spt="202" type="#_x0000_t202" style="position:absolute;left:0pt;margin-left:226.9pt;margin-top:10.35pt;height:103.9pt;width:209.1pt;z-index:251672576;v-text-anchor:middle;mso-width-relative:page;mso-height-relative:page;"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9" o:spid="_x0000_s1029" o:spt="202" type="#_x0000_t202" style="position:absolute;left:0pt;margin-left:2.1pt;margin-top:10.35pt;height:103.9pt;width:206.6pt;z-index:251671552;v-text-anchor:middle;mso-width-relative:page;mso-height-relative:page;"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_x0000_s1028" o:spid="_x0000_s1028" o:spt="202" type="#_x0000_t202" style="position:absolute;left:0pt;margin-left:228.25pt;margin-top:14.25pt;height:105.95pt;width:210.95pt;z-index:251675648;v-text-anchor:middle;mso-width-relative:page;mso-height-relative:page;"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7" o:spid="_x0000_s1027" o:spt="202" type="#_x0000_t202" style="position:absolute;left:0pt;margin-left:1.4pt;margin-top:15.6pt;height:104.6pt;width:211.6pt;z-index:251674624;v-text-anchor:middle;mso-width-relative:page;mso-height-relative:page;"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17</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F66DCB"/>
    <w:multiLevelType w:val="singleLevel"/>
    <w:tmpl w:val="C3F66DCB"/>
    <w:lvl w:ilvl="0" w:tentative="0">
      <w:start w:val="1"/>
      <w:numFmt w:val="chineseCounting"/>
      <w:suff w:val="nothing"/>
      <w:lvlText w:val="%1、"/>
      <w:lvlJc w:val="left"/>
      <w:rPr>
        <w:rFonts w:hint="eastAsia"/>
      </w:r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32D2"/>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04A"/>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E736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1AF13D3"/>
    <w:rsid w:val="085B349E"/>
    <w:rsid w:val="09E20C6C"/>
    <w:rsid w:val="2FD43BE6"/>
    <w:rsid w:val="3259156B"/>
    <w:rsid w:val="37413786"/>
    <w:rsid w:val="3F8954F4"/>
    <w:rsid w:val="4FF30770"/>
    <w:rsid w:val="53EB6657"/>
    <w:rsid w:val="576D73E2"/>
    <w:rsid w:val="5B543DA8"/>
    <w:rsid w:val="631B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67327-83E0-4B5B-934B-2388B3B792D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4994</Words>
  <Characters>28469</Characters>
  <Lines>237</Lines>
  <Paragraphs>66</Paragraphs>
  <TotalTime>0</TotalTime>
  <ScaleCrop>false</ScaleCrop>
  <LinksUpToDate>false</LinksUpToDate>
  <CharactersWithSpaces>33397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2020-06-09T08:36:00Z</cp:lastPrinted>
  <dcterms:modified xsi:type="dcterms:W3CDTF">2020-11-23T08:11:15Z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