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生物安全建设设备（2）（第二次）</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w:t>
      </w:r>
      <w:r>
        <w:rPr>
          <w:rFonts w:hint="eastAsia" w:ascii="宋体" w:hAnsi="宋体" w:eastAsia="宋体" w:cs="Times New Roman"/>
          <w:kern w:val="0"/>
          <w:sz w:val="36"/>
          <w:szCs w:val="36"/>
          <w:u w:val="single"/>
          <w:lang w:val="en-US" w:eastAsia="zh-CN"/>
        </w:rPr>
        <w:t>77</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四</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关于生物安全建设设备（2）（第二次）的采购</w:t>
      </w:r>
      <w:r>
        <w:rPr>
          <w:rFonts w:ascii="Tahoma" w:hAnsi="Tahoma" w:cs="Tahoma"/>
          <w:b/>
          <w:bCs/>
          <w:kern w:val="0"/>
          <w:sz w:val="28"/>
          <w:szCs w:val="28"/>
        </w:rPr>
        <w:t>公告</w:t>
      </w:r>
      <w:r>
        <w:rPr>
          <w:rFonts w:hint="eastAsia" w:ascii="Tahoma" w:hAnsi="Tahoma" w:cs="Tahoma"/>
          <w:kern w:val="0"/>
          <w:sz w:val="28"/>
          <w:szCs w:val="28"/>
        </w:rPr>
        <w:t>2020-XNYY-YQ-1</w:t>
      </w:r>
      <w:r>
        <w:rPr>
          <w:rFonts w:hint="eastAsia" w:ascii="Tahoma" w:hAnsi="Tahoma" w:cs="Tahoma"/>
          <w:kern w:val="0"/>
          <w:sz w:val="28"/>
          <w:szCs w:val="28"/>
          <w:lang w:val="en-US" w:eastAsia="zh-CN"/>
        </w:rPr>
        <w:t>77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生物安全建设设备（2）</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w:t>
      </w:r>
      <w:r>
        <w:rPr>
          <w:rFonts w:hint="eastAsia" w:ascii="宋体" w:hAnsi="宋体" w:eastAsia="宋体" w:cs="Times New Roman"/>
          <w:kern w:val="0"/>
          <w:sz w:val="24"/>
          <w:szCs w:val="24"/>
          <w:lang w:val="en-US" w:eastAsia="zh-CN"/>
        </w:rPr>
        <w:t>77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二氧化碳细胞培养箱</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2021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90713967"/>
      <w:bookmarkStart w:id="6" w:name="_Toc3778028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二氧化碳细胞培养箱</w:t>
            </w:r>
            <w:bookmarkStart w:id="26" w:name="_GoBack"/>
            <w:bookmarkEnd w:id="26"/>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b w:val="0"/>
          <w:bCs w:val="0"/>
          <w:kern w:val="0"/>
          <w:sz w:val="24"/>
          <w:szCs w:val="24"/>
          <w:lang w:val="zh-CN"/>
        </w:rPr>
        <w:t>注：“关键技术指标参数”以“★”标记，有1项不满足按无效投标处理；“重要技术指标参数”以“▲”标记；“一般技术指标参数”不作标记。 投标人须提供★号参数技术支持资料，包括但不限于制造商公开发布的资料【含制造商出具的产品规格表或国家认可权威检测机构出具的检测报告或技术白皮书或产品彩页（含复印件）等】</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85612601"/>
      <w:bookmarkStart w:id="11" w:name="_Toc37780285"/>
      <w:bookmarkStart w:id="12" w:name="_Toc24043223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435540981"/>
      <w:bookmarkStart w:id="16" w:name="_Toc285612603"/>
      <w:bookmarkStart w:id="17" w:name="_Toc390713969"/>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1210134167"/>
              </w:rPr>
              <w:t>单位名</w:t>
            </w:r>
            <w:r>
              <w:rPr>
                <w:rFonts w:hint="eastAsia" w:ascii="宋体" w:hAnsi="宋体" w:eastAsia="宋体" w:cs="Times New Roman"/>
                <w:bCs/>
                <w:spacing w:val="0"/>
                <w:kern w:val="0"/>
                <w:szCs w:val="21"/>
                <w:fitText w:val="1170" w:id="1210134167"/>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37172691"/>
      <w:bookmarkStart w:id="21" w:name="_Toc435540982"/>
      <w:bookmarkStart w:id="22" w:name="_Toc285612604"/>
      <w:bookmarkStart w:id="23" w:name="_Toc240432233"/>
      <w:bookmarkStart w:id="24" w:name="_Toc37780287"/>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Theme="minorEastAsia" w:hAnsiTheme="minorEastAsia"/>
          <w:b/>
          <w:bCs/>
          <w:kern w:val="0"/>
          <w:sz w:val="28"/>
          <w:szCs w:val="32"/>
        </w:rPr>
      </w:pPr>
      <w:r>
        <w:rPr>
          <w:rFonts w:asciiTheme="minorEastAsia" w:hAnsiTheme="minorEastAsia"/>
          <w:b/>
          <w:bCs/>
          <w:kern w:val="0"/>
          <w:sz w:val="40"/>
          <w:szCs w:val="44"/>
        </w:rPr>
        <w:t>二氧化碳细胞培养箱技术</w:t>
      </w:r>
      <w:r>
        <w:rPr>
          <w:rFonts w:hint="eastAsia" w:asciiTheme="minorEastAsia" w:hAnsiTheme="minorEastAsia"/>
          <w:b/>
          <w:bCs/>
          <w:kern w:val="0"/>
          <w:sz w:val="40"/>
          <w:szCs w:val="44"/>
        </w:rPr>
        <w:t>要求</w:t>
      </w:r>
    </w:p>
    <w:tbl>
      <w:tblPr>
        <w:tblStyle w:val="17"/>
        <w:tblW w:w="9106" w:type="dxa"/>
        <w:jc w:val="center"/>
        <w:tblLayout w:type="fixed"/>
        <w:tblCellMar>
          <w:top w:w="0" w:type="dxa"/>
          <w:left w:w="0" w:type="dxa"/>
          <w:bottom w:w="0" w:type="dxa"/>
          <w:right w:w="0" w:type="dxa"/>
        </w:tblCellMar>
      </w:tblPr>
      <w:tblGrid>
        <w:gridCol w:w="976"/>
        <w:gridCol w:w="2300"/>
        <w:gridCol w:w="3983"/>
        <w:gridCol w:w="1847"/>
      </w:tblGrid>
      <w:tr>
        <w:tblPrEx>
          <w:tblCellMar>
            <w:top w:w="0" w:type="dxa"/>
            <w:left w:w="0" w:type="dxa"/>
            <w:bottom w:w="0" w:type="dxa"/>
            <w:right w:w="0" w:type="dxa"/>
          </w:tblCellMar>
        </w:tblPrEx>
        <w:trPr>
          <w:trHeight w:val="660" w:hRule="atLeast"/>
          <w:tblHeader/>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b/>
                <w:color w:val="000000"/>
                <w:sz w:val="24"/>
                <w:szCs w:val="24"/>
              </w:rPr>
            </w:pPr>
            <w:r>
              <w:rPr>
                <w:rFonts w:ascii="Times New Roman" w:hAnsi="Times New Roman"/>
                <w:b/>
                <w:color w:val="000000"/>
                <w:kern w:val="0"/>
              </w:rPr>
              <w:t>序号</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b/>
                <w:color w:val="000000"/>
                <w:sz w:val="24"/>
                <w:szCs w:val="24"/>
              </w:rPr>
            </w:pPr>
            <w:r>
              <w:rPr>
                <w:rFonts w:ascii="Times New Roman" w:hAnsi="Times New Roman"/>
                <w:b/>
                <w:color w:val="000000"/>
                <w:kern w:val="0"/>
              </w:rPr>
              <w:t>技术和性能参数名称</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b/>
                <w:color w:val="000000"/>
                <w:sz w:val="24"/>
                <w:szCs w:val="24"/>
              </w:rPr>
            </w:pPr>
            <w:r>
              <w:rPr>
                <w:rFonts w:ascii="Times New Roman" w:hAnsi="Times New Roman"/>
                <w:b/>
                <w:color w:val="000000"/>
                <w:kern w:val="0"/>
              </w:rPr>
              <w:t>技术参数和性能要求</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b/>
                <w:color w:val="000000"/>
                <w:sz w:val="24"/>
                <w:szCs w:val="24"/>
              </w:rPr>
            </w:pPr>
            <w:r>
              <w:rPr>
                <w:rFonts w:ascii="Times New Roman" w:hAnsi="Times New Roman"/>
                <w:b/>
                <w:color w:val="000000"/>
                <w:kern w:val="0"/>
              </w:rPr>
              <w:t>备注</w:t>
            </w:r>
          </w:p>
        </w:tc>
      </w:tr>
      <w:tr>
        <w:tblPrEx>
          <w:tblCellMar>
            <w:top w:w="0" w:type="dxa"/>
            <w:left w:w="0" w:type="dxa"/>
            <w:bottom w:w="0" w:type="dxa"/>
            <w:right w:w="0" w:type="dxa"/>
          </w:tblCellMar>
        </w:tblPrEx>
        <w:trPr>
          <w:trHeight w:val="478"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b/>
                <w:color w:val="000000"/>
                <w:sz w:val="24"/>
                <w:szCs w:val="24"/>
              </w:rPr>
            </w:pPr>
            <w:r>
              <w:rPr>
                <w:rFonts w:ascii="Times New Roman" w:hAnsi="Times New Roman"/>
                <w:b/>
                <w:color w:val="000000"/>
                <w:kern w:val="0"/>
              </w:rPr>
              <w:t>1</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b/>
                <w:color w:val="000000"/>
                <w:sz w:val="24"/>
                <w:szCs w:val="24"/>
              </w:rPr>
            </w:pPr>
            <w:r>
              <w:rPr>
                <w:rFonts w:ascii="Times New Roman" w:hAnsi="Times New Roman"/>
                <w:b/>
                <w:color w:val="000000"/>
                <w:kern w:val="0"/>
              </w:rPr>
              <w:t>设备使用需求</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left"/>
              <w:rPr>
                <w:rFonts w:ascii="Times New Roman" w:hAnsi="Times New Roman"/>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555"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1.1</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设备用途</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bCs/>
                <w:szCs w:val="21"/>
              </w:rPr>
              <w:t>科室P2+实验室建设需要，</w:t>
            </w:r>
            <w:r>
              <w:rPr>
                <w:rFonts w:ascii="Times New Roman" w:hAnsi="Times New Roman"/>
                <w:color w:val="000000"/>
                <w:kern w:val="0"/>
              </w:rPr>
              <w:t>用于细胞培养</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379"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1.2</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实验对象</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各种细胞系</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457"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1.3</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特殊功能需求</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left"/>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393"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b/>
                <w:color w:val="000000"/>
                <w:sz w:val="24"/>
                <w:szCs w:val="24"/>
              </w:rPr>
            </w:pPr>
            <w:r>
              <w:rPr>
                <w:rFonts w:ascii="Times New Roman" w:hAnsi="Times New Roman"/>
                <w:b/>
                <w:color w:val="000000"/>
                <w:kern w:val="0"/>
              </w:rPr>
              <w:t>2</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b/>
                <w:color w:val="000000"/>
                <w:sz w:val="24"/>
                <w:szCs w:val="24"/>
              </w:rPr>
            </w:pPr>
            <w:r>
              <w:rPr>
                <w:rFonts w:ascii="Times New Roman" w:hAnsi="Times New Roman"/>
                <w:b/>
                <w:color w:val="000000"/>
                <w:kern w:val="0"/>
              </w:rPr>
              <w:t>主要技术参数</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keepNext w:val="0"/>
              <w:keepLines w:val="0"/>
              <w:pageBreakBefore w:val="0"/>
              <w:kinsoku/>
              <w:wordWrap/>
              <w:overflowPunct/>
              <w:topLinePunct w:val="0"/>
              <w:autoSpaceDE/>
              <w:autoSpaceDN/>
              <w:bidi w:val="0"/>
              <w:adjustRightInd w:val="0"/>
              <w:snapToGrid w:val="0"/>
              <w:spacing w:line="360" w:lineRule="auto"/>
              <w:jc w:val="left"/>
              <w:rPr>
                <w:rFonts w:ascii="Times New Roman" w:hAnsi="Times New Roman"/>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1365"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2.1</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hint="eastAsia" w:ascii="宋体" w:hAnsi="宋体" w:cs="宋体"/>
                <w:color w:val="000000"/>
                <w:kern w:val="0"/>
              </w:rPr>
              <w:t>★</w:t>
            </w:r>
            <w:r>
              <w:rPr>
                <w:rFonts w:ascii="Times New Roman" w:hAnsi="Times New Roman"/>
                <w:color w:val="000000"/>
                <w:kern w:val="0"/>
              </w:rPr>
              <w:t>参数1</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内置高效过滤系统，持续除菌，箱体关闭后≤5分钟内达到空气100级，箱体内空气过滤一次不超过1分钟</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rPr>
                <w:rFonts w:ascii="Times New Roman" w:hAnsi="Times New Roman"/>
                <w:color w:val="000000"/>
                <w:sz w:val="18"/>
                <w:szCs w:val="18"/>
              </w:rPr>
            </w:pPr>
          </w:p>
        </w:tc>
      </w:tr>
      <w:tr>
        <w:tblPrEx>
          <w:tblCellMar>
            <w:top w:w="0" w:type="dxa"/>
            <w:left w:w="0" w:type="dxa"/>
            <w:bottom w:w="0" w:type="dxa"/>
            <w:right w:w="0" w:type="dxa"/>
          </w:tblCellMar>
        </w:tblPrEx>
        <w:trPr>
          <w:trHeight w:val="921"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2.2</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hint="eastAsia" w:ascii="宋体" w:hAnsi="宋体" w:cs="宋体"/>
                <w:color w:val="000000"/>
                <w:kern w:val="0"/>
              </w:rPr>
              <w:t>★</w:t>
            </w:r>
            <w:r>
              <w:rPr>
                <w:rFonts w:ascii="Times New Roman" w:hAnsi="Times New Roman"/>
                <w:color w:val="000000"/>
                <w:kern w:val="0"/>
              </w:rPr>
              <w:t>参数2</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有效容积：≥180L，至少可以配置12块不锈钢隔板</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rPr>
                <w:rFonts w:ascii="Times New Roman" w:hAnsi="Times New Roman"/>
                <w:color w:val="000000"/>
                <w:sz w:val="18"/>
                <w:szCs w:val="18"/>
              </w:rPr>
            </w:pPr>
          </w:p>
        </w:tc>
      </w:tr>
      <w:tr>
        <w:tblPrEx>
          <w:tblCellMar>
            <w:top w:w="0" w:type="dxa"/>
            <w:left w:w="0" w:type="dxa"/>
            <w:bottom w:w="0" w:type="dxa"/>
            <w:right w:w="0" w:type="dxa"/>
          </w:tblCellMar>
        </w:tblPrEx>
        <w:trPr>
          <w:trHeight w:val="530"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2.3</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Style w:val="48"/>
                <w:rFonts w:hint="default"/>
              </w:rPr>
              <w:t>★</w:t>
            </w:r>
            <w:r>
              <w:rPr>
                <w:rStyle w:val="48"/>
                <w:rFonts w:hint="default" w:ascii="Times New Roman" w:hAnsi="Times New Roman" w:cs="Times New Roman"/>
              </w:rPr>
              <w:t>参数3</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箱内温度稳定，波动越小越好</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rPr>
                <w:rFonts w:ascii="Times New Roman" w:hAnsi="Times New Roman"/>
                <w:color w:val="000000"/>
                <w:sz w:val="18"/>
                <w:szCs w:val="18"/>
              </w:rPr>
            </w:pPr>
          </w:p>
        </w:tc>
      </w:tr>
      <w:tr>
        <w:tblPrEx>
          <w:tblCellMar>
            <w:top w:w="0" w:type="dxa"/>
            <w:left w:w="0" w:type="dxa"/>
            <w:bottom w:w="0" w:type="dxa"/>
            <w:right w:w="0" w:type="dxa"/>
          </w:tblCellMar>
        </w:tblPrEx>
        <w:trPr>
          <w:trHeight w:val="602"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2.4</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Style w:val="48"/>
                <w:rFonts w:hint="default"/>
              </w:rPr>
              <w:t>★</w:t>
            </w:r>
            <w:r>
              <w:rPr>
                <w:rStyle w:val="48"/>
                <w:rFonts w:hint="default" w:ascii="Times New Roman" w:hAnsi="Times New Roman" w:cs="Times New Roman"/>
              </w:rPr>
              <w:t>参数4</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精准温度探头，独立的超温保险/报警</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rPr>
                <w:rFonts w:ascii="Times New Roman" w:hAnsi="Times New Roman"/>
                <w:color w:val="000000"/>
                <w:sz w:val="18"/>
                <w:szCs w:val="18"/>
              </w:rPr>
            </w:pPr>
          </w:p>
        </w:tc>
      </w:tr>
      <w:tr>
        <w:tblPrEx>
          <w:tblCellMar>
            <w:top w:w="0" w:type="dxa"/>
            <w:left w:w="0" w:type="dxa"/>
            <w:bottom w:w="0" w:type="dxa"/>
            <w:right w:w="0" w:type="dxa"/>
          </w:tblCellMar>
        </w:tblPrEx>
        <w:trPr>
          <w:trHeight w:val="700"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2.5</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Style w:val="48"/>
                <w:rFonts w:hint="default"/>
              </w:rPr>
              <w:t>★</w:t>
            </w:r>
            <w:r>
              <w:rPr>
                <w:rFonts w:ascii="Times New Roman" w:hAnsi="Times New Roman"/>
                <w:color w:val="000000"/>
                <w:kern w:val="0"/>
              </w:rPr>
              <w:t>参数5</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ascii="Times New Roman" w:hAnsi="Times New Roman"/>
                <w:color w:val="000000"/>
                <w:sz w:val="24"/>
                <w:szCs w:val="24"/>
              </w:rPr>
            </w:pPr>
            <w:r>
              <w:rPr>
                <w:rFonts w:ascii="Times New Roman" w:hAnsi="Times New Roman"/>
                <w:color w:val="000000"/>
                <w:kern w:val="0"/>
              </w:rPr>
              <w:t>具有高效过滤器可选,能捕获挥发性有机物和有毒气体</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rPr>
                <w:rFonts w:ascii="Times New Roman" w:hAnsi="Times New Roman"/>
                <w:color w:val="000000"/>
                <w:sz w:val="18"/>
                <w:szCs w:val="18"/>
              </w:rPr>
            </w:pPr>
          </w:p>
        </w:tc>
      </w:tr>
      <w:tr>
        <w:tblPrEx>
          <w:tblCellMar>
            <w:top w:w="0" w:type="dxa"/>
            <w:left w:w="0" w:type="dxa"/>
            <w:bottom w:w="0" w:type="dxa"/>
            <w:right w:w="0" w:type="dxa"/>
          </w:tblCellMar>
        </w:tblPrEx>
        <w:trPr>
          <w:trHeight w:val="558"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2.6</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参数6</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ascii="Times New Roman" w:hAnsi="Times New Roman"/>
                <w:color w:val="000000"/>
                <w:sz w:val="24"/>
                <w:szCs w:val="24"/>
              </w:rPr>
            </w:pPr>
            <w:r>
              <w:rPr>
                <w:rFonts w:ascii="Times New Roman" w:hAnsi="Times New Roman"/>
                <w:color w:val="000000"/>
                <w:kern w:val="0"/>
              </w:rPr>
              <w:t>温度控制精度：≤±O.1</w:t>
            </w:r>
            <w:r>
              <w:rPr>
                <w:rFonts w:hint="eastAsia" w:ascii="宋体" w:hAnsi="宋体" w:cs="宋体"/>
                <w:color w:val="000000"/>
                <w:kern w:val="0"/>
              </w:rPr>
              <w:t>℃</w:t>
            </w:r>
            <w:r>
              <w:rPr>
                <w:rFonts w:ascii="Times New Roman" w:hAnsi="Times New Roman"/>
                <w:color w:val="000000"/>
                <w:kern w:val="0"/>
              </w:rPr>
              <w:t>，温度均一性: ≤±0.2</w:t>
            </w:r>
            <w:r>
              <w:rPr>
                <w:rFonts w:hint="eastAsia" w:ascii="宋体" w:hAnsi="宋体" w:cs="宋体"/>
                <w:color w:val="000000"/>
                <w:kern w:val="0"/>
              </w:rPr>
              <w:t>℃</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558"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2.7</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参数7</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CO</w:t>
            </w:r>
            <w:r>
              <w:rPr>
                <w:rFonts w:ascii="Times New Roman" w:hAnsi="Times New Roman"/>
                <w:color w:val="000000"/>
                <w:kern w:val="0"/>
                <w:vertAlign w:val="subscript"/>
              </w:rPr>
              <w:t>2</w:t>
            </w:r>
            <w:r>
              <w:rPr>
                <w:rFonts w:ascii="Times New Roman" w:hAnsi="Times New Roman"/>
                <w:color w:val="000000"/>
                <w:kern w:val="0"/>
              </w:rPr>
              <w:t>控制精度：≤±O.1%</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700"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2.8</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参数8</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具有环境扫描微处理检测系统,可以提供声光报警功能，二氧化碳浓度及适度显示，超温设置，以及箱门关闭5min后显示空气洁净度（Class 100）等</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700"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2.9</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参数9</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可升级配备二氧化碳耐受摇床，平台载重≥6kg</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700"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2.10</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参数10</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双层玻璃内门具有加热功能</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color w:val="000000"/>
                <w:sz w:val="18"/>
                <w:szCs w:val="18"/>
              </w:rPr>
            </w:pPr>
          </w:p>
        </w:tc>
      </w:tr>
      <w:tr>
        <w:tblPrEx>
          <w:tblCellMar>
            <w:top w:w="0" w:type="dxa"/>
            <w:left w:w="0" w:type="dxa"/>
            <w:bottom w:w="0" w:type="dxa"/>
            <w:right w:w="0" w:type="dxa"/>
          </w:tblCellMar>
        </w:tblPrEx>
        <w:trPr>
          <w:trHeight w:val="488"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b/>
                <w:color w:val="000000"/>
                <w:sz w:val="24"/>
                <w:szCs w:val="24"/>
              </w:rPr>
            </w:pPr>
            <w:r>
              <w:rPr>
                <w:rFonts w:ascii="Times New Roman" w:hAnsi="Times New Roman"/>
                <w:b/>
                <w:color w:val="000000"/>
                <w:kern w:val="0"/>
              </w:rPr>
              <w:t>3</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b/>
                <w:color w:val="000000"/>
                <w:sz w:val="24"/>
                <w:szCs w:val="24"/>
              </w:rPr>
            </w:pPr>
            <w:r>
              <w:rPr>
                <w:rFonts w:ascii="Times New Roman" w:hAnsi="Times New Roman"/>
                <w:b/>
                <w:color w:val="000000"/>
                <w:kern w:val="0"/>
              </w:rPr>
              <w:t>配置需求</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keepNext w:val="0"/>
              <w:keepLines w:val="0"/>
              <w:pageBreakBefore w:val="0"/>
              <w:kinsoku/>
              <w:wordWrap/>
              <w:overflowPunct/>
              <w:topLinePunct w:val="0"/>
              <w:autoSpaceDE/>
              <w:autoSpaceDN/>
              <w:bidi w:val="0"/>
              <w:adjustRightInd w:val="0"/>
              <w:snapToGrid w:val="0"/>
              <w:spacing w:line="360" w:lineRule="auto"/>
              <w:jc w:val="left"/>
              <w:rPr>
                <w:rFonts w:ascii="Times New Roman" w:hAnsi="Times New Roman"/>
                <w:color w:val="000000"/>
                <w:sz w:val="22"/>
              </w:rPr>
            </w:pP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396"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3.1</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配置1</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二氧化碳细胞培养箱1台</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474"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3.2</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配置2</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不锈钢电抛光隔板4块</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409"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3.3</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配置3</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高效过滤系统1套</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345"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3.4</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配置4</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不锈钢增湿盘1个，容积≥3L</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600"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b/>
                <w:color w:val="000000"/>
                <w:sz w:val="24"/>
                <w:szCs w:val="24"/>
              </w:rPr>
            </w:pPr>
            <w:r>
              <w:rPr>
                <w:rFonts w:ascii="Times New Roman" w:hAnsi="Times New Roman"/>
                <w:b/>
                <w:color w:val="000000"/>
                <w:kern w:val="0"/>
              </w:rPr>
              <w:t>4</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b/>
                <w:color w:val="000000"/>
                <w:sz w:val="24"/>
                <w:szCs w:val="24"/>
              </w:rPr>
            </w:pPr>
            <w:r>
              <w:rPr>
                <w:rFonts w:ascii="Times New Roman" w:hAnsi="Times New Roman"/>
                <w:b/>
                <w:color w:val="000000"/>
                <w:kern w:val="0"/>
              </w:rPr>
              <w:t>售后服务</w:t>
            </w:r>
          </w:p>
        </w:tc>
        <w:tc>
          <w:tcPr>
            <w:tcW w:w="39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keepNext w:val="0"/>
              <w:keepLines w:val="0"/>
              <w:pageBreakBefore w:val="0"/>
              <w:kinsoku/>
              <w:wordWrap/>
              <w:overflowPunct/>
              <w:topLinePunct w:val="0"/>
              <w:autoSpaceDE/>
              <w:autoSpaceDN/>
              <w:bidi w:val="0"/>
              <w:adjustRightInd w:val="0"/>
              <w:snapToGrid w:val="0"/>
              <w:spacing w:line="360" w:lineRule="auto"/>
              <w:jc w:val="left"/>
              <w:rPr>
                <w:rFonts w:ascii="Times New Roman" w:hAnsi="Times New Roman"/>
                <w:color w:val="000000"/>
                <w:sz w:val="22"/>
              </w:rPr>
            </w:pP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427"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4.1</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保修年限</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≥3年</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600"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ascii="Times New Roman" w:hAnsi="Times New Roman"/>
                <w:color w:val="000000"/>
                <w:sz w:val="24"/>
                <w:szCs w:val="24"/>
              </w:rPr>
            </w:pPr>
            <w:r>
              <w:rPr>
                <w:rFonts w:ascii="Times New Roman" w:hAnsi="Times New Roman"/>
                <w:color w:val="000000"/>
                <w:kern w:val="0"/>
              </w:rPr>
              <w:t>4.2</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ascii="Times New Roman" w:hAnsi="Times New Roman"/>
                <w:color w:val="000000"/>
                <w:sz w:val="24"/>
                <w:szCs w:val="24"/>
              </w:rPr>
            </w:pPr>
            <w:r>
              <w:rPr>
                <w:rFonts w:ascii="Times New Roman" w:hAnsi="Times New Roman"/>
                <w:color w:val="000000"/>
                <w:kern w:val="0"/>
              </w:rPr>
              <w:t>出现故障回应时间</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textAlignment w:val="center"/>
              <w:rPr>
                <w:rFonts w:ascii="Times New Roman" w:hAnsi="Times New Roman"/>
                <w:color w:val="000000"/>
                <w:sz w:val="24"/>
                <w:szCs w:val="24"/>
              </w:rPr>
            </w:pPr>
            <w:r>
              <w:rPr>
                <w:rFonts w:ascii="Times New Roman" w:hAnsi="Times New Roman"/>
                <w:color w:val="000000"/>
                <w:kern w:val="0"/>
              </w:rPr>
              <w:t>维修到达现场时间≤ 6小时（本地）</w:t>
            </w:r>
            <w:r>
              <w:rPr>
                <w:rFonts w:ascii="Times New Roman" w:hAnsi="Times New Roman"/>
                <w:color w:val="000000"/>
                <w:kern w:val="0"/>
              </w:rPr>
              <w:br w:type="textWrapping"/>
            </w:r>
            <w:r>
              <w:rPr>
                <w:rFonts w:ascii="Times New Roman" w:hAnsi="Times New Roman"/>
                <w:color w:val="000000"/>
                <w:kern w:val="0"/>
              </w:rPr>
              <w:t>维修到达现场时间≤24小时（外地）</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393"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4.3</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维修支持</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配件供应时间≥10年</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487"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4.4</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耗材及零配件</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提供耗材及主要零配件目录（含报价）</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425"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4.5</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维修资料</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提供详细操作手册、维修保养手册、安装手册等</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506"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4.6</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维修工具</w:t>
            </w:r>
          </w:p>
        </w:tc>
        <w:tc>
          <w:tcPr>
            <w:tcW w:w="3983" w:type="dxa"/>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2"/>
              </w:rPr>
            </w:pPr>
            <w:r>
              <w:rPr>
                <w:rFonts w:ascii="Times New Roman" w:hAnsi="Times New Roman"/>
                <w:color w:val="000000"/>
                <w:kern w:val="0"/>
                <w:sz w:val="22"/>
              </w:rPr>
              <w:t>提供维修专用工具1套</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600"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4.7</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预防性维修/定期维护保养</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保修期内提供定期维护保养服务</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485"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4.8</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维修密码支持</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开放</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393"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4.9</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升级</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终身免费软件升级</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472"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4.10</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使用培训</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支持</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r>
        <w:tblPrEx>
          <w:tblCellMar>
            <w:top w:w="0" w:type="dxa"/>
            <w:left w:w="0" w:type="dxa"/>
            <w:bottom w:w="0" w:type="dxa"/>
            <w:right w:w="0" w:type="dxa"/>
          </w:tblCellMar>
        </w:tblPrEx>
        <w:trPr>
          <w:trHeight w:val="408" w:hRule="atLeast"/>
          <w:jc w:val="center"/>
        </w:trPr>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4.11</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olor w:val="000000"/>
                <w:sz w:val="24"/>
                <w:szCs w:val="24"/>
              </w:rPr>
            </w:pPr>
            <w:r>
              <w:rPr>
                <w:rFonts w:ascii="Times New Roman" w:hAnsi="Times New Roman"/>
                <w:color w:val="000000"/>
                <w:kern w:val="0"/>
              </w:rPr>
              <w:t>工程师培训</w:t>
            </w:r>
          </w:p>
        </w:tc>
        <w:tc>
          <w:tcPr>
            <w:tcW w:w="39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ascii="Times New Roman" w:hAnsi="Times New Roman"/>
                <w:color w:val="000000"/>
                <w:sz w:val="24"/>
                <w:szCs w:val="24"/>
              </w:rPr>
            </w:pPr>
            <w:r>
              <w:rPr>
                <w:rFonts w:ascii="Times New Roman" w:hAnsi="Times New Roman"/>
                <w:color w:val="000000"/>
                <w:kern w:val="0"/>
              </w:rPr>
              <w:t>支持</w:t>
            </w:r>
          </w:p>
        </w:tc>
        <w:tc>
          <w:tcPr>
            <w:tcW w:w="184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rPr>
                <w:rFonts w:ascii="Times New Roman" w:hAnsi="Times New Roman"/>
                <w:color w:val="000000"/>
                <w:sz w:val="18"/>
                <w:szCs w:val="18"/>
              </w:rPr>
            </w:pPr>
          </w:p>
        </w:tc>
      </w:tr>
    </w:tbl>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85C34"/>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A5A57"/>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2FF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37D7BFB"/>
    <w:rsid w:val="046C494D"/>
    <w:rsid w:val="06F05815"/>
    <w:rsid w:val="09375029"/>
    <w:rsid w:val="0BEE6F0F"/>
    <w:rsid w:val="0D722C63"/>
    <w:rsid w:val="12D62ACA"/>
    <w:rsid w:val="153227F0"/>
    <w:rsid w:val="17CC04BB"/>
    <w:rsid w:val="190973B4"/>
    <w:rsid w:val="217C790D"/>
    <w:rsid w:val="229647A9"/>
    <w:rsid w:val="23F7139B"/>
    <w:rsid w:val="2CEF45E0"/>
    <w:rsid w:val="2FD07A0F"/>
    <w:rsid w:val="31347C05"/>
    <w:rsid w:val="34F02DB7"/>
    <w:rsid w:val="37047811"/>
    <w:rsid w:val="3A084D6B"/>
    <w:rsid w:val="3BED7056"/>
    <w:rsid w:val="3FD04CAA"/>
    <w:rsid w:val="432A3654"/>
    <w:rsid w:val="43B56876"/>
    <w:rsid w:val="4624069A"/>
    <w:rsid w:val="46C31041"/>
    <w:rsid w:val="4C243A8E"/>
    <w:rsid w:val="4DA37C1A"/>
    <w:rsid w:val="50C23962"/>
    <w:rsid w:val="56545539"/>
    <w:rsid w:val="62CB330C"/>
    <w:rsid w:val="644F3B5D"/>
    <w:rsid w:val="656F7344"/>
    <w:rsid w:val="659C4D8A"/>
    <w:rsid w:val="674D7FE9"/>
    <w:rsid w:val="69A04336"/>
    <w:rsid w:val="6F770516"/>
    <w:rsid w:val="6FAC3495"/>
    <w:rsid w:val="70652416"/>
    <w:rsid w:val="72FE77F1"/>
    <w:rsid w:val="76E74B0D"/>
    <w:rsid w:val="7BC4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48">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1</TotalTime>
  <ScaleCrop>false</ScaleCrop>
  <LinksUpToDate>false</LinksUpToDate>
  <CharactersWithSpaces>33928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2021-04-15T11:37:54Z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329F478DECDE4B1E82643B35F7FCFF98</vt:lpwstr>
  </property>
</Properties>
</file>