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left="3990" w:leftChars="1044" w:hanging="1892" w:hangingChars="539"/>
        <w:rPr>
          <w:rFonts w:ascii="宋体" w:hAnsi="宋体" w:eastAsia="宋体" w:cs="Times New Roman"/>
          <w:kern w:val="0"/>
          <w:sz w:val="36"/>
          <w:szCs w:val="36"/>
          <w:u w:val="single"/>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MR颅内血管斑块稳定性分析后</w:t>
      </w:r>
    </w:p>
    <w:p>
      <w:pPr>
        <w:ind w:left="3984" w:leftChars="1914" w:hanging="137" w:hangingChars="39"/>
        <w:jc w:val="left"/>
        <w:rPr>
          <w:rFonts w:ascii="宋体" w:hAnsi="宋体" w:eastAsia="宋体" w:cs="Times New Roman"/>
          <w:kern w:val="0"/>
          <w:sz w:val="36"/>
          <w:szCs w:val="36"/>
        </w:rPr>
      </w:pPr>
      <w:r>
        <w:rPr>
          <w:rFonts w:hint="eastAsia" w:ascii="宋体" w:hAnsi="宋体" w:eastAsia="宋体" w:cs="Times New Roman"/>
          <w:kern w:val="0"/>
          <w:sz w:val="36"/>
          <w:szCs w:val="36"/>
          <w:u w:val="single"/>
        </w:rPr>
        <w:t>处理软件</w:t>
      </w: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2020-JL13（03）-W30019</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3"/>
          <w:rFonts w:hint="eastAsia" w:ascii="黑体" w:hAnsi="黑体" w:eastAsia="黑体"/>
        </w:rPr>
        <w:t>第一部分</w:t>
      </w:r>
      <w:r>
        <w:rPr>
          <w:rStyle w:val="23"/>
          <w:rFonts w:ascii="黑体" w:hAnsi="黑体" w:eastAsia="黑体"/>
        </w:rPr>
        <w:t xml:space="preserve">  </w:t>
      </w:r>
      <w:r>
        <w:rPr>
          <w:rStyle w:val="23"/>
          <w:rFonts w:hint="eastAsia" w:ascii="黑体" w:hAnsi="黑体" w:eastAsia="黑体"/>
        </w:rPr>
        <w:t>采购公告</w:t>
      </w:r>
      <w:r>
        <w:tab/>
      </w:r>
      <w:r>
        <w:fldChar w:fldCharType="begin"/>
      </w:r>
      <w:r>
        <w:instrText xml:space="preserve"> PAGEREF _Toc43485651 \h </w:instrText>
      </w:r>
      <w:r>
        <w:fldChar w:fldCharType="separate"/>
      </w:r>
      <w:r>
        <w:t>1</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3"/>
          <w:rFonts w:hint="eastAsia" w:ascii="黑体" w:hAnsi="黑体" w:eastAsia="黑体"/>
          <w:lang w:val="zh-CN"/>
        </w:rPr>
        <w:t>第二部分</w:t>
      </w:r>
      <w:r>
        <w:rPr>
          <w:rStyle w:val="23"/>
          <w:rFonts w:ascii="黑体" w:hAnsi="黑体" w:eastAsia="黑体"/>
          <w:lang w:val="zh-CN"/>
        </w:rPr>
        <w:t xml:space="preserve">  </w:t>
      </w:r>
      <w:r>
        <w:rPr>
          <w:rStyle w:val="23"/>
          <w:rFonts w:hint="eastAsia" w:ascii="黑体" w:hAnsi="黑体" w:eastAsia="黑体"/>
          <w:lang w:val="zh-CN"/>
        </w:rPr>
        <w:t>采购项目技</w:t>
      </w:r>
      <w:r>
        <w:rPr>
          <w:rStyle w:val="23"/>
          <w:rFonts w:hint="eastAsia" w:ascii="黑体" w:hAnsi="黑体" w:eastAsia="黑体" w:cs="宋体"/>
          <w:lang w:val="zh-CN"/>
        </w:rPr>
        <w:t>术</w:t>
      </w:r>
      <w:r>
        <w:rPr>
          <w:rStyle w:val="23"/>
          <w:rFonts w:hint="eastAsia" w:ascii="黑体" w:hAnsi="黑体" w:eastAsia="黑体" w:cs="Dotum"/>
          <w:lang w:val="zh-CN"/>
        </w:rPr>
        <w:t>和商</w:t>
      </w:r>
      <w:r>
        <w:rPr>
          <w:rStyle w:val="23"/>
          <w:rFonts w:hint="eastAsia" w:ascii="黑体" w:hAnsi="黑体" w:eastAsia="黑体" w:cs="宋体"/>
          <w:lang w:val="zh-CN"/>
        </w:rPr>
        <w:t>务</w:t>
      </w:r>
      <w:r>
        <w:rPr>
          <w:rStyle w:val="23"/>
          <w:rFonts w:hint="eastAsia" w:ascii="黑体" w:hAnsi="黑体" w:eastAsia="黑体"/>
          <w:lang w:val="zh-CN"/>
        </w:rPr>
        <w:t>要求</w:t>
      </w:r>
      <w:r>
        <w:tab/>
      </w:r>
      <w:r>
        <w:fldChar w:fldCharType="begin"/>
      </w:r>
      <w:r>
        <w:instrText xml:space="preserve"> PAGEREF _Toc43485652 \h </w:instrText>
      </w:r>
      <w:r>
        <w:fldChar w:fldCharType="separate"/>
      </w:r>
      <w:r>
        <w:t>4</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3"/>
          <w:rFonts w:hint="eastAsia" w:ascii="黑体" w:hAnsi="黑体" w:eastAsia="黑体"/>
        </w:rPr>
        <w:t>第三部分</w:t>
      </w:r>
      <w:r>
        <w:rPr>
          <w:rStyle w:val="23"/>
          <w:rFonts w:ascii="黑体" w:hAnsi="黑体" w:eastAsia="黑体"/>
        </w:rPr>
        <w:t xml:space="preserve">  </w:t>
      </w:r>
      <w:r>
        <w:rPr>
          <w:rStyle w:val="23"/>
          <w:rFonts w:hint="eastAsia" w:ascii="黑体" w:hAnsi="黑体" w:eastAsia="黑体"/>
          <w:lang w:val="zh-CN"/>
        </w:rPr>
        <w:t>报价方</w:t>
      </w:r>
      <w:r>
        <w:rPr>
          <w:rStyle w:val="23"/>
          <w:rFonts w:hint="eastAsia" w:ascii="黑体" w:hAnsi="黑体" w:eastAsia="黑体"/>
        </w:rPr>
        <w:t>须知</w:t>
      </w:r>
      <w:r>
        <w:tab/>
      </w:r>
      <w:r>
        <w:fldChar w:fldCharType="begin"/>
      </w:r>
      <w:r>
        <w:instrText xml:space="preserve"> PAGEREF _Toc43485653 \h </w:instrText>
      </w:r>
      <w:r>
        <w:fldChar w:fldCharType="separate"/>
      </w:r>
      <w:r>
        <w:t>6</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3"/>
          <w:rFonts w:hint="eastAsia" w:ascii="黑体" w:hAnsi="黑体" w:eastAsia="黑体"/>
          <w:bCs/>
        </w:rPr>
        <w:t>第四部分</w:t>
      </w:r>
      <w:r>
        <w:rPr>
          <w:rStyle w:val="23"/>
          <w:rFonts w:ascii="黑体" w:hAnsi="黑体" w:eastAsia="黑体"/>
          <w:bCs/>
        </w:rPr>
        <w:t xml:space="preserve">  </w:t>
      </w:r>
      <w:r>
        <w:rPr>
          <w:rStyle w:val="23"/>
          <w:rFonts w:hint="eastAsia" w:ascii="黑体" w:hAnsi="黑体" w:eastAsia="黑体"/>
          <w:bCs/>
        </w:rPr>
        <w:t>合同样本</w:t>
      </w:r>
      <w:r>
        <w:tab/>
      </w:r>
      <w:r>
        <w:fldChar w:fldCharType="begin"/>
      </w:r>
      <w:r>
        <w:instrText xml:space="preserve"> PAGEREF _Toc43485654 \h </w:instrText>
      </w:r>
      <w:r>
        <w:fldChar w:fldCharType="separate"/>
      </w:r>
      <w:r>
        <w:t>29</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3"/>
          <w:rFonts w:hint="eastAsia" w:ascii="黑体" w:hAnsi="黑体" w:eastAsia="黑体"/>
        </w:rPr>
        <w:t>第五部分</w:t>
      </w:r>
      <w:r>
        <w:rPr>
          <w:rStyle w:val="23"/>
          <w:rFonts w:ascii="黑体" w:hAnsi="黑体" w:eastAsia="黑体"/>
        </w:rPr>
        <w:t xml:space="preserve">  </w:t>
      </w:r>
      <w:r>
        <w:rPr>
          <w:rStyle w:val="23"/>
          <w:rFonts w:hint="eastAsia" w:ascii="黑体" w:hAnsi="黑体" w:eastAsia="黑体"/>
        </w:rPr>
        <w:t>附件</w:t>
      </w:r>
      <w:r>
        <w:rPr>
          <w:rStyle w:val="23"/>
          <w:rFonts w:ascii="黑体" w:hAnsi="黑体" w:eastAsia="黑体"/>
        </w:rPr>
        <w:t>/</w:t>
      </w:r>
      <w:r>
        <w:rPr>
          <w:rStyle w:val="23"/>
          <w:rFonts w:hint="eastAsia" w:ascii="黑体" w:hAnsi="黑体" w:eastAsia="黑体"/>
        </w:rPr>
        <w:t>报价文件格式</w:t>
      </w:r>
      <w:r>
        <w:tab/>
      </w:r>
      <w:r>
        <w:fldChar w:fldCharType="begin"/>
      </w:r>
      <w:r>
        <w:instrText xml:space="preserve"> PAGEREF _Toc43485655 \h </w:instrText>
      </w:r>
      <w:r>
        <w:fldChar w:fldCharType="separate"/>
      </w:r>
      <w:r>
        <w:t>34</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关于MR颅内血管斑块稳定性分析后处理软件采购</w:t>
      </w:r>
      <w:r>
        <w:rPr>
          <w:rFonts w:hint="eastAsia" w:ascii="Tahoma" w:hAnsi="Tahoma" w:cs="Tahoma"/>
          <w:b/>
          <w:bCs/>
          <w:kern w:val="0"/>
          <w:sz w:val="28"/>
          <w:szCs w:val="28"/>
          <w:lang w:eastAsia="zh-CN"/>
        </w:rPr>
        <w:t>的再次</w:t>
      </w:r>
      <w:r>
        <w:rPr>
          <w:rFonts w:ascii="Tahoma" w:hAnsi="Tahoma" w:cs="Tahoma"/>
          <w:b/>
          <w:bCs/>
          <w:kern w:val="0"/>
          <w:sz w:val="28"/>
          <w:szCs w:val="28"/>
        </w:rPr>
        <w:t>公告</w:t>
      </w:r>
      <w:r>
        <w:rPr>
          <w:rFonts w:hint="eastAsia" w:ascii="Tahoma" w:hAnsi="Tahoma" w:cs="Tahoma"/>
          <w:kern w:val="0"/>
          <w:sz w:val="28"/>
          <w:szCs w:val="28"/>
        </w:rPr>
        <w:t>2020-JL13（03）-W30019</w:t>
      </w:r>
    </w:p>
    <w:p>
      <w:pPr>
        <w:spacing w:line="360" w:lineRule="exact"/>
        <w:ind w:firstLine="462" w:firstLineChars="200"/>
        <w:rPr>
          <w:rFonts w:ascii="宋体" w:hAnsi="宋体" w:eastAsia="宋体" w:cs="Times New Roman"/>
          <w:kern w:val="0"/>
          <w:sz w:val="24"/>
          <w:szCs w:val="24"/>
        </w:rPr>
      </w:pPr>
    </w:p>
    <w:p>
      <w:pPr>
        <w:spacing w:line="360" w:lineRule="exact"/>
        <w:ind w:left="458" w:leftChars="228"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en-US" w:eastAsia="zh-CN"/>
        </w:rPr>
        <w:t>我院</w:t>
      </w:r>
      <w:r>
        <w:rPr>
          <w:rFonts w:hint="eastAsia" w:ascii="宋体" w:hAnsi="宋体" w:eastAsia="宋体" w:cs="Times New Roman"/>
          <w:kern w:val="0"/>
          <w:sz w:val="24"/>
          <w:szCs w:val="24"/>
        </w:rPr>
        <w:t>MR颅内血管斑块稳定性分析后处理软件</w:t>
      </w:r>
      <w:r>
        <w:rPr>
          <w:rFonts w:hint="eastAsia" w:cs="Times New Roman" w:asciiTheme="minorEastAsia" w:hAnsiTheme="minorEastAsia"/>
          <w:kern w:val="0"/>
          <w:sz w:val="24"/>
          <w:szCs w:val="24"/>
          <w:lang w:val="en-US" w:eastAsia="zh-CN"/>
        </w:rPr>
        <w:t>采购项目经网上公告，至报名截止时间为止合格</w:t>
      </w:r>
      <w:bookmarkStart w:id="41" w:name="_GoBack"/>
      <w:bookmarkEnd w:id="41"/>
      <w:r>
        <w:rPr>
          <w:rFonts w:hint="eastAsia" w:cs="Times New Roman" w:asciiTheme="minorEastAsia" w:hAnsiTheme="minorEastAsia"/>
          <w:kern w:val="0"/>
          <w:sz w:val="24"/>
          <w:szCs w:val="24"/>
          <w:lang w:val="en-US" w:eastAsia="zh-CN"/>
        </w:rPr>
        <w:t>报名供应商不足三家，特此再次公告，</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MR颅内血管斑块稳定性分析后处理软件</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2020-JL13（03）-W30019</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559"/>
        <w:gridCol w:w="709"/>
        <w:gridCol w:w="643"/>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MR颅内血管斑块稳定性分析后处理软件</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合同签订后30个日历日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napToGrid w:val="0"/>
                <w:kern w:val="0"/>
                <w:sz w:val="24"/>
                <w:szCs w:val="24"/>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ascii="宋体" w:hAnsi="宋体" w:eastAsia="宋体" w:cs="Times New Roman"/>
                <w:kern w:val="0"/>
                <w:sz w:val="24"/>
                <w:szCs w:val="24"/>
              </w:rPr>
              <w:t>1.</w:t>
            </w:r>
            <w:r>
              <w:rPr>
                <w:rFonts w:hint="eastAsia" w:ascii="宋体" w:hAnsi="宋体"/>
              </w:rPr>
              <w:t xml:space="preserve"> 报价应包括所有货物供应、运输、安装、培训、售后服务等价格。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2020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29</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5</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0—17:30）（北京时间、节假日除外）。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w:t>
      </w:r>
      <w:r>
        <w:rPr>
          <w:rFonts w:hint="eastAsia" w:ascii="宋体" w:hAnsi="宋体" w:eastAsia="宋体" w:cs="Times New Roman"/>
          <w:kern w:val="0"/>
          <w:sz w:val="24"/>
          <w:szCs w:val="24"/>
          <w:lang w:val="en-US" w:eastAsia="zh-CN"/>
        </w:rPr>
        <w:t>200</w:t>
      </w:r>
      <w:r>
        <w:rPr>
          <w:rFonts w:hint="eastAsia" w:ascii="宋体" w:hAnsi="宋体" w:eastAsia="宋体" w:cs="Times New Roman"/>
          <w:kern w:val="0"/>
          <w:sz w:val="24"/>
          <w:szCs w:val="24"/>
        </w:rPr>
        <w:t>/元/份，售后不退。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3"/>
          <w:rFonts w:asciiTheme="minorEastAsia" w:hAnsiTheme="minorEastAsia"/>
          <w:b/>
          <w:color w:val="auto"/>
          <w:kern w:val="0"/>
          <w:sz w:val="24"/>
          <w:szCs w:val="24"/>
          <w:u w:val="none"/>
        </w:rPr>
        <w:t>www.zhaobiao.cn</w:t>
      </w:r>
      <w:r>
        <w:rPr>
          <w:rStyle w:val="23"/>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285612594"/>
      <w:bookmarkStart w:id="5" w:name="_Toc435540979"/>
      <w:bookmarkStart w:id="6" w:name="_Toc43485652"/>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8"/>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MR颅内血管斑块稳定性分析后处理软件</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在采购合同签订后30个日历日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6</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6</w:t>
      </w:r>
      <w:r>
        <w:rPr>
          <w:rFonts w:hint="eastAsia" w:cs="Arial" w:asciiTheme="minorEastAsia" w:hAnsiTheme="minorEastAsia"/>
          <w:sz w:val="24"/>
          <w:szCs w:val="24"/>
        </w:rPr>
        <w:t>.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7</w:t>
      </w:r>
      <w:r>
        <w:rPr>
          <w:rFonts w:hint="eastAsia" w:cs="Arial" w:asciiTheme="minorEastAsia" w:hAnsiTheme="minorEastAsia"/>
          <w:sz w:val="24"/>
          <w:szCs w:val="24"/>
        </w:rPr>
        <w:t>.</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240432230"/>
      <w:bookmarkStart w:id="11" w:name="_Toc43485653"/>
      <w:bookmarkStart w:id="12" w:name="_Toc435540980"/>
      <w:bookmarkStart w:id="13" w:name="_Toc285612601"/>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保修期内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3"/>
          <w:rFonts w:asciiTheme="minorEastAsia" w:hAnsiTheme="minorEastAsia"/>
          <w:snapToGrid w:val="0"/>
          <w:color w:val="auto"/>
          <w:kern w:val="0"/>
          <w:sz w:val="24"/>
          <w:szCs w:val="24"/>
          <w:u w:val="none"/>
        </w:rPr>
        <w:t>www.zhaobiao.cn</w:t>
      </w:r>
      <w:r>
        <w:rPr>
          <w:rStyle w:val="23"/>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）及医院官网（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(9)良好的商业信誉和健全的财务会计制度证明材料：会计师事务所出具的近3年（不足3年以成立日期起算）审计报告主要内容或公司近3年财务报表，至少应包括资产负债表、利润表及现金流量表。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(11)报价方认为需要加以说明的其他内容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8"/>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8. 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50"/>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tcBorders>
              <w:top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项目</w:t>
            </w:r>
          </w:p>
        </w:tc>
        <w:tc>
          <w:tcPr>
            <w:tcW w:w="70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评审内容及规则</w:t>
            </w:r>
          </w:p>
        </w:tc>
        <w:tc>
          <w:tcPr>
            <w:tcW w:w="708"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标准</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Borders>
              <w:top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商务评审</w:t>
            </w:r>
          </w:p>
        </w:tc>
        <w:tc>
          <w:tcPr>
            <w:tcW w:w="708" w:type="dxa"/>
            <w:tcBorders>
              <w:top w:val="single" w:color="000000" w:sz="4" w:space="0"/>
              <w:left w:val="single" w:color="000000" w:sz="4" w:space="0"/>
            </w:tcBorders>
            <w:vAlign w:val="center"/>
          </w:tcPr>
          <w:p>
            <w:pPr>
              <w:adjustRightInd w:val="0"/>
              <w:snapToGrid w:val="0"/>
              <w:spacing w:line="300" w:lineRule="auto"/>
              <w:rPr>
                <w:rFonts w:ascii="宋体" w:hAnsi="宋体" w:eastAsia="宋体" w:cs="Times New Roman"/>
                <w:b/>
                <w:bCs/>
                <w:kern w:val="0"/>
                <w:sz w:val="21"/>
                <w:szCs w:val="21"/>
              </w:rPr>
            </w:pPr>
          </w:p>
          <w:p>
            <w:pPr>
              <w:adjustRightInd w:val="0"/>
              <w:snapToGrid w:val="0"/>
              <w:spacing w:line="300" w:lineRule="auto"/>
              <w:rPr>
                <w:rFonts w:ascii="宋体" w:hAnsi="宋体" w:eastAsia="宋体" w:cs="Times New Roman"/>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价  格</w:t>
            </w:r>
          </w:p>
        </w:tc>
        <w:tc>
          <w:tcPr>
            <w:tcW w:w="7088" w:type="dxa"/>
            <w:gridSpan w:val="2"/>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满足招标文件要求且报价最低的为评审基准价</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价格得分=（评审基准价/报价）×标准分值</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业绩</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ascii="宋体" w:hAnsi="宋体" w:eastAsia="宋体" w:cs="Times New Roman"/>
                <w:kern w:val="0"/>
                <w:sz w:val="21"/>
                <w:szCs w:val="21"/>
              </w:rPr>
              <w:t>的销售业绩。以提供的销售合同复印件为准，未盖章或盖章不清晰、总金额或数量不清晰的合同无效。</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业绩得分=（所投产品业绩/基准业绩）×标准分值</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企业</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规模</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2.根据报价方近三年缴纳社保</w:t>
            </w:r>
            <w:r>
              <w:rPr>
                <w:rFonts w:hint="eastAsia" w:ascii="宋体" w:hAnsi="宋体" w:eastAsia="宋体" w:cs="Times New Roman"/>
                <w:b/>
                <w:kern w:val="0"/>
                <w:sz w:val="21"/>
                <w:szCs w:val="21"/>
                <w:u w:val="single"/>
              </w:rPr>
              <w:t>总金额</w:t>
            </w:r>
            <w:r>
              <w:rPr>
                <w:rFonts w:hint="eastAsia" w:ascii="宋体" w:hAnsi="宋体" w:eastAsia="宋体" w:cs="Times New Roman"/>
                <w:kern w:val="0"/>
                <w:sz w:val="21"/>
                <w:szCs w:val="21"/>
              </w:rPr>
              <w:t>由大至小排名，第一名得1分，依次递减0.2分。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四</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信  誉</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1.报价方近两年连续获得税务部门颁发的企业纳税信用</w:t>
            </w:r>
            <w:r>
              <w:rPr>
                <w:rFonts w:hint="eastAsia" w:ascii="宋体" w:hAnsi="宋体" w:eastAsia="宋体" w:cs="Times New Roman"/>
                <w:b/>
                <w:kern w:val="0"/>
                <w:sz w:val="21"/>
                <w:szCs w:val="21"/>
                <w:u w:val="single"/>
              </w:rPr>
              <w:t>A级</w:t>
            </w:r>
            <w:r>
              <w:rPr>
                <w:rFonts w:hint="eastAsia" w:ascii="宋体" w:hAnsi="宋体" w:eastAsia="宋体" w:cs="Times New Roman"/>
                <w:kern w:val="0"/>
                <w:sz w:val="21"/>
                <w:szCs w:val="21"/>
              </w:rPr>
              <w:t>评价证书的得0.5分，其他得0分。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2.报价方近一年获得银行颁发的资信（信用）</w:t>
            </w:r>
            <w:r>
              <w:rPr>
                <w:rFonts w:hint="eastAsia" w:ascii="宋体" w:hAnsi="宋体" w:eastAsia="宋体" w:cs="Times New Roman"/>
                <w:b/>
                <w:kern w:val="0"/>
                <w:sz w:val="21"/>
                <w:szCs w:val="21"/>
                <w:u w:val="single"/>
              </w:rPr>
              <w:t>等级</w:t>
            </w:r>
            <w:r>
              <w:rPr>
                <w:rFonts w:hint="eastAsia" w:ascii="宋体" w:hAnsi="宋体" w:eastAsia="宋体" w:cs="Times New Roman"/>
                <w:kern w:val="0"/>
                <w:sz w:val="21"/>
                <w:szCs w:val="21"/>
              </w:rPr>
              <w:t>证明，级别最高的得0.5分，其他得0分。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五</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财务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状况</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六</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报价方</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性质</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报价方是</w:t>
            </w:r>
            <w:r>
              <w:rPr>
                <w:rFonts w:hint="eastAsia" w:ascii="宋体" w:hAnsi="宋体" w:eastAsia="宋体" w:cs="Times New Roman"/>
                <w:b/>
                <w:kern w:val="0"/>
                <w:sz w:val="21"/>
                <w:szCs w:val="21"/>
                <w:u w:val="single"/>
              </w:rPr>
              <w:t>生产企业或进口产品全国（大区）总代理</w:t>
            </w:r>
            <w:r>
              <w:rPr>
                <w:rFonts w:hint="eastAsia" w:ascii="宋体" w:hAnsi="宋体" w:eastAsia="宋体" w:cs="Times New Roman"/>
                <w:kern w:val="0"/>
                <w:sz w:val="21"/>
                <w:szCs w:val="21"/>
              </w:rPr>
              <w:t>的得标准分值，不是的得0分。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七</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特色商务</w:t>
            </w:r>
          </w:p>
        </w:tc>
        <w:tc>
          <w:tcPr>
            <w:tcW w:w="7088" w:type="dxa"/>
            <w:gridSpan w:val="2"/>
            <w:tcBorders>
              <w:top w:val="single" w:color="auto" w:sz="4" w:space="0"/>
            </w:tcBorders>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color w:val="000000" w:themeColor="text1"/>
                <w:kern w:val="0"/>
                <w:sz w:val="21"/>
                <w:szCs w:val="21"/>
              </w:rPr>
              <w:t>投标公司为</w:t>
            </w:r>
            <w:r>
              <w:rPr>
                <w:rFonts w:ascii="宋体" w:hAnsi="宋体" w:eastAsia="宋体" w:cs="Times New Roman"/>
                <w:color w:val="000000" w:themeColor="text1"/>
                <w:kern w:val="0"/>
                <w:sz w:val="21"/>
                <w:szCs w:val="21"/>
              </w:rPr>
              <w:t>上市公司或为所投产品行业标准制定</w:t>
            </w:r>
            <w:r>
              <w:rPr>
                <w:rFonts w:hint="eastAsia" w:ascii="宋体" w:hAnsi="宋体" w:eastAsia="宋体" w:cs="Times New Roman"/>
                <w:color w:val="000000" w:themeColor="text1"/>
                <w:kern w:val="0"/>
                <w:sz w:val="21"/>
                <w:szCs w:val="21"/>
              </w:rPr>
              <w:t>者</w:t>
            </w:r>
            <w:r>
              <w:rPr>
                <w:rFonts w:ascii="宋体" w:hAnsi="宋体" w:eastAsia="宋体" w:cs="Times New Roman"/>
                <w:color w:val="000000" w:themeColor="text1"/>
                <w:kern w:val="0"/>
                <w:sz w:val="21"/>
                <w:szCs w:val="21"/>
              </w:rPr>
              <w:t>得</w:t>
            </w:r>
            <w:r>
              <w:rPr>
                <w:rFonts w:hint="eastAsia" w:ascii="宋体" w:hAnsi="宋体" w:eastAsia="宋体" w:cs="Times New Roman"/>
                <w:color w:val="000000" w:themeColor="text1"/>
                <w:kern w:val="0"/>
                <w:sz w:val="21"/>
                <w:szCs w:val="21"/>
              </w:rPr>
              <w:t>3分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所投</w:t>
            </w:r>
            <w:r>
              <w:rPr>
                <w:rFonts w:ascii="宋体" w:hAnsi="宋体" w:eastAsia="宋体" w:cs="Times New Roman"/>
                <w:color w:val="000000" w:themeColor="text1"/>
                <w:kern w:val="0"/>
                <w:sz w:val="21"/>
                <w:szCs w:val="21"/>
              </w:rPr>
              <w:t>产品</w:t>
            </w:r>
            <w:r>
              <w:rPr>
                <w:rFonts w:hint="eastAsia" w:ascii="宋体" w:hAnsi="宋体" w:eastAsia="宋体" w:cs="Times New Roman"/>
                <w:color w:val="000000" w:themeColor="text1"/>
                <w:kern w:val="0"/>
                <w:sz w:val="21"/>
                <w:szCs w:val="21"/>
              </w:rPr>
              <w:t>标准</w:t>
            </w:r>
            <w:r>
              <w:rPr>
                <w:rFonts w:ascii="宋体" w:hAnsi="宋体" w:eastAsia="宋体" w:cs="Times New Roman"/>
                <w:color w:val="000000" w:themeColor="text1"/>
                <w:kern w:val="0"/>
                <w:sz w:val="21"/>
                <w:szCs w:val="21"/>
              </w:rPr>
              <w:t>达到行业领先水平得</w:t>
            </w:r>
            <w:r>
              <w:rPr>
                <w:rFonts w:hint="eastAsia" w:ascii="宋体" w:hAnsi="宋体" w:eastAsia="宋体" w:cs="Times New Roman"/>
                <w:color w:val="000000" w:themeColor="text1"/>
                <w:kern w:val="0"/>
                <w:sz w:val="21"/>
                <w:szCs w:val="21"/>
              </w:rPr>
              <w:t>2分</w:t>
            </w:r>
            <w:r>
              <w:rPr>
                <w:rFonts w:ascii="宋体" w:hAnsi="宋体" w:eastAsia="宋体" w:cs="Times New Roman"/>
                <w:color w:val="000000" w:themeColor="text1"/>
                <w:kern w:val="0"/>
                <w:sz w:val="21"/>
                <w:szCs w:val="21"/>
              </w:rPr>
              <w:t>，达到区域领先的得</w:t>
            </w:r>
            <w:r>
              <w:rPr>
                <w:rFonts w:hint="eastAsia" w:ascii="宋体" w:hAnsi="宋体" w:eastAsia="宋体" w:cs="Times New Roman"/>
                <w:color w:val="000000" w:themeColor="text1"/>
                <w:kern w:val="0"/>
                <w:sz w:val="21"/>
                <w:szCs w:val="21"/>
              </w:rPr>
              <w:t>1分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（提供证明材料）</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color w:val="000000" w:themeColor="text1"/>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技术评审</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p>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技术</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力量</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（10分）</w:t>
            </w: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1.所投产品具有相应软件著作权或</w:t>
            </w:r>
            <w:r>
              <w:rPr>
                <w:rFonts w:ascii="宋体" w:hAnsi="宋体" w:eastAsia="宋体" w:cs="Times New Roman"/>
                <w:kern w:val="0"/>
                <w:sz w:val="21"/>
                <w:szCs w:val="21"/>
              </w:rPr>
              <w:t>发明专利</w:t>
            </w:r>
            <w:r>
              <w:rPr>
                <w:rFonts w:hint="eastAsia" w:ascii="宋体" w:hAnsi="宋体" w:eastAsia="宋体" w:cs="Times New Roman"/>
                <w:kern w:val="0"/>
                <w:sz w:val="21"/>
                <w:szCs w:val="21"/>
              </w:rPr>
              <w:t>的得标准分，没有得0分。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2.制造商具有IS09001质量管理体系认证证书的得标准分，否则得0分。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3.制造商具有IS027001信息安全管理体系认证证书的得标准分，否则得0分。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4.开发商为高新技术企业的得标准分，否则得0分。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5.投标人具有计算机信息系统集成1级资质的得2分，2级的得1分，3级得0.5分，3级以下不得分。（提供证明材料）。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6.开发商</w:t>
            </w:r>
            <w:r>
              <w:rPr>
                <w:rFonts w:hint="eastAsia" w:ascii="宋体" w:hAnsi="宋体" w:eastAsia="宋体" w:cs="Times New Roman"/>
                <w:kern w:val="0"/>
                <w:sz w:val="21"/>
                <w:szCs w:val="21"/>
              </w:rPr>
              <w:t>或</w:t>
            </w:r>
            <w:r>
              <w:rPr>
                <w:rFonts w:ascii="宋体" w:hAnsi="宋体" w:eastAsia="宋体" w:cs="Times New Roman"/>
                <w:kern w:val="0"/>
                <w:sz w:val="21"/>
                <w:szCs w:val="21"/>
              </w:rPr>
              <w:t>投标人具有CMMI5认证证书的得2分，CMMI4认证证书的得1分，CMMI3</w:t>
            </w:r>
            <w:r>
              <w:rPr>
                <w:rFonts w:hint="eastAsia" w:ascii="宋体" w:hAnsi="宋体" w:eastAsia="宋体" w:cs="Times New Roman"/>
                <w:kern w:val="0"/>
                <w:sz w:val="21"/>
                <w:szCs w:val="21"/>
              </w:rPr>
              <w:t>认证</w:t>
            </w:r>
            <w:r>
              <w:rPr>
                <w:rFonts w:ascii="宋体" w:hAnsi="宋体" w:eastAsia="宋体" w:cs="Times New Roman"/>
                <w:kern w:val="0"/>
                <w:sz w:val="21"/>
                <w:szCs w:val="21"/>
              </w:rPr>
              <w:t>证书得0.5分, CMMI3以下得0分。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7</w:t>
            </w:r>
            <w:r>
              <w:rPr>
                <w:rFonts w:hint="eastAsia" w:ascii="宋体" w:hAnsi="宋体" w:eastAsia="宋体" w:cs="Times New Roman"/>
                <w:kern w:val="0"/>
                <w:sz w:val="21"/>
                <w:szCs w:val="21"/>
              </w:rPr>
              <w:t>.所投产品具有行业</w:t>
            </w:r>
            <w:r>
              <w:rPr>
                <w:rFonts w:ascii="宋体" w:hAnsi="宋体" w:eastAsia="宋体" w:cs="Times New Roman"/>
                <w:kern w:val="0"/>
                <w:sz w:val="21"/>
                <w:szCs w:val="21"/>
              </w:rPr>
              <w:t>技术标准、规范、</w:t>
            </w:r>
            <w:r>
              <w:rPr>
                <w:rFonts w:hint="eastAsia" w:ascii="宋体" w:hAnsi="宋体" w:eastAsia="宋体" w:cs="Times New Roman"/>
                <w:kern w:val="0"/>
                <w:sz w:val="21"/>
                <w:szCs w:val="21"/>
              </w:rPr>
              <w:t>认证</w:t>
            </w:r>
            <w:r>
              <w:rPr>
                <w:rFonts w:ascii="宋体" w:hAnsi="宋体" w:eastAsia="宋体" w:cs="Times New Roman"/>
                <w:kern w:val="0"/>
                <w:sz w:val="21"/>
                <w:szCs w:val="21"/>
              </w:rPr>
              <w:t>证书</w:t>
            </w:r>
            <w:r>
              <w:rPr>
                <w:rFonts w:hint="eastAsia" w:ascii="宋体" w:hAnsi="宋体" w:eastAsia="宋体" w:cs="Times New Roman"/>
                <w:kern w:val="0"/>
                <w:sz w:val="21"/>
                <w:szCs w:val="21"/>
              </w:rPr>
              <w:t>、</w:t>
            </w:r>
            <w:r>
              <w:rPr>
                <w:rFonts w:ascii="宋体" w:hAnsi="宋体" w:eastAsia="宋体" w:cs="Times New Roman"/>
                <w:kern w:val="0"/>
                <w:sz w:val="21"/>
                <w:szCs w:val="21"/>
              </w:rPr>
              <w:t>奖项等品质证明材料的，一项加</w:t>
            </w:r>
            <w:r>
              <w:rPr>
                <w:rFonts w:hint="eastAsia" w:ascii="宋体" w:hAnsi="宋体" w:eastAsia="宋体" w:cs="Times New Roman"/>
                <w:kern w:val="0"/>
                <w:sz w:val="21"/>
                <w:szCs w:val="21"/>
              </w:rPr>
              <w:t>0.5分</w:t>
            </w:r>
            <w:r>
              <w:rPr>
                <w:rFonts w:ascii="宋体" w:hAnsi="宋体" w:eastAsia="宋体" w:cs="Times New Roman"/>
                <w:kern w:val="0"/>
                <w:sz w:val="21"/>
                <w:szCs w:val="21"/>
              </w:rPr>
              <w:t>，最多加</w:t>
            </w:r>
            <w:r>
              <w:rPr>
                <w:rFonts w:hint="eastAsia" w:ascii="宋体" w:hAnsi="宋体" w:eastAsia="宋体" w:cs="Times New Roman"/>
                <w:kern w:val="0"/>
                <w:sz w:val="21"/>
                <w:szCs w:val="21"/>
              </w:rPr>
              <w:t>2分</w:t>
            </w:r>
            <w:r>
              <w:rPr>
                <w:rFonts w:ascii="宋体" w:hAnsi="宋体" w:eastAsia="宋体" w:cs="Times New Roman"/>
                <w:kern w:val="0"/>
                <w:sz w:val="21"/>
                <w:szCs w:val="21"/>
              </w:rPr>
              <w:t>。</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6946" w:type="dxa"/>
            <w:vAlign w:val="center"/>
          </w:tcPr>
          <w:p>
            <w:pPr>
              <w:adjustRightInd w:val="0"/>
              <w:snapToGrid w:val="0"/>
              <w:spacing w:line="300" w:lineRule="auto"/>
              <w:rPr>
                <w:rFonts w:ascii="宋体" w:hAnsi="宋体" w:eastAsia="宋体" w:cs="Times New Roman"/>
                <w:color w:val="FF0000"/>
                <w:kern w:val="0"/>
                <w:sz w:val="20"/>
                <w:szCs w:val="21"/>
              </w:rPr>
            </w:pPr>
            <w:r>
              <w:rPr>
                <w:rFonts w:ascii="宋体" w:hAnsi="宋体" w:eastAsia="宋体" w:cs="Times New Roman"/>
                <w:kern w:val="0"/>
                <w:sz w:val="21"/>
                <w:szCs w:val="21"/>
              </w:rPr>
              <w:t>8</w:t>
            </w:r>
            <w:r>
              <w:rPr>
                <w:rFonts w:hint="eastAsia" w:ascii="宋体" w:hAnsi="宋体" w:eastAsia="宋体" w:cs="Times New Roman"/>
                <w:kern w:val="0"/>
                <w:sz w:val="21"/>
                <w:szCs w:val="21"/>
              </w:rPr>
              <w:t>.投标人</w:t>
            </w:r>
            <w:r>
              <w:rPr>
                <w:rFonts w:ascii="宋体" w:hAnsi="宋体" w:eastAsia="宋体" w:cs="Times New Roman"/>
                <w:kern w:val="0"/>
                <w:sz w:val="21"/>
                <w:szCs w:val="21"/>
              </w:rPr>
              <w:t>具有</w:t>
            </w:r>
            <w:r>
              <w:rPr>
                <w:rFonts w:hint="eastAsia" w:ascii="宋体" w:hAnsi="宋体" w:eastAsia="宋体" w:cs="Times New Roman"/>
                <w:kern w:val="0"/>
                <w:sz w:val="21"/>
                <w:szCs w:val="21"/>
              </w:rPr>
              <w:t>系统分析师、系统构架师、软件工程、数据库专业开发人员、程序员以及有经验的项目管理和组织能力项目经理，并提供相应的高级</w:t>
            </w:r>
            <w:r>
              <w:rPr>
                <w:rFonts w:ascii="宋体" w:hAnsi="宋体" w:eastAsia="宋体" w:cs="Times New Roman"/>
                <w:kern w:val="0"/>
                <w:sz w:val="21"/>
                <w:szCs w:val="21"/>
              </w:rPr>
              <w:t>职称</w:t>
            </w:r>
            <w:r>
              <w:rPr>
                <w:rFonts w:hint="eastAsia" w:ascii="宋体" w:hAnsi="宋体" w:eastAsia="宋体" w:cs="Times New Roman"/>
                <w:kern w:val="0"/>
                <w:sz w:val="21"/>
                <w:szCs w:val="21"/>
              </w:rPr>
              <w:t>资质。每提供一个证书得</w:t>
            </w:r>
            <w:r>
              <w:rPr>
                <w:rFonts w:ascii="宋体" w:hAnsi="宋体" w:eastAsia="宋体" w:cs="Times New Roman"/>
                <w:kern w:val="0"/>
                <w:sz w:val="21"/>
                <w:szCs w:val="21"/>
              </w:rPr>
              <w:t>0.5分，最多得2分（并提供社保作为支持）</w:t>
            </w:r>
          </w:p>
        </w:tc>
        <w:tc>
          <w:tcPr>
            <w:tcW w:w="708" w:type="dxa"/>
            <w:vAlign w:val="center"/>
          </w:tcPr>
          <w:p>
            <w:pPr>
              <w:adjustRightInd w:val="0"/>
              <w:snapToGrid w:val="0"/>
              <w:spacing w:line="300" w:lineRule="auto"/>
              <w:jc w:val="center"/>
              <w:rPr>
                <w:rFonts w:ascii="宋体" w:hAnsi="宋体" w:eastAsia="宋体" w:cs="Times New Roman"/>
                <w:kern w:val="0"/>
                <w:sz w:val="20"/>
                <w:szCs w:val="21"/>
              </w:rPr>
            </w:pPr>
            <w:r>
              <w:rPr>
                <w:rFonts w:hint="eastAsia" w:ascii="宋体" w:hAnsi="宋体" w:eastAsia="宋体" w:cs="Times New Roman"/>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产品技术性能指标参数满足偏离情况（30分）</w:t>
            </w: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符合招标文件技术要求的有效起评分为</w:t>
            </w:r>
            <w:r>
              <w:rPr>
                <w:rFonts w:ascii="宋体" w:hAnsi="宋体" w:eastAsia="宋体" w:cs="Times New Roman"/>
                <w:kern w:val="0"/>
                <w:sz w:val="21"/>
                <w:szCs w:val="21"/>
              </w:rPr>
              <w:t>15</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关键重要技术指标参数（★）、重要指标参数（▲）正偏离，每条加</w:t>
            </w:r>
            <w:r>
              <w:rPr>
                <w:rFonts w:ascii="宋体" w:hAnsi="宋体" w:eastAsia="宋体" w:cs="Times New Roman"/>
                <w:kern w:val="0"/>
                <w:sz w:val="21"/>
                <w:szCs w:val="21"/>
              </w:rPr>
              <w:t>1</w:t>
            </w:r>
            <w:r>
              <w:rPr>
                <w:rFonts w:hint="eastAsia" w:ascii="宋体" w:hAnsi="宋体" w:eastAsia="宋体" w:cs="Times New Roman"/>
                <w:kern w:val="0"/>
                <w:sz w:val="21"/>
                <w:szCs w:val="21"/>
              </w:rPr>
              <w:t>分，最多加</w:t>
            </w:r>
            <w:r>
              <w:rPr>
                <w:rFonts w:ascii="宋体" w:hAnsi="宋体" w:eastAsia="宋体" w:cs="Times New Roman"/>
                <w:kern w:val="0"/>
                <w:sz w:val="21"/>
                <w:szCs w:val="21"/>
              </w:rPr>
              <w:t>10</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lang w:val="zh-CN"/>
              </w:rPr>
            </w:pPr>
            <w:r>
              <w:rPr>
                <w:rFonts w:hint="eastAsia" w:ascii="宋体" w:hAnsi="宋体" w:eastAsia="宋体" w:cs="Times New Roman"/>
                <w:kern w:val="0"/>
                <w:sz w:val="21"/>
                <w:szCs w:val="21"/>
              </w:rPr>
              <w:t>2.</w:t>
            </w:r>
            <w:r>
              <w:rPr>
                <w:rFonts w:hint="eastAsia" w:ascii="宋体" w:hAnsi="宋体" w:eastAsia="宋体" w:cs="Times New Roman"/>
                <w:kern w:val="0"/>
                <w:sz w:val="21"/>
                <w:szCs w:val="21"/>
                <w:lang w:val="zh-CN"/>
              </w:rPr>
              <w:t xml:space="preserve"> 一般技术指标参数正偏离每条加</w:t>
            </w:r>
            <w:r>
              <w:rPr>
                <w:rFonts w:ascii="宋体" w:hAnsi="宋体" w:eastAsia="宋体" w:cs="Times New Roman"/>
                <w:kern w:val="0"/>
                <w:sz w:val="21"/>
                <w:szCs w:val="21"/>
                <w:lang w:val="zh-CN"/>
              </w:rPr>
              <w:t>0.5</w:t>
            </w:r>
            <w:r>
              <w:rPr>
                <w:rFonts w:hint="eastAsia" w:ascii="宋体" w:hAnsi="宋体" w:eastAsia="宋体" w:cs="Times New Roman"/>
                <w:kern w:val="0"/>
                <w:sz w:val="21"/>
                <w:szCs w:val="21"/>
                <w:lang w:val="zh-CN"/>
              </w:rPr>
              <w:t>分，最多加</w:t>
            </w:r>
            <w:r>
              <w:rPr>
                <w:rFonts w:ascii="宋体" w:hAnsi="宋体" w:eastAsia="宋体" w:cs="Times New Roman"/>
                <w:kern w:val="0"/>
                <w:sz w:val="21"/>
                <w:szCs w:val="21"/>
                <w:lang w:val="zh-CN"/>
              </w:rPr>
              <w:t>5</w:t>
            </w:r>
            <w:r>
              <w:rPr>
                <w:rFonts w:hint="eastAsia" w:ascii="宋体" w:hAnsi="宋体" w:eastAsia="宋体" w:cs="Times New Roman"/>
                <w:kern w:val="0"/>
                <w:sz w:val="21"/>
                <w:szCs w:val="21"/>
                <w:lang w:val="zh-CN"/>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lang w:val="zh-CN"/>
              </w:rPr>
              <w:t>3.</w:t>
            </w:r>
            <w:r>
              <w:rPr>
                <w:rFonts w:hint="eastAsia" w:ascii="宋体" w:hAnsi="宋体" w:eastAsia="宋体" w:cs="Times New Roman"/>
                <w:kern w:val="0"/>
                <w:sz w:val="21"/>
                <w:szCs w:val="21"/>
              </w:rPr>
              <w:t xml:space="preserve"> 重要指标参数（▲）负偏离，每条扣</w:t>
            </w:r>
            <w:r>
              <w:rPr>
                <w:rFonts w:ascii="宋体" w:hAnsi="宋体" w:eastAsia="宋体" w:cs="Times New Roman"/>
                <w:kern w:val="0"/>
                <w:sz w:val="21"/>
                <w:szCs w:val="21"/>
              </w:rPr>
              <w:t>3</w:t>
            </w:r>
            <w:r>
              <w:rPr>
                <w:rFonts w:hint="eastAsia" w:ascii="宋体" w:hAnsi="宋体" w:eastAsia="宋体" w:cs="Times New Roman"/>
                <w:kern w:val="0"/>
                <w:sz w:val="21"/>
                <w:szCs w:val="21"/>
              </w:rPr>
              <w:t>分，扣完为止；</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w:t>
            </w:r>
            <w:r>
              <w:rPr>
                <w:rFonts w:hint="eastAsia" w:ascii="宋体" w:hAnsi="宋体" w:eastAsia="宋体" w:cs="Times New Roman"/>
                <w:kern w:val="0"/>
                <w:sz w:val="21"/>
                <w:szCs w:val="21"/>
                <w:lang w:val="zh-CN"/>
              </w:rPr>
              <w:t xml:space="preserve"> 一般技术指标参数</w:t>
            </w:r>
            <w:r>
              <w:rPr>
                <w:rFonts w:hint="eastAsia" w:ascii="宋体" w:hAnsi="宋体" w:eastAsia="宋体" w:cs="Times New Roman"/>
                <w:kern w:val="0"/>
                <w:sz w:val="21"/>
                <w:szCs w:val="21"/>
              </w:rPr>
              <w:t>负偏离，每条扣</w:t>
            </w:r>
            <w:r>
              <w:rPr>
                <w:rFonts w:ascii="宋体" w:hAnsi="宋体" w:eastAsia="宋体" w:cs="Times New Roman"/>
                <w:kern w:val="0"/>
                <w:sz w:val="21"/>
                <w:szCs w:val="21"/>
              </w:rPr>
              <w:t>1</w:t>
            </w:r>
            <w:r>
              <w:rPr>
                <w:rFonts w:hint="eastAsia" w:ascii="宋体" w:hAnsi="宋体" w:eastAsia="宋体" w:cs="Times New Roman"/>
                <w:kern w:val="0"/>
                <w:sz w:val="21"/>
                <w:szCs w:val="21"/>
              </w:rPr>
              <w:t>分，扣完为止</w:t>
            </w:r>
          </w:p>
        </w:tc>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shd w:val="clear" w:color="auto" w:fill="auto"/>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产品配置不齐全或性能用途与招标要求不符，“产品技术性能指标参数满足偏离情况”总得分为0分。</w:t>
            </w:r>
          </w:p>
        </w:tc>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售后</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服务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（7分）</w:t>
            </w: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免费保修期：在满足招标文件要求的基础上，每增加1年得1分，最多得标准分值，不符合招标文件要求按无效投标处理。（未履行保修承诺的，相关企业将列入黑名单。）</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实施周期：是否提供开发整体系统明确、合理的项目实施周期和进度表。最优得标准分，其余依次递减0.5分，最低得0分。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人员组织保障：根据投标人项目组织实施保障方案评审，最优得标准分，其余依次递减0.5分。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根据企业服务方式（是否</w:t>
            </w:r>
            <w:r>
              <w:rPr>
                <w:rFonts w:ascii="宋体" w:hAnsi="宋体" w:eastAsia="宋体" w:cs="Times New Roman"/>
                <w:kern w:val="0"/>
                <w:sz w:val="21"/>
                <w:szCs w:val="21"/>
              </w:rPr>
              <w:t>驻场</w:t>
            </w:r>
            <w:r>
              <w:rPr>
                <w:rFonts w:hint="eastAsia" w:ascii="宋体" w:hAnsi="宋体" w:eastAsia="宋体" w:cs="Times New Roman"/>
                <w:kern w:val="0"/>
                <w:sz w:val="21"/>
                <w:szCs w:val="21"/>
              </w:rPr>
              <w:t>）、现场支持、服务费用、服务等级等因素评分，最优得标准分，其余依次递减0.4分，最低得0分。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根据软件运营过程中安全服务和后期技术咨询承诺情况评分，最优得标准分，其余依次递减0.4分，最低得0分。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1.近三年企业售后服务未满足用户要求、未按承诺履行义务、被投诉的，每次得-1分。</w:t>
            </w:r>
          </w:p>
        </w:tc>
        <w:tc>
          <w:tcPr>
            <w:tcW w:w="708" w:type="dxa"/>
            <w:tcBorders>
              <w:top w:val="single" w:color="auto" w:sz="4" w:space="0"/>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姚老师、陈老师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390713969"/>
      <w:bookmarkStart w:id="16" w:name="_Toc285612603"/>
      <w:bookmarkStart w:id="17" w:name="_Toc43485654"/>
      <w:bookmarkStart w:id="18"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ind w:firstLine="2496" w:firstLineChars="1280"/>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Lines="50" w:line="440" w:lineRule="exact"/>
        <w:rPr>
          <w:b/>
          <w:sz w:val="24"/>
        </w:rPr>
      </w:pPr>
      <w:r>
        <w:rPr>
          <w:rFonts w:hint="eastAsia"/>
          <w:b/>
          <w:sz w:val="24"/>
        </w:rPr>
        <w:t>一、产品</w:t>
      </w:r>
      <w:r>
        <w:rPr>
          <w:rFonts w:hint="eastAsia" w:ascii="宋体" w:hAnsi="宋体"/>
          <w:b/>
          <w:color w:val="000000"/>
          <w:sz w:val="24"/>
        </w:rPr>
        <w:t>清单列表</w:t>
      </w:r>
    </w:p>
    <w:tbl>
      <w:tblPr>
        <w:tblStyle w:val="18"/>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6"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946"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413"/>
      <w:bookmarkStart w:id="23" w:name="_Toc39653189"/>
      <w:r>
        <w:rPr>
          <w:rFonts w:hint="eastAsia"/>
          <w:b/>
          <w:sz w:val="24"/>
        </w:rPr>
        <w:t>五、付款方式</w:t>
      </w:r>
      <w:bookmarkEnd w:id="22"/>
      <w:bookmarkEnd w:id="23"/>
    </w:p>
    <w:p>
      <w:pPr>
        <w:adjustRightInd w:val="0"/>
        <w:snapToGrid w:val="0"/>
        <w:spacing w:line="360" w:lineRule="auto"/>
        <w:ind w:firstLine="450" w:firstLineChars="200"/>
        <w:rPr>
          <w:rFonts w:ascii="宋体" w:hAnsi="宋体"/>
          <w:sz w:val="24"/>
        </w:rPr>
      </w:pPr>
      <w:r>
        <w:rPr>
          <w:rFonts w:hint="eastAsia" w:ascii="宋体" w:hAnsi="宋体"/>
          <w:sz w:val="24"/>
        </w:rPr>
        <w:t>甲方验收合格后，依据验收表和发票，甲方在两个月内向乙方支付合同总额的95%，即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，作为质保金质保期满后支付。</w:t>
      </w:r>
    </w:p>
    <w:p>
      <w:pPr>
        <w:adjustRightInd w:val="0"/>
        <w:snapToGrid w:val="0"/>
        <w:spacing w:line="360" w:lineRule="auto"/>
        <w:rPr>
          <w:rFonts w:ascii="宋体" w:hAnsi="宋体"/>
          <w:sz w:val="24"/>
        </w:rPr>
      </w:pPr>
    </w:p>
    <w:p>
      <w:pPr>
        <w:spacing w:line="440" w:lineRule="exact"/>
        <w:rPr>
          <w:b/>
          <w:sz w:val="24"/>
        </w:rPr>
      </w:pPr>
      <w:bookmarkStart w:id="24" w:name="_Toc39653190"/>
      <w:bookmarkStart w:id="25" w:name="_Toc39653414"/>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191"/>
      <w:bookmarkStart w:id="27" w:name="_Toc39653415"/>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1.双方一致同意：在甲方未支付货款的95%之前，本合同项下产品的所有权归乙方所有；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6"/>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416"/>
      <w:bookmarkStart w:id="29" w:name="_Toc39653192"/>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6"/>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193"/>
      <w:bookmarkStart w:id="31" w:name="_Toc39653417"/>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6"/>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194"/>
      <w:bookmarkStart w:id="33" w:name="_Toc39653418"/>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从合同生效日开始起算，本合同壹式肆份，甲方执叁份，乙方执壹份，签字并加盖公章后生效，希共同遵照执行。谈判、报价文件及其补遗文件和承诺是本合同不可分割的部分，具有同等法律效力。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18"/>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390713970"/>
      <w:bookmarkStart w:id="35" w:name="_Toc435540982"/>
      <w:bookmarkStart w:id="36" w:name="_Toc285612604"/>
      <w:bookmarkStart w:id="37" w:name="_Toc37172691"/>
      <w:bookmarkStart w:id="38" w:name="_Toc240432233"/>
      <w:bookmarkStart w:id="39" w:name="_Toc43485655"/>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8"/>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222" w:type="pct"/>
        <w:jc w:val="center"/>
        <w:tblLayout w:type="autofit"/>
        <w:tblCellMar>
          <w:top w:w="0" w:type="dxa"/>
          <w:left w:w="108" w:type="dxa"/>
          <w:bottom w:w="0" w:type="dxa"/>
          <w:right w:w="108" w:type="dxa"/>
        </w:tblCellMar>
      </w:tblPr>
      <w:tblGrid>
        <w:gridCol w:w="813"/>
        <w:gridCol w:w="2939"/>
        <w:gridCol w:w="2470"/>
        <w:gridCol w:w="3242"/>
      </w:tblGrid>
      <w:tr>
        <w:tblPrEx>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32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软件著作权证书或发明专利</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IS09001质量管理体系认证证书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IS027001信息安全管理体系认证证书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计算机信息系统集成资质证书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CMMI</w:t>
            </w:r>
            <w:r>
              <w:rPr>
                <w:rFonts w:hint="eastAsia"/>
              </w:rPr>
              <w:t>认证证书</w:t>
            </w:r>
            <w:r>
              <w:tab/>
            </w:r>
            <w:r>
              <w:tab/>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业</w:t>
            </w:r>
            <w:r>
              <w:rPr>
                <w:rFonts w:asciiTheme="majorEastAsia" w:hAnsiTheme="majorEastAsia" w:eastAsiaTheme="majorEastAsia"/>
                <w:szCs w:val="21"/>
              </w:rPr>
              <w:t>技术标准、规范、</w:t>
            </w:r>
            <w:r>
              <w:rPr>
                <w:rFonts w:hint="eastAsia" w:asciiTheme="majorEastAsia" w:hAnsiTheme="majorEastAsia" w:eastAsiaTheme="majorEastAsia"/>
                <w:szCs w:val="21"/>
              </w:rPr>
              <w:t>认证</w:t>
            </w:r>
            <w:r>
              <w:rPr>
                <w:rFonts w:asciiTheme="majorEastAsia" w:hAnsiTheme="majorEastAsia" w:eastAsiaTheme="majorEastAsia"/>
                <w:szCs w:val="21"/>
              </w:rPr>
              <w:t>证书</w:t>
            </w:r>
            <w:r>
              <w:rPr>
                <w:rFonts w:hint="eastAsia" w:asciiTheme="majorEastAsia" w:hAnsiTheme="majorEastAsia" w:eastAsiaTheme="majorEastAsia"/>
                <w:szCs w:val="21"/>
              </w:rPr>
              <w:t>、</w:t>
            </w:r>
            <w:r>
              <w:rPr>
                <w:rFonts w:asciiTheme="majorEastAsia" w:hAnsiTheme="majorEastAsia" w:eastAsiaTheme="majorEastAsia"/>
                <w:szCs w:val="21"/>
              </w:rPr>
              <w:t>奖项等品质证明材料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宋体" w:hAnsi="宋体"/>
                <w:szCs w:val="21"/>
              </w:rPr>
              <w:t>系统分析师、系统构架师、软件工程、数据库专业开发人员、程序员以及有经验的项目管理和组织能力项目经理，并提供相应的高级</w:t>
            </w:r>
            <w:r>
              <w:rPr>
                <w:rFonts w:ascii="宋体" w:hAnsi="宋体"/>
                <w:szCs w:val="21"/>
              </w:rPr>
              <w:t>职称</w:t>
            </w:r>
            <w:r>
              <w:rPr>
                <w:rFonts w:hint="eastAsia" w:ascii="宋体" w:hAnsi="宋体"/>
                <w:szCs w:val="21"/>
              </w:rPr>
              <w:t>资质</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实施周期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人员组织保障</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企业服务方式、现场支持、服务费用、服务等级等</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软件运营过程中安全服务和后期技术咨询承诺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 xml:space="preserve">附件21    </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技术指标参数要求明细</w:t>
      </w:r>
    </w:p>
    <w:p>
      <w:pPr>
        <w:rPr>
          <w:rFonts w:cs="Times New Roman"/>
          <w:b/>
          <w:sz w:val="28"/>
          <w:szCs w:val="28"/>
        </w:rPr>
      </w:pPr>
      <w:r>
        <w:rPr>
          <w:rFonts w:hint="eastAsia" w:cs="Times New Roman"/>
          <w:b/>
          <w:sz w:val="28"/>
          <w:szCs w:val="28"/>
        </w:rPr>
        <w:t>一、招标内容一览表</w:t>
      </w:r>
    </w:p>
    <w:p>
      <w:pPr>
        <w:rPr>
          <w:rFonts w:cs="Times New Roman"/>
          <w:szCs w:val="21"/>
        </w:rPr>
      </w:pPr>
    </w:p>
    <w:tbl>
      <w:tblPr>
        <w:tblStyle w:val="18"/>
        <w:tblpPr w:leftFromText="180" w:rightFromText="180" w:vertAnchor="text" w:horzAnchor="margin" w:tblpY="152"/>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504"/>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139" w:type="dxa"/>
            <w:vAlign w:val="center"/>
          </w:tcPr>
          <w:p>
            <w:pPr>
              <w:jc w:val="center"/>
              <w:rPr>
                <w:rFonts w:cs="Times New Roman"/>
                <w:b/>
                <w:bCs/>
                <w:szCs w:val="21"/>
              </w:rPr>
            </w:pPr>
            <w:r>
              <w:rPr>
                <w:rFonts w:hint="eastAsia" w:cs="Times New Roman"/>
                <w:b/>
                <w:bCs/>
                <w:szCs w:val="21"/>
              </w:rPr>
              <w:t>序号</w:t>
            </w:r>
          </w:p>
        </w:tc>
        <w:tc>
          <w:tcPr>
            <w:tcW w:w="3504" w:type="dxa"/>
            <w:vAlign w:val="center"/>
          </w:tcPr>
          <w:p>
            <w:pPr>
              <w:jc w:val="center"/>
              <w:rPr>
                <w:rFonts w:cs="Times New Roman"/>
                <w:b/>
                <w:bCs/>
                <w:szCs w:val="21"/>
              </w:rPr>
            </w:pPr>
            <w:r>
              <w:rPr>
                <w:rFonts w:hint="eastAsia" w:cs="Times New Roman"/>
                <w:b/>
                <w:bCs/>
                <w:szCs w:val="21"/>
              </w:rPr>
              <w:t>内容</w:t>
            </w:r>
          </w:p>
        </w:tc>
        <w:tc>
          <w:tcPr>
            <w:tcW w:w="4296" w:type="dxa"/>
            <w:vAlign w:val="center"/>
          </w:tcPr>
          <w:p>
            <w:pPr>
              <w:jc w:val="center"/>
              <w:rPr>
                <w:rFonts w:cs="Times New Roman"/>
                <w:b/>
                <w:bCs/>
                <w:szCs w:val="21"/>
              </w:rPr>
            </w:pPr>
            <w:r>
              <w:rPr>
                <w:rFonts w:hint="eastAsia" w:cs="Times New Roman"/>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139" w:type="dxa"/>
            <w:vAlign w:val="center"/>
          </w:tcPr>
          <w:p>
            <w:pPr>
              <w:ind w:left="360"/>
              <w:rPr>
                <w:rFonts w:cs="Times New Roman"/>
                <w:szCs w:val="21"/>
              </w:rPr>
            </w:pPr>
            <w:r>
              <w:rPr>
                <w:rFonts w:hint="eastAsia" w:cs="Times New Roman"/>
                <w:szCs w:val="21"/>
              </w:rPr>
              <w:t>1.1</w:t>
            </w:r>
          </w:p>
        </w:tc>
        <w:tc>
          <w:tcPr>
            <w:tcW w:w="3504" w:type="dxa"/>
            <w:vAlign w:val="center"/>
          </w:tcPr>
          <w:p>
            <w:pPr>
              <w:rPr>
                <w:rFonts w:cs="Times New Roman"/>
                <w:szCs w:val="21"/>
              </w:rPr>
            </w:pPr>
            <w:r>
              <w:rPr>
                <w:rFonts w:hint="eastAsia" w:cs="Times New Roman"/>
                <w:szCs w:val="21"/>
              </w:rPr>
              <w:t>软件系统</w:t>
            </w:r>
          </w:p>
        </w:tc>
        <w:tc>
          <w:tcPr>
            <w:tcW w:w="4296" w:type="dxa"/>
            <w:vAlign w:val="center"/>
          </w:tcPr>
          <w:p>
            <w:pPr>
              <w:rPr>
                <w:rFonts w:cs="Times New Roman"/>
                <w:szCs w:val="21"/>
              </w:rPr>
            </w:pPr>
            <w:r>
              <w:rPr>
                <w:rFonts w:hint="eastAsia" w:cs="Times New Roman"/>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1139" w:type="dxa"/>
            <w:vAlign w:val="center"/>
          </w:tcPr>
          <w:p>
            <w:pPr>
              <w:ind w:left="360"/>
              <w:rPr>
                <w:rFonts w:cs="Times New Roman"/>
                <w:szCs w:val="21"/>
              </w:rPr>
            </w:pPr>
            <w:r>
              <w:rPr>
                <w:rFonts w:hint="eastAsia" w:cs="Times New Roman"/>
                <w:szCs w:val="21"/>
              </w:rPr>
              <w:t>1.2</w:t>
            </w:r>
          </w:p>
        </w:tc>
        <w:tc>
          <w:tcPr>
            <w:tcW w:w="3504" w:type="dxa"/>
            <w:vAlign w:val="center"/>
          </w:tcPr>
          <w:p>
            <w:pPr>
              <w:rPr>
                <w:rFonts w:cs="Times New Roman"/>
                <w:szCs w:val="21"/>
              </w:rPr>
            </w:pPr>
            <w:r>
              <w:rPr>
                <w:rFonts w:hint="eastAsia" w:cs="Times New Roman"/>
                <w:szCs w:val="21"/>
              </w:rPr>
              <w:t>工作站</w:t>
            </w:r>
          </w:p>
        </w:tc>
        <w:tc>
          <w:tcPr>
            <w:tcW w:w="4296" w:type="dxa"/>
            <w:vAlign w:val="center"/>
          </w:tcPr>
          <w:p>
            <w:pPr>
              <w:rPr>
                <w:rFonts w:cs="Times New Roman"/>
                <w:szCs w:val="21"/>
              </w:rPr>
            </w:pPr>
            <w:r>
              <w:rPr>
                <w:rFonts w:hint="eastAsia" w:cs="Times New Roman"/>
                <w:szCs w:val="21"/>
              </w:rPr>
              <w:t>1台</w:t>
            </w:r>
          </w:p>
        </w:tc>
      </w:tr>
    </w:tbl>
    <w:p>
      <w:pPr>
        <w:rPr>
          <w:rFonts w:ascii="黑体" w:eastAsia="黑体"/>
          <w:sz w:val="28"/>
          <w:szCs w:val="28"/>
        </w:rPr>
      </w:pPr>
      <w:r>
        <w:rPr>
          <w:rFonts w:hint="eastAsia" w:ascii="黑体" w:eastAsia="黑体"/>
          <w:sz w:val="28"/>
          <w:szCs w:val="28"/>
        </w:rPr>
        <w:t>二、项目总体要求</w:t>
      </w:r>
    </w:p>
    <w:tbl>
      <w:tblPr>
        <w:tblStyle w:val="19"/>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序号</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要求</w:t>
            </w:r>
          </w:p>
        </w:tc>
        <w:tc>
          <w:tcPr>
            <w:tcW w:w="6237" w:type="dxa"/>
            <w:vAlign w:val="bottom"/>
          </w:tcPr>
          <w:p>
            <w:pPr>
              <w:jc w:val="left"/>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1</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工期</w:t>
            </w:r>
          </w:p>
        </w:tc>
        <w:tc>
          <w:tcPr>
            <w:tcW w:w="6237" w:type="dxa"/>
            <w:vAlign w:val="bottom"/>
          </w:tcPr>
          <w:p>
            <w:pPr>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签订合同后</w:t>
            </w:r>
            <w:r>
              <w:rPr>
                <w:rFonts w:hint="eastAsia" w:ascii="Times New Roman" w:hAnsi="Times New Roman" w:eastAsia="宋体" w:cs="Times New Roman"/>
                <w:kern w:val="0"/>
                <w:sz w:val="21"/>
                <w:szCs w:val="21"/>
                <w:u w:val="single"/>
              </w:rPr>
              <w:t xml:space="preserve"> 30</w:t>
            </w:r>
            <w:r>
              <w:rPr>
                <w:rFonts w:hint="eastAsia" w:ascii="Times New Roman" w:hAnsi="Times New Roman" w:eastAsia="宋体" w:cs="Times New Roman"/>
                <w:kern w:val="0"/>
                <w:sz w:val="21"/>
                <w:szCs w:val="21"/>
              </w:rPr>
              <w:t>日内完成。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2</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售后服务</w:t>
            </w:r>
          </w:p>
        </w:tc>
        <w:tc>
          <w:tcPr>
            <w:tcW w:w="6237" w:type="dxa"/>
            <w:vAlign w:val="bottom"/>
          </w:tcPr>
          <w:p>
            <w:pPr>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所有软硬件，</w:t>
            </w:r>
            <w:r>
              <w:rPr>
                <w:rFonts w:ascii="Times New Roman" w:hAnsi="Times New Roman" w:eastAsia="宋体" w:cs="Times New Roman"/>
                <w:kern w:val="0"/>
                <w:sz w:val="21"/>
                <w:szCs w:val="21"/>
              </w:rPr>
              <w:t>自验收合格日起至少提供为期</w:t>
            </w:r>
            <w:r>
              <w:rPr>
                <w:rFonts w:ascii="Times New Roman" w:hAnsi="Times New Roman" w:eastAsia="宋体" w:cs="Times New Roman"/>
                <w:kern w:val="0"/>
                <w:sz w:val="21"/>
                <w:szCs w:val="21"/>
                <w:u w:val="single"/>
              </w:rPr>
              <w:t>3</w:t>
            </w:r>
            <w:r>
              <w:rPr>
                <w:rFonts w:ascii="Times New Roman" w:hAnsi="Times New Roman" w:eastAsia="宋体" w:cs="Times New Roman"/>
                <w:kern w:val="0"/>
                <w:sz w:val="21"/>
                <w:szCs w:val="21"/>
              </w:rPr>
              <w:t>年</w:t>
            </w:r>
            <w:r>
              <w:rPr>
                <w:rFonts w:hint="eastAsia" w:ascii="Times New Roman" w:hAnsi="Times New Roman" w:eastAsia="宋体" w:cs="Times New Roman"/>
                <w:kern w:val="0"/>
                <w:sz w:val="21"/>
                <w:szCs w:val="21"/>
              </w:rPr>
              <w:t>以上</w:t>
            </w:r>
            <w:r>
              <w:rPr>
                <w:rFonts w:ascii="Times New Roman" w:hAnsi="Times New Roman" w:eastAsia="宋体" w:cs="Times New Roman"/>
                <w:kern w:val="0"/>
                <w:sz w:val="21"/>
                <w:szCs w:val="21"/>
              </w:rPr>
              <w:t>的</w:t>
            </w:r>
            <w:r>
              <w:rPr>
                <w:rFonts w:hint="eastAsia" w:ascii="Times New Roman" w:hAnsi="Times New Roman" w:eastAsia="宋体" w:cs="Times New Roman"/>
                <w:kern w:val="0"/>
                <w:sz w:val="21"/>
                <w:szCs w:val="21"/>
              </w:rPr>
              <w:t>原厂</w:t>
            </w:r>
            <w:r>
              <w:rPr>
                <w:rFonts w:ascii="Times New Roman" w:hAnsi="Times New Roman" w:eastAsia="宋体" w:cs="Times New Roman"/>
                <w:kern w:val="0"/>
                <w:sz w:val="21"/>
                <w:szCs w:val="21"/>
              </w:rPr>
              <w:t>免费售后服务</w:t>
            </w:r>
            <w:r>
              <w:rPr>
                <w:rFonts w:hint="eastAsia" w:ascii="Times New Roman" w:hAnsi="Times New Roman" w:eastAsia="宋体" w:cs="Times New Roman"/>
                <w:kern w:val="0"/>
                <w:sz w:val="21"/>
                <w:szCs w:val="21"/>
              </w:rPr>
              <w:t>，提供软件终身免费升级。发生故障时，</w:t>
            </w:r>
            <w:r>
              <w:rPr>
                <w:rFonts w:ascii="Times New Roman" w:hAnsi="Times New Roman" w:eastAsia="宋体" w:cs="Times New Roman"/>
                <w:kern w:val="0"/>
                <w:sz w:val="21"/>
                <w:szCs w:val="21"/>
              </w:rPr>
              <w:t>2</w:t>
            </w:r>
            <w:r>
              <w:rPr>
                <w:rFonts w:hint="eastAsia" w:ascii="Times New Roman" w:hAnsi="Times New Roman" w:eastAsia="宋体" w:cs="Times New Roman"/>
                <w:kern w:val="0"/>
                <w:sz w:val="21"/>
                <w:szCs w:val="21"/>
              </w:rPr>
              <w:t>小时响应，维修到达现场≤6小时（本地）；维修到达现场≤24小时（外地）。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3</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培训</w:t>
            </w:r>
          </w:p>
        </w:tc>
        <w:tc>
          <w:tcPr>
            <w:tcW w:w="6237" w:type="dxa"/>
            <w:vAlign w:val="bottom"/>
          </w:tcPr>
          <w:p>
            <w:pPr>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对全体使用人员进行</w:t>
            </w:r>
            <w:r>
              <w:rPr>
                <w:rFonts w:hint="eastAsia" w:ascii="Times New Roman" w:hAnsi="Times New Roman" w:eastAsia="宋体" w:cs="Times New Roman"/>
                <w:kern w:val="0"/>
                <w:sz w:val="21"/>
                <w:szCs w:val="21"/>
                <w:u w:val="single"/>
              </w:rPr>
              <w:t>不少于2</w:t>
            </w:r>
            <w:r>
              <w:rPr>
                <w:rFonts w:hint="eastAsia" w:ascii="Times New Roman" w:hAnsi="Times New Roman" w:eastAsia="宋体" w:cs="Times New Roman"/>
                <w:kern w:val="0"/>
                <w:sz w:val="21"/>
                <w:szCs w:val="21"/>
              </w:rPr>
              <w:t>轮培训（组织相关诊断医师2名、技师2名到国内知名医院培训1-3个月）。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Times New Roman" w:hAnsi="Times New Roman" w:eastAsia="宋体" w:cs="Times New Roman"/>
                <w:kern w:val="0"/>
                <w:sz w:val="21"/>
                <w:szCs w:val="21"/>
                <w:lang w:bidi="ne-NP"/>
              </w:rPr>
            </w:pPr>
            <w:r>
              <w:rPr>
                <w:rFonts w:hint="eastAsia" w:ascii="Times New Roman" w:hAnsi="Times New Roman" w:eastAsia="宋体" w:cs="Times New Roman"/>
                <w:kern w:val="0"/>
                <w:sz w:val="21"/>
                <w:szCs w:val="21"/>
                <w:lang w:bidi="ne-NP"/>
              </w:rPr>
              <w:t>4</w:t>
            </w:r>
          </w:p>
        </w:tc>
        <w:tc>
          <w:tcPr>
            <w:tcW w:w="1843" w:type="dxa"/>
            <w:tcBorders>
              <w:left w:val="single" w:color="auto" w:sz="4" w:space="0"/>
            </w:tcBorders>
            <w:vAlign w:val="center"/>
          </w:tcPr>
          <w:p>
            <w:pPr>
              <w:jc w:val="center"/>
              <w:rPr>
                <w:rFonts w:ascii="Times New Roman" w:hAnsi="Times New Roman" w:eastAsia="宋体" w:cs="Times New Roman"/>
                <w:kern w:val="0"/>
                <w:sz w:val="21"/>
                <w:szCs w:val="21"/>
                <w:lang w:bidi="ne-NP"/>
              </w:rPr>
            </w:pPr>
            <w:r>
              <w:rPr>
                <w:rFonts w:hint="eastAsia" w:ascii="Times New Roman" w:hAnsi="Times New Roman" w:eastAsia="宋体" w:cs="Times New Roman"/>
                <w:kern w:val="0"/>
                <w:sz w:val="21"/>
                <w:szCs w:val="21"/>
                <w:lang w:bidi="ne-NP"/>
              </w:rPr>
              <w:t>维修及使用资料</w:t>
            </w:r>
          </w:p>
        </w:tc>
        <w:tc>
          <w:tcPr>
            <w:tcW w:w="6237" w:type="dxa"/>
            <w:vAlign w:val="bottom"/>
          </w:tcPr>
          <w:p>
            <w:pPr>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提供详细操作手册、维修手册</w:t>
            </w:r>
          </w:p>
        </w:tc>
      </w:tr>
    </w:tbl>
    <w:p>
      <w:pPr>
        <w:jc w:val="left"/>
        <w:rPr>
          <w:rFonts w:ascii="黑体" w:eastAsia="黑体"/>
          <w:sz w:val="28"/>
          <w:szCs w:val="28"/>
        </w:rPr>
      </w:pPr>
      <w:r>
        <w:rPr>
          <w:rFonts w:hint="eastAsia" w:cs="Times New Roman"/>
          <w:b/>
          <w:sz w:val="28"/>
          <w:szCs w:val="28"/>
        </w:rPr>
        <w:t>三、</w:t>
      </w:r>
      <w:r>
        <w:rPr>
          <w:rFonts w:hint="eastAsia" w:ascii="黑体" w:eastAsia="黑体"/>
          <w:sz w:val="28"/>
          <w:szCs w:val="28"/>
        </w:rPr>
        <w:t>软件功能及性能</w:t>
      </w: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69"/>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tcPr>
          <w:p>
            <w:pPr>
              <w:ind w:left="108"/>
              <w:jc w:val="center"/>
              <w:rPr>
                <w:b/>
                <w:bCs/>
                <w:kern w:val="0"/>
                <w:szCs w:val="21"/>
                <w:lang w:bidi="ne-NP"/>
              </w:rPr>
            </w:pPr>
            <w:r>
              <w:rPr>
                <w:rFonts w:hint="eastAsia"/>
                <w:b/>
                <w:bCs/>
                <w:kern w:val="0"/>
                <w:szCs w:val="21"/>
                <w:lang w:bidi="ne-NP"/>
              </w:rPr>
              <w:t>序号</w:t>
            </w:r>
          </w:p>
        </w:tc>
        <w:tc>
          <w:tcPr>
            <w:tcW w:w="1669" w:type="dxa"/>
            <w:tcBorders>
              <w:top w:val="single" w:color="auto" w:sz="4" w:space="0"/>
              <w:left w:val="single" w:color="auto" w:sz="4" w:space="0"/>
              <w:bottom w:val="single" w:color="auto" w:sz="4" w:space="0"/>
              <w:right w:val="single" w:color="auto" w:sz="4" w:space="0"/>
            </w:tcBorders>
            <w:vAlign w:val="center"/>
          </w:tcPr>
          <w:p>
            <w:pPr>
              <w:ind w:left="108"/>
              <w:jc w:val="center"/>
              <w:rPr>
                <w:b/>
                <w:bCs/>
                <w:kern w:val="0"/>
                <w:szCs w:val="21"/>
                <w:lang w:bidi="ne-NP"/>
              </w:rPr>
            </w:pPr>
            <w:r>
              <w:rPr>
                <w:rFonts w:hint="eastAsia"/>
                <w:b/>
                <w:bCs/>
                <w:kern w:val="0"/>
                <w:szCs w:val="21"/>
                <w:lang w:bidi="ne-NP"/>
              </w:rPr>
              <w:t>功能/性能</w:t>
            </w:r>
          </w:p>
        </w:tc>
        <w:tc>
          <w:tcPr>
            <w:tcW w:w="6411" w:type="dxa"/>
            <w:tcBorders>
              <w:top w:val="single" w:color="auto" w:sz="4" w:space="0"/>
              <w:left w:val="single" w:color="auto" w:sz="4" w:space="0"/>
              <w:bottom w:val="single" w:color="auto" w:sz="4" w:space="0"/>
              <w:right w:val="single" w:color="auto" w:sz="4" w:space="0"/>
            </w:tcBorders>
            <w:vAlign w:val="center"/>
          </w:tcPr>
          <w:p>
            <w:pPr>
              <w:ind w:left="108"/>
              <w:jc w:val="center"/>
              <w:rPr>
                <w:b/>
                <w:bCs/>
                <w:kern w:val="0"/>
                <w:szCs w:val="21"/>
                <w:lang w:bidi="ne-NP"/>
              </w:rPr>
            </w:pPr>
            <w:r>
              <w:rPr>
                <w:rFonts w:hint="eastAsia"/>
                <w:b/>
                <w:bCs/>
                <w:kern w:val="0"/>
                <w:szCs w:val="21"/>
                <w:lang w:bidi="ne-NP"/>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1</w:t>
            </w:r>
          </w:p>
        </w:tc>
        <w:tc>
          <w:tcPr>
            <w:tcW w:w="1669" w:type="dxa"/>
            <w:tcBorders>
              <w:top w:val="single" w:color="auto" w:sz="4" w:space="0"/>
              <w:left w:val="single" w:color="auto" w:sz="4" w:space="0"/>
              <w:right w:val="single" w:color="auto" w:sz="4" w:space="0"/>
            </w:tcBorders>
          </w:tcPr>
          <w:p>
            <w:pPr>
              <w:spacing w:line="276" w:lineRule="auto"/>
            </w:pPr>
            <w:r>
              <w:rPr>
                <w:rFonts w:hint="eastAsia"/>
                <w:color w:val="000000"/>
                <w:kern w:val="0"/>
                <w:sz w:val="22"/>
              </w:rPr>
              <w:t>图像数据管理、显示和基本操作</w:t>
            </w:r>
          </w:p>
        </w:tc>
        <w:tc>
          <w:tcPr>
            <w:tcW w:w="6411" w:type="dxa"/>
            <w:tcBorders>
              <w:top w:val="single" w:color="auto" w:sz="4" w:space="0"/>
              <w:left w:val="single" w:color="auto" w:sz="4" w:space="0"/>
              <w:bottom w:val="single" w:color="auto" w:sz="4" w:space="0"/>
              <w:right w:val="single" w:color="auto" w:sz="4" w:space="0"/>
            </w:tcBorders>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1.1</w:t>
            </w:r>
          </w:p>
        </w:tc>
        <w:tc>
          <w:tcPr>
            <w:tcW w:w="1669" w:type="dxa"/>
            <w:tcBorders>
              <w:top w:val="single" w:color="auto" w:sz="4" w:space="0"/>
              <w:left w:val="single" w:color="auto" w:sz="4" w:space="0"/>
              <w:right w:val="single" w:color="auto" w:sz="4" w:space="0"/>
            </w:tcBorders>
          </w:tcPr>
          <w:p>
            <w:pPr>
              <w:spacing w:line="276" w:lineRule="auto"/>
              <w:rPr>
                <w:color w:val="000000"/>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kern w:val="0"/>
                <w:sz w:val="22"/>
              </w:rPr>
            </w:pPr>
            <w:r>
              <w:rPr>
                <w:rFonts w:hint="eastAsia"/>
                <w:color w:val="000000"/>
                <w:kern w:val="0"/>
                <w:sz w:val="22"/>
              </w:rPr>
              <w:t>支持Dicom3.0协议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1.2</w:t>
            </w:r>
          </w:p>
        </w:tc>
        <w:tc>
          <w:tcPr>
            <w:tcW w:w="1669" w:type="dxa"/>
            <w:tcBorders>
              <w:top w:val="single" w:color="auto" w:sz="4" w:space="0"/>
              <w:left w:val="single" w:color="auto" w:sz="4" w:space="0"/>
              <w:right w:val="single" w:color="auto" w:sz="4" w:space="0"/>
            </w:tcBorders>
          </w:tcPr>
          <w:p>
            <w:pPr>
              <w:spacing w:line="276" w:lineRule="auto"/>
            </w:pPr>
          </w:p>
        </w:tc>
        <w:tc>
          <w:tcPr>
            <w:tcW w:w="6411" w:type="dxa"/>
            <w:tcBorders>
              <w:top w:val="single" w:color="auto" w:sz="4" w:space="0"/>
              <w:left w:val="single" w:color="auto" w:sz="4" w:space="0"/>
              <w:bottom w:val="single" w:color="auto" w:sz="4" w:space="0"/>
              <w:right w:val="single" w:color="auto" w:sz="4" w:space="0"/>
            </w:tcBorders>
          </w:tcPr>
          <w:p>
            <w:pPr>
              <w:spacing w:line="276" w:lineRule="auto"/>
            </w:pPr>
            <w:r>
              <w:rPr>
                <w:rFonts w:hint="eastAsia"/>
                <w:color w:val="000000"/>
                <w:kern w:val="0"/>
                <w:sz w:val="22"/>
              </w:rPr>
              <w:t>支持GE\PHILIPS\SIEMENS\UNITED-IMAGING主流厂家的磁共振图像传输、图像显示及不同对比度的单一序列拆分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1.3</w:t>
            </w:r>
          </w:p>
        </w:tc>
        <w:tc>
          <w:tcPr>
            <w:tcW w:w="1669" w:type="dxa"/>
            <w:tcBorders>
              <w:top w:val="single" w:color="auto" w:sz="4" w:space="0"/>
              <w:left w:val="single" w:color="auto" w:sz="4" w:space="0"/>
              <w:right w:val="single" w:color="auto" w:sz="4" w:space="0"/>
            </w:tcBorders>
          </w:tcPr>
          <w:p>
            <w:pPr>
              <w:spacing w:line="276" w:lineRule="auto"/>
            </w:pPr>
          </w:p>
        </w:tc>
        <w:tc>
          <w:tcPr>
            <w:tcW w:w="6411" w:type="dxa"/>
            <w:tcBorders>
              <w:top w:val="single" w:color="auto" w:sz="4" w:space="0"/>
              <w:left w:val="single" w:color="auto" w:sz="4" w:space="0"/>
              <w:bottom w:val="single" w:color="auto" w:sz="4" w:space="0"/>
              <w:right w:val="single" w:color="auto" w:sz="4" w:space="0"/>
            </w:tcBorders>
          </w:tcPr>
          <w:p>
            <w:pPr>
              <w:spacing w:line="276" w:lineRule="auto"/>
            </w:pPr>
            <w:r>
              <w:rPr>
                <w:rFonts w:hint="eastAsia"/>
                <w:color w:val="000000" w:themeColor="text1"/>
                <w:kern w:val="0"/>
                <w:sz w:val="22"/>
              </w:rPr>
              <w:t>★</w:t>
            </w:r>
            <w:r>
              <w:rPr>
                <w:rFonts w:hint="eastAsia"/>
                <w:color w:val="000000"/>
                <w:kern w:val="0"/>
                <w:sz w:val="22"/>
              </w:rPr>
              <w:t>支持Dicom图像的推送和收取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1.4</w:t>
            </w:r>
          </w:p>
        </w:tc>
        <w:tc>
          <w:tcPr>
            <w:tcW w:w="1669" w:type="dxa"/>
            <w:tcBorders>
              <w:top w:val="single" w:color="auto" w:sz="4" w:space="0"/>
              <w:left w:val="single" w:color="auto" w:sz="4" w:space="0"/>
              <w:right w:val="single" w:color="auto" w:sz="4" w:space="0"/>
            </w:tcBorders>
          </w:tcPr>
          <w:p>
            <w:pPr>
              <w:spacing w:line="276" w:lineRule="auto"/>
            </w:pPr>
          </w:p>
        </w:tc>
        <w:tc>
          <w:tcPr>
            <w:tcW w:w="6411" w:type="dxa"/>
            <w:tcBorders>
              <w:top w:val="single" w:color="auto" w:sz="4" w:space="0"/>
              <w:left w:val="single" w:color="auto" w:sz="4" w:space="0"/>
              <w:bottom w:val="single" w:color="auto" w:sz="4" w:space="0"/>
              <w:right w:val="single" w:color="auto" w:sz="4" w:space="0"/>
            </w:tcBorders>
          </w:tcPr>
          <w:p>
            <w:pPr>
              <w:spacing w:line="276" w:lineRule="auto"/>
            </w:pPr>
            <w:r>
              <w:rPr>
                <w:rFonts w:hint="eastAsia"/>
                <w:color w:val="000000"/>
                <w:kern w:val="0"/>
                <w:sz w:val="22"/>
              </w:rPr>
              <w:t>支持Dicom图像本地导入</w:t>
            </w:r>
            <w:r>
              <w:rPr>
                <w:color w:val="000000"/>
                <w:kern w:val="0"/>
                <w:sz w:val="22"/>
              </w:rPr>
              <w:t>\</w:t>
            </w:r>
            <w:r>
              <w:rPr>
                <w:rFonts w:hint="eastAsia"/>
                <w:color w:val="000000"/>
                <w:kern w:val="0"/>
                <w:sz w:val="22"/>
              </w:rPr>
              <w:t>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1.5</w:t>
            </w:r>
          </w:p>
        </w:tc>
        <w:tc>
          <w:tcPr>
            <w:tcW w:w="1669" w:type="dxa"/>
            <w:tcBorders>
              <w:top w:val="single" w:color="auto" w:sz="4" w:space="0"/>
              <w:left w:val="single" w:color="auto" w:sz="4" w:space="0"/>
              <w:right w:val="single" w:color="auto" w:sz="4" w:space="0"/>
            </w:tcBorders>
          </w:tcPr>
          <w:p>
            <w:pPr>
              <w:spacing w:line="276" w:lineRule="auto"/>
            </w:pPr>
          </w:p>
        </w:tc>
        <w:tc>
          <w:tcPr>
            <w:tcW w:w="6411" w:type="dxa"/>
            <w:tcBorders>
              <w:top w:val="single" w:color="auto" w:sz="4" w:space="0"/>
              <w:left w:val="single" w:color="auto" w:sz="4" w:space="0"/>
              <w:bottom w:val="single" w:color="auto" w:sz="4" w:space="0"/>
              <w:right w:val="single" w:color="auto" w:sz="4" w:space="0"/>
            </w:tcBorders>
          </w:tcPr>
          <w:p>
            <w:pPr>
              <w:spacing w:line="276" w:lineRule="auto"/>
            </w:pPr>
            <w:r>
              <w:rPr>
                <w:rFonts w:hint="eastAsia"/>
                <w:color w:val="000000"/>
                <w:kern w:val="0"/>
                <w:sz w:val="22"/>
              </w:rPr>
              <w:t>支持本地Dicom数据和分析新生成数据的管理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1.6</w:t>
            </w:r>
          </w:p>
        </w:tc>
        <w:tc>
          <w:tcPr>
            <w:tcW w:w="1669" w:type="dxa"/>
            <w:tcBorders>
              <w:top w:val="single" w:color="auto" w:sz="4" w:space="0"/>
              <w:left w:val="single" w:color="auto" w:sz="4" w:space="0"/>
              <w:right w:val="single" w:color="auto" w:sz="4" w:space="0"/>
            </w:tcBorders>
          </w:tcPr>
          <w:p>
            <w:pPr>
              <w:spacing w:line="276" w:lineRule="auto"/>
            </w:pPr>
          </w:p>
        </w:tc>
        <w:tc>
          <w:tcPr>
            <w:tcW w:w="6411" w:type="dxa"/>
            <w:tcBorders>
              <w:top w:val="single" w:color="auto" w:sz="4" w:space="0"/>
              <w:left w:val="single" w:color="auto" w:sz="4" w:space="0"/>
              <w:bottom w:val="single" w:color="auto" w:sz="4" w:space="0"/>
              <w:right w:val="single" w:color="auto" w:sz="4" w:space="0"/>
            </w:tcBorders>
          </w:tcPr>
          <w:p>
            <w:pPr>
              <w:spacing w:line="276" w:lineRule="auto"/>
            </w:pPr>
            <w:r>
              <w:rPr>
                <w:rFonts w:hint="eastAsia"/>
                <w:color w:val="000000"/>
                <w:kern w:val="0"/>
                <w:sz w:val="22"/>
              </w:rPr>
              <w:t>支持本地图像和分析项目检索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kern w:val="0"/>
                <w:szCs w:val="21"/>
              </w:rPr>
            </w:pPr>
            <w:r>
              <w:rPr>
                <w:rFonts w:hint="eastAsia"/>
                <w:kern w:val="0"/>
                <w:szCs w:val="21"/>
              </w:rPr>
              <w:t>1.7</w:t>
            </w:r>
          </w:p>
        </w:tc>
        <w:tc>
          <w:tcPr>
            <w:tcW w:w="1669" w:type="dxa"/>
            <w:tcBorders>
              <w:top w:val="single" w:color="auto" w:sz="4" w:space="0"/>
              <w:left w:val="single" w:color="auto" w:sz="4" w:space="0"/>
              <w:right w:val="single" w:color="auto" w:sz="4" w:space="0"/>
            </w:tcBorders>
          </w:tcPr>
          <w:p>
            <w:pPr>
              <w:spacing w:line="276" w:lineRule="auto"/>
              <w:rPr>
                <w:color w:val="000000"/>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kern w:val="0"/>
                <w:sz w:val="22"/>
              </w:rPr>
            </w:pPr>
            <w:r>
              <w:rPr>
                <w:rFonts w:hint="eastAsia"/>
                <w:color w:val="000000"/>
                <w:kern w:val="0"/>
                <w:sz w:val="22"/>
              </w:rPr>
              <w:t>支持Dicom传输信息设置和修改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1.8</w:t>
            </w:r>
          </w:p>
        </w:tc>
        <w:tc>
          <w:tcPr>
            <w:tcW w:w="1669" w:type="dxa"/>
            <w:tcBorders>
              <w:top w:val="single" w:color="auto" w:sz="4" w:space="0"/>
              <w:left w:val="single" w:color="auto" w:sz="4" w:space="0"/>
              <w:right w:val="single" w:color="auto" w:sz="4" w:space="0"/>
            </w:tcBorders>
          </w:tcPr>
          <w:p>
            <w:pPr>
              <w:spacing w:line="276" w:lineRule="auto"/>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支持多对比度多分格窗口显示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1.9</w:t>
            </w:r>
          </w:p>
        </w:tc>
        <w:tc>
          <w:tcPr>
            <w:tcW w:w="1669" w:type="dxa"/>
            <w:tcBorders>
              <w:top w:val="single" w:color="auto" w:sz="4" w:space="0"/>
              <w:left w:val="single" w:color="auto" w:sz="4" w:space="0"/>
              <w:right w:val="single" w:color="auto" w:sz="4" w:space="0"/>
            </w:tcBorders>
          </w:tcPr>
          <w:p>
            <w:pPr>
              <w:spacing w:line="276" w:lineRule="auto"/>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支持多种测量和标注方式，包括：长度、角度、圆圈、椭圆、箭头、文本等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1.10</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支持3D图像自动优化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tcPr>
          <w:p>
            <w:pPr>
              <w:jc w:val="center"/>
              <w:rPr>
                <w:color w:val="000000" w:themeColor="text1"/>
                <w:kern w:val="0"/>
                <w:szCs w:val="21"/>
                <w:lang w:bidi="ne-NP"/>
              </w:rPr>
            </w:pPr>
            <w:r>
              <w:rPr>
                <w:rFonts w:hint="eastAsia"/>
                <w:color w:val="000000" w:themeColor="text1"/>
                <w:kern w:val="0"/>
                <w:szCs w:val="21"/>
                <w:lang w:bidi="ne-NP"/>
              </w:rPr>
              <w:t>1.11</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支持图像自定义缩放、等比例缩放及局部缩放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头颈部图像分析模块</w:t>
            </w: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2.1</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支持3</w:t>
            </w:r>
            <w:r>
              <w:rPr>
                <w:color w:val="000000" w:themeColor="text1"/>
                <w:kern w:val="0"/>
                <w:sz w:val="22"/>
              </w:rPr>
              <w:t>D</w:t>
            </w:r>
            <w:r>
              <w:rPr>
                <w:rFonts w:hint="eastAsia"/>
                <w:color w:val="000000" w:themeColor="text1"/>
                <w:kern w:val="0"/>
                <w:sz w:val="22"/>
              </w:rPr>
              <w:t>图像依照2</w:t>
            </w:r>
            <w:r>
              <w:rPr>
                <w:color w:val="000000" w:themeColor="text1"/>
                <w:kern w:val="0"/>
                <w:sz w:val="22"/>
              </w:rPr>
              <w:t>D</w:t>
            </w:r>
            <w:r>
              <w:rPr>
                <w:rFonts w:hint="eastAsia"/>
                <w:color w:val="000000" w:themeColor="text1"/>
                <w:kern w:val="0"/>
                <w:sz w:val="22"/>
              </w:rPr>
              <w:t>图像进行预处理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2.2</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★支持多平面重建（MPR）、曲面重建（</w:t>
            </w:r>
            <w:r>
              <w:rPr>
                <w:color w:val="000000" w:themeColor="text1"/>
                <w:kern w:val="0"/>
                <w:sz w:val="22"/>
              </w:rPr>
              <w:t>CPR</w:t>
            </w:r>
            <w:r>
              <w:rPr>
                <w:rFonts w:hint="eastAsia"/>
                <w:color w:val="000000" w:themeColor="text1"/>
                <w:kern w:val="0"/>
                <w:sz w:val="22"/>
              </w:rPr>
              <w:t>）重建及自定义重建、保存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2.3</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支持C</w:t>
            </w:r>
            <w:r>
              <w:rPr>
                <w:color w:val="000000" w:themeColor="text1"/>
                <w:kern w:val="0"/>
                <w:sz w:val="22"/>
              </w:rPr>
              <w:t>PR</w:t>
            </w:r>
            <w:r>
              <w:rPr>
                <w:rFonts w:hint="eastAsia"/>
                <w:color w:val="000000" w:themeColor="text1"/>
                <w:kern w:val="0"/>
                <w:sz w:val="22"/>
              </w:rPr>
              <w:t>自动中心线提取、映射和保存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2.4</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支持C</w:t>
            </w:r>
            <w:r>
              <w:rPr>
                <w:color w:val="000000" w:themeColor="text1"/>
                <w:kern w:val="0"/>
                <w:sz w:val="22"/>
              </w:rPr>
              <w:t>PR</w:t>
            </w:r>
            <w:r>
              <w:rPr>
                <w:rFonts w:hint="eastAsia"/>
                <w:color w:val="000000" w:themeColor="text1"/>
                <w:kern w:val="0"/>
                <w:sz w:val="22"/>
              </w:rPr>
              <w:t>快速中心线勾画、修改和删除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2.5</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支持两种C</w:t>
            </w:r>
            <w:r>
              <w:rPr>
                <w:color w:val="000000" w:themeColor="text1"/>
                <w:kern w:val="0"/>
                <w:sz w:val="22"/>
              </w:rPr>
              <w:t>PR</w:t>
            </w:r>
            <w:r>
              <w:rPr>
                <w:rFonts w:hint="eastAsia"/>
                <w:color w:val="000000" w:themeColor="text1"/>
                <w:kern w:val="0"/>
                <w:sz w:val="22"/>
              </w:rPr>
              <w:t>显示模式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2.6</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支持多对比度C</w:t>
            </w:r>
            <w:r>
              <w:rPr>
                <w:color w:val="000000" w:themeColor="text1"/>
                <w:kern w:val="0"/>
                <w:sz w:val="22"/>
              </w:rPr>
              <w:t>PR</w:t>
            </w:r>
            <w:r>
              <w:rPr>
                <w:rFonts w:hint="eastAsia"/>
                <w:color w:val="000000" w:themeColor="text1"/>
                <w:kern w:val="0"/>
                <w:sz w:val="22"/>
              </w:rPr>
              <w:t>分析以及重建图像的保存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2.7</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支持最大密度投影（M</w:t>
            </w:r>
            <w:r>
              <w:rPr>
                <w:color w:val="000000" w:themeColor="text1"/>
                <w:kern w:val="0"/>
                <w:sz w:val="22"/>
              </w:rPr>
              <w:t>IP</w:t>
            </w:r>
            <w:r>
              <w:rPr>
                <w:rFonts w:hint="eastAsia"/>
                <w:color w:val="000000" w:themeColor="text1"/>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2.8</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★支持多对比度轴位或横轴位图像血管壁及斑块成分分析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2.9</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支持自动管腔管壁分割以及斑块成分的自动识别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2.10</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支持斑块附壁形态和位置、狭窄率、狭窄程度、斑块成分、斑块性质等参数的分析和记录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2.11</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themeColor="text1"/>
                <w:kern w:val="0"/>
                <w:sz w:val="22"/>
              </w:rPr>
            </w:pPr>
            <w:r>
              <w:rPr>
                <w:rFonts w:hint="eastAsia"/>
                <w:color w:val="000000"/>
                <w:kern w:val="0"/>
                <w:sz w:val="22"/>
              </w:rPr>
              <w:t>▲TS-Flow</w:t>
            </w: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分析项目文件的创建和修改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帧数、图像层数、Venc、TriggerTime各参数的自动导入并支持手动修改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幅值相位图的显示和切换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三方位及切刀平面的屏幕显示和切换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支持图像快速过滤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支持使用幅值、最小速度、最大速度的阈值过滤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支持三个相位方向的接卷绕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支持分析聚焦区域的轮廓勾画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支持多轮廓勾画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流量统计表包括：帧序、时间、流量、最大流速、平均流速、最小流速、最大流速TP+、平均流速TP、最大流速TP-、反流比等信息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剪切力统计表包括：帧序、平均剪切力、最大剪切力、最小剪切力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支持流量信息的图表和曲线显示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spacing w:line="276" w:lineRule="auto"/>
              <w:rPr>
                <w:color w:val="000000" w:themeColor="text1"/>
                <w:kern w:val="0"/>
                <w:sz w:val="22"/>
              </w:rPr>
            </w:pPr>
            <w:r>
              <w:rPr>
                <w:rFonts w:hint="eastAsia"/>
                <w:color w:val="000000" w:themeColor="text1"/>
                <w:kern w:val="0"/>
                <w:sz w:val="22"/>
              </w:rPr>
              <w:t>支持流线和迹线可视化显示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vAlign w:val="center"/>
          </w:tcPr>
          <w:p>
            <w:pPr>
              <w:textAlignment w:val="center"/>
              <w:rPr>
                <w:color w:val="000000" w:themeColor="text1"/>
                <w:kern w:val="0"/>
                <w:sz w:val="22"/>
              </w:rPr>
            </w:pPr>
            <w:r>
              <w:rPr>
                <w:rFonts w:hint="eastAsia"/>
                <w:color w:val="000000"/>
                <w:kern w:val="0"/>
                <w:sz w:val="22"/>
              </w:rPr>
              <w:t>支持流线和迹线通过的两种数据来源方式处理：平面和整体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3</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r>
              <w:rPr>
                <w:rFonts w:hint="eastAsia"/>
                <w:color w:val="000000" w:themeColor="text1"/>
                <w:kern w:val="0"/>
                <w:sz w:val="22"/>
              </w:rPr>
              <w:t>报告和胶片打印</w:t>
            </w: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3.1</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支持报告内容编辑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3.2</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支持全程血管分析报告和局部血管分析报告；需提供诊断报告样式图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3.3</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支持自定义报告模板和知识库模板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3.4</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支持多种报告模式：图文报告、CSV数据报告、Excel数据报告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kern w:val="0"/>
                <w:szCs w:val="21"/>
                <w:lang w:bidi="ne-NP"/>
              </w:rPr>
            </w:pPr>
            <w:r>
              <w:rPr>
                <w:rFonts w:hint="eastAsia"/>
                <w:color w:val="000000" w:themeColor="text1"/>
                <w:kern w:val="0"/>
                <w:szCs w:val="21"/>
                <w:lang w:bidi="ne-NP"/>
              </w:rPr>
              <w:t>3.5</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rPr>
            </w:pP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★软件需支持与医院P</w:t>
            </w:r>
            <w:r>
              <w:rPr>
                <w:color w:val="000000" w:themeColor="text1"/>
                <w:kern w:val="0"/>
                <w:sz w:val="22"/>
              </w:rPr>
              <w:t>ACS</w:t>
            </w:r>
            <w:r>
              <w:rPr>
                <w:rFonts w:hint="eastAsia"/>
                <w:color w:val="000000" w:themeColor="text1"/>
                <w:kern w:val="0"/>
                <w:sz w:val="22"/>
              </w:rPr>
              <w:t>系统对接；支持医院系统胶片排版和打印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tcPr>
          <w:p>
            <w:pPr>
              <w:jc w:val="center"/>
              <w:rPr>
                <w:color w:val="000000" w:themeColor="text1"/>
                <w:kern w:val="0"/>
                <w:szCs w:val="21"/>
              </w:rPr>
            </w:pPr>
            <w:r>
              <w:rPr>
                <w:rFonts w:hint="eastAsia"/>
                <w:color w:val="000000" w:themeColor="text1"/>
                <w:kern w:val="0"/>
                <w:szCs w:val="21"/>
              </w:rPr>
              <w:t>4</w:t>
            </w:r>
          </w:p>
        </w:tc>
        <w:tc>
          <w:tcPr>
            <w:tcW w:w="1669"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使用范围</w:t>
            </w:r>
          </w:p>
        </w:tc>
        <w:tc>
          <w:tcPr>
            <w:tcW w:w="6411" w:type="dxa"/>
            <w:tcBorders>
              <w:top w:val="single" w:color="auto" w:sz="4" w:space="0"/>
              <w:left w:val="single" w:color="auto" w:sz="4" w:space="0"/>
              <w:bottom w:val="single" w:color="auto" w:sz="4" w:space="0"/>
              <w:right w:val="single" w:color="auto" w:sz="4" w:space="0"/>
            </w:tcBorders>
          </w:tcPr>
          <w:p>
            <w:pPr>
              <w:spacing w:line="276" w:lineRule="auto"/>
              <w:rPr>
                <w:color w:val="000000" w:themeColor="text1"/>
                <w:kern w:val="0"/>
                <w:sz w:val="22"/>
              </w:rPr>
            </w:pPr>
            <w:r>
              <w:rPr>
                <w:rFonts w:hint="eastAsia"/>
                <w:color w:val="000000" w:themeColor="text1"/>
                <w:kern w:val="0"/>
                <w:sz w:val="22"/>
              </w:rPr>
              <w:t>★软件需获得医疗器械注册证；获得美国FDA或中国CFDA核准</w:t>
            </w:r>
          </w:p>
        </w:tc>
      </w:tr>
    </w:tbl>
    <w:p>
      <w:pPr>
        <w:rPr>
          <w:color w:val="000000" w:themeColor="text1"/>
          <w:szCs w:val="21"/>
          <w:lang w:val="es-AR" w:bidi="ne-NP"/>
        </w:rPr>
      </w:pPr>
    </w:p>
    <w:p>
      <w:pPr>
        <w:rPr>
          <w:color w:val="000000" w:themeColor="text1"/>
          <w:szCs w:val="21"/>
          <w:lang w:val="es-AR" w:bidi="ne-NP"/>
        </w:rPr>
      </w:pPr>
    </w:p>
    <w:p>
      <w:pPr>
        <w:rPr>
          <w:color w:val="000000" w:themeColor="text1"/>
          <w:szCs w:val="21"/>
          <w:lang w:val="es-AR" w:bidi="ne-NP"/>
        </w:rPr>
      </w:pPr>
    </w:p>
    <w:p>
      <w:pPr>
        <w:jc w:val="left"/>
        <w:rPr>
          <w:rFonts w:ascii="黑体" w:eastAsia="黑体"/>
          <w:color w:val="000000" w:themeColor="text1"/>
          <w:sz w:val="28"/>
          <w:szCs w:val="28"/>
        </w:rPr>
      </w:pPr>
      <w:r>
        <w:rPr>
          <w:rFonts w:hint="eastAsia" w:ascii="黑体" w:eastAsia="黑体"/>
          <w:color w:val="000000" w:themeColor="text1"/>
          <w:sz w:val="28"/>
          <w:szCs w:val="28"/>
        </w:rPr>
        <w:t>四、硬件参数</w:t>
      </w:r>
    </w:p>
    <w:tbl>
      <w:tblPr>
        <w:tblStyle w:val="19"/>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4"/>
        <w:gridCol w:w="1931"/>
        <w:gridCol w:w="6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 w:type="dxa"/>
          </w:tcPr>
          <w:p>
            <w:pPr>
              <w:jc w:val="center"/>
              <w:rPr>
                <w:rFonts w:ascii="Times New Roman" w:hAnsi="Times New Roman" w:eastAsia="宋体" w:cs="Times New Roman"/>
                <w:b/>
                <w:bCs/>
                <w:color w:val="000000" w:themeColor="text1"/>
                <w:kern w:val="0"/>
                <w:sz w:val="21"/>
                <w:szCs w:val="21"/>
                <w:lang w:bidi="ne-NP"/>
              </w:rPr>
            </w:pPr>
            <w:r>
              <w:rPr>
                <w:rFonts w:hint="eastAsia" w:ascii="Times New Roman" w:hAnsi="Times New Roman" w:eastAsia="宋体" w:cs="Times New Roman"/>
                <w:b/>
                <w:bCs/>
                <w:color w:val="000000" w:themeColor="text1"/>
                <w:kern w:val="0"/>
                <w:sz w:val="21"/>
                <w:szCs w:val="21"/>
                <w:lang w:bidi="ne-NP"/>
              </w:rPr>
              <w:t>序号</w:t>
            </w:r>
          </w:p>
        </w:tc>
        <w:tc>
          <w:tcPr>
            <w:tcW w:w="1931" w:type="dxa"/>
          </w:tcPr>
          <w:p>
            <w:pPr>
              <w:jc w:val="center"/>
              <w:rPr>
                <w:rFonts w:ascii="Times New Roman" w:hAnsi="Times New Roman" w:eastAsia="宋体" w:cs="Times New Roman"/>
                <w:b/>
                <w:bCs/>
                <w:color w:val="000000" w:themeColor="text1"/>
                <w:kern w:val="0"/>
                <w:sz w:val="21"/>
                <w:szCs w:val="21"/>
                <w:lang w:bidi="ne-NP"/>
              </w:rPr>
            </w:pPr>
            <w:r>
              <w:rPr>
                <w:rFonts w:hint="eastAsia" w:ascii="Times New Roman" w:hAnsi="Times New Roman" w:eastAsia="宋体" w:cs="Times New Roman"/>
                <w:b/>
                <w:bCs/>
                <w:color w:val="000000" w:themeColor="text1"/>
                <w:kern w:val="0"/>
                <w:sz w:val="21"/>
                <w:szCs w:val="21"/>
                <w:lang w:bidi="ne-NP"/>
              </w:rPr>
              <w:t>硬件名称</w:t>
            </w:r>
          </w:p>
        </w:tc>
        <w:tc>
          <w:tcPr>
            <w:tcW w:w="6032" w:type="dxa"/>
          </w:tcPr>
          <w:p>
            <w:pPr>
              <w:jc w:val="center"/>
              <w:rPr>
                <w:rFonts w:ascii="Times New Roman" w:hAnsi="Times New Roman" w:eastAsia="宋体" w:cs="Times New Roman"/>
                <w:b/>
                <w:bCs/>
                <w:color w:val="000000" w:themeColor="text1"/>
                <w:kern w:val="0"/>
                <w:sz w:val="21"/>
                <w:szCs w:val="21"/>
                <w:lang w:bidi="ne-NP"/>
              </w:rPr>
            </w:pPr>
            <w:r>
              <w:rPr>
                <w:rFonts w:hint="eastAsia" w:ascii="Times New Roman" w:hAnsi="Times New Roman" w:eastAsia="宋体" w:cs="Times New Roman"/>
                <w:b/>
                <w:bCs/>
                <w:color w:val="000000" w:themeColor="text1"/>
                <w:kern w:val="0"/>
                <w:sz w:val="21"/>
                <w:szCs w:val="21"/>
                <w:lang w:bidi="ne-NP"/>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934" w:type="dxa"/>
            <w:vAlign w:val="center"/>
          </w:tcPr>
          <w:p>
            <w:pPr>
              <w:jc w:val="center"/>
              <w:rPr>
                <w:rFonts w:ascii="Times New Roman" w:hAnsi="Times New Roman" w:eastAsia="宋体" w:cs="Times New Roman"/>
                <w:color w:val="000000" w:themeColor="text1"/>
                <w:kern w:val="0"/>
                <w:sz w:val="21"/>
                <w:szCs w:val="21"/>
                <w:lang w:bidi="ne-NP"/>
              </w:rPr>
            </w:pPr>
            <w:r>
              <w:rPr>
                <w:rFonts w:hint="eastAsia" w:ascii="Times New Roman" w:hAnsi="Times New Roman" w:eastAsia="宋体" w:cs="Times New Roman"/>
                <w:color w:val="000000" w:themeColor="text1"/>
                <w:kern w:val="0"/>
                <w:sz w:val="21"/>
                <w:szCs w:val="21"/>
                <w:lang w:bidi="ne-NP"/>
              </w:rPr>
              <w:t>1</w:t>
            </w:r>
          </w:p>
        </w:tc>
        <w:tc>
          <w:tcPr>
            <w:tcW w:w="1931" w:type="dxa"/>
            <w:vAlign w:val="center"/>
          </w:tcPr>
          <w:p>
            <w:pPr>
              <w:jc w:val="center"/>
              <w:rPr>
                <w:rFonts w:ascii="Times New Roman" w:hAnsi="Times New Roman" w:eastAsia="宋体" w:cs="Times New Roman"/>
                <w:color w:val="000000" w:themeColor="text1"/>
                <w:kern w:val="0"/>
                <w:sz w:val="21"/>
                <w:szCs w:val="21"/>
                <w:lang w:bidi="ne-NP"/>
              </w:rPr>
            </w:pPr>
            <w:r>
              <w:rPr>
                <w:rFonts w:hint="eastAsia" w:ascii="Times New Roman" w:hAnsi="Times New Roman" w:eastAsia="宋体" w:cs="Times New Roman"/>
                <w:color w:val="000000" w:themeColor="text1"/>
                <w:kern w:val="0"/>
                <w:sz w:val="21"/>
                <w:szCs w:val="21"/>
                <w:lang w:bidi="ne-NP"/>
              </w:rPr>
              <w:t>工作站</w:t>
            </w:r>
          </w:p>
        </w:tc>
        <w:tc>
          <w:tcPr>
            <w:tcW w:w="6032" w:type="dxa"/>
          </w:tcPr>
          <w:p>
            <w:pPr>
              <w:jc w:val="left"/>
              <w:rPr>
                <w:rFonts w:ascii="Times New Roman" w:hAnsi="Times New Roman" w:eastAsia="宋体" w:cs="Times New Roman"/>
                <w:color w:val="000000" w:themeColor="text1"/>
                <w:kern w:val="0"/>
                <w:sz w:val="21"/>
                <w:szCs w:val="21"/>
                <w:lang w:bidi="ne-NP"/>
              </w:rPr>
            </w:pPr>
            <w:r>
              <w:rPr>
                <w:rFonts w:ascii="Times New Roman" w:hAnsi="Times New Roman" w:eastAsia="宋体" w:cs="Times New Roman"/>
                <w:color w:val="000000" w:themeColor="text1"/>
                <w:kern w:val="0"/>
                <w:sz w:val="21"/>
                <w:szCs w:val="21"/>
                <w:lang w:bidi="ne-NP"/>
              </w:rPr>
              <w:t>样式</w:t>
            </w:r>
            <w:r>
              <w:rPr>
                <w:rFonts w:hint="eastAsia" w:ascii="Times New Roman" w:hAnsi="Times New Roman" w:eastAsia="宋体" w:cs="Times New Roman"/>
                <w:color w:val="000000" w:themeColor="text1"/>
                <w:kern w:val="0"/>
                <w:sz w:val="21"/>
                <w:szCs w:val="21"/>
                <w:lang w:bidi="ne-NP"/>
              </w:rPr>
              <w:t>：</w:t>
            </w:r>
            <w:r>
              <w:rPr>
                <w:rFonts w:ascii="Times New Roman" w:hAnsi="Times New Roman" w:eastAsia="宋体" w:cs="Times New Roman"/>
                <w:color w:val="000000" w:themeColor="text1"/>
                <w:kern w:val="0"/>
                <w:sz w:val="21"/>
                <w:szCs w:val="21"/>
                <w:lang w:bidi="ne-NP"/>
              </w:rPr>
              <w:t>塔式</w:t>
            </w:r>
          </w:p>
          <w:p>
            <w:pPr>
              <w:jc w:val="left"/>
              <w:rPr>
                <w:rFonts w:ascii="Times New Roman" w:hAnsi="Times New Roman" w:eastAsia="宋体" w:cs="Times New Roman"/>
                <w:color w:val="000000" w:themeColor="text1"/>
                <w:kern w:val="0"/>
                <w:sz w:val="21"/>
                <w:szCs w:val="21"/>
                <w:lang w:bidi="ne-NP"/>
              </w:rPr>
            </w:pPr>
            <w:r>
              <w:rPr>
                <w:rFonts w:ascii="Times New Roman" w:hAnsi="Times New Roman" w:eastAsia="宋体" w:cs="Times New Roman"/>
                <w:color w:val="000000" w:themeColor="text1"/>
                <w:kern w:val="0"/>
                <w:sz w:val="21"/>
                <w:szCs w:val="21"/>
                <w:lang w:bidi="ne-NP"/>
              </w:rPr>
              <w:t>CPU：</w:t>
            </w:r>
            <w:r>
              <w:rPr>
                <w:rFonts w:hint="eastAsia" w:ascii="Times New Roman" w:hAnsi="Times New Roman" w:eastAsia="宋体" w:cs="Times New Roman"/>
                <w:color w:val="000000" w:themeColor="text1"/>
                <w:kern w:val="0"/>
                <w:sz w:val="21"/>
                <w:szCs w:val="21"/>
                <w:lang w:bidi="ne-NP"/>
              </w:rPr>
              <w:t>I</w:t>
            </w:r>
            <w:r>
              <w:rPr>
                <w:rFonts w:ascii="Times New Roman" w:hAnsi="Times New Roman" w:eastAsia="宋体" w:cs="Times New Roman"/>
                <w:color w:val="000000" w:themeColor="text1"/>
                <w:kern w:val="0"/>
                <w:sz w:val="21"/>
                <w:szCs w:val="21"/>
                <w:lang w:bidi="ne-NP"/>
              </w:rPr>
              <w:t>nter i7 7700K或以上</w:t>
            </w:r>
          </w:p>
          <w:p>
            <w:pPr>
              <w:jc w:val="left"/>
              <w:rPr>
                <w:rFonts w:ascii="Times New Roman" w:hAnsi="Times New Roman" w:eastAsia="宋体" w:cs="Times New Roman"/>
                <w:color w:val="000000" w:themeColor="text1"/>
                <w:kern w:val="0"/>
                <w:sz w:val="21"/>
                <w:szCs w:val="21"/>
                <w:lang w:bidi="ne-NP"/>
              </w:rPr>
            </w:pPr>
            <w:r>
              <w:rPr>
                <w:rFonts w:hint="eastAsia" w:ascii="Times New Roman" w:hAnsi="Times New Roman" w:eastAsia="宋体" w:cs="Times New Roman"/>
                <w:color w:val="000000" w:themeColor="text1"/>
                <w:kern w:val="0"/>
                <w:sz w:val="21"/>
                <w:szCs w:val="21"/>
                <w:lang w:bidi="ne-NP"/>
              </w:rPr>
              <w:t>内存：</w:t>
            </w:r>
            <w:r>
              <w:rPr>
                <w:rFonts w:ascii="Times New Roman" w:hAnsi="Times New Roman" w:eastAsia="宋体" w:cs="Times New Roman"/>
                <w:color w:val="000000" w:themeColor="text1"/>
                <w:kern w:val="0"/>
                <w:sz w:val="21"/>
                <w:szCs w:val="21"/>
                <w:lang w:bidi="ne-NP"/>
              </w:rPr>
              <w:t>DDR4</w:t>
            </w:r>
            <w:r>
              <w:rPr>
                <w:rFonts w:hint="eastAsia" w:ascii="Times New Roman" w:hAnsi="Times New Roman" w:eastAsia="宋体" w:cs="Times New Roman"/>
                <w:color w:val="000000" w:themeColor="text1"/>
                <w:kern w:val="0"/>
                <w:sz w:val="21"/>
                <w:szCs w:val="21"/>
                <w:lang w:bidi="ne-NP"/>
              </w:rPr>
              <w:t>，32</w:t>
            </w:r>
            <w:r>
              <w:rPr>
                <w:rFonts w:ascii="Times New Roman" w:hAnsi="Times New Roman" w:eastAsia="宋体" w:cs="Times New Roman"/>
                <w:color w:val="000000" w:themeColor="text1"/>
                <w:kern w:val="0"/>
                <w:sz w:val="21"/>
                <w:szCs w:val="21"/>
                <w:lang w:bidi="ne-NP"/>
              </w:rPr>
              <w:t>G或以上</w:t>
            </w:r>
          </w:p>
          <w:p>
            <w:pPr>
              <w:jc w:val="left"/>
              <w:rPr>
                <w:rFonts w:ascii="Times New Roman" w:hAnsi="Times New Roman" w:eastAsia="宋体" w:cs="Times New Roman"/>
                <w:color w:val="000000" w:themeColor="text1"/>
                <w:kern w:val="0"/>
                <w:sz w:val="21"/>
                <w:szCs w:val="21"/>
                <w:lang w:bidi="ne-NP"/>
              </w:rPr>
            </w:pPr>
            <w:r>
              <w:rPr>
                <w:rFonts w:hint="eastAsia" w:ascii="Times New Roman" w:hAnsi="Times New Roman" w:eastAsia="宋体" w:cs="Times New Roman"/>
                <w:color w:val="000000" w:themeColor="text1"/>
                <w:kern w:val="0"/>
                <w:sz w:val="21"/>
                <w:szCs w:val="21"/>
                <w:lang w:bidi="ne-NP"/>
              </w:rPr>
              <w:t>硬盘：</w:t>
            </w:r>
            <w:r>
              <w:rPr>
                <w:rFonts w:ascii="Times New Roman" w:hAnsi="Times New Roman" w:eastAsia="宋体" w:cs="Times New Roman"/>
                <w:color w:val="000000" w:themeColor="text1"/>
                <w:kern w:val="0"/>
                <w:sz w:val="21"/>
                <w:szCs w:val="21"/>
                <w:lang w:bidi="ne-NP"/>
              </w:rPr>
              <w:t>SSD 256G</w:t>
            </w:r>
            <w:r>
              <w:rPr>
                <w:rFonts w:hint="eastAsia" w:ascii="Times New Roman" w:hAnsi="Times New Roman" w:eastAsia="宋体" w:cs="Times New Roman"/>
                <w:color w:val="000000" w:themeColor="text1"/>
                <w:kern w:val="0"/>
                <w:sz w:val="21"/>
                <w:szCs w:val="21"/>
                <w:lang w:bidi="ne-NP"/>
              </w:rPr>
              <w:t>（128G*2）或以上</w:t>
            </w:r>
            <w:r>
              <w:rPr>
                <w:rFonts w:ascii="Times New Roman" w:hAnsi="Times New Roman" w:eastAsia="宋体" w:cs="Times New Roman"/>
                <w:color w:val="000000" w:themeColor="text1"/>
                <w:kern w:val="0"/>
                <w:sz w:val="21"/>
                <w:szCs w:val="21"/>
                <w:lang w:bidi="ne-NP"/>
              </w:rPr>
              <w:t>+SATA 2T或以上</w:t>
            </w:r>
            <w:r>
              <w:rPr>
                <w:rFonts w:hint="eastAsia" w:ascii="Times New Roman" w:hAnsi="Times New Roman" w:eastAsia="宋体" w:cs="Times New Roman"/>
                <w:color w:val="000000" w:themeColor="text1"/>
                <w:kern w:val="0"/>
                <w:sz w:val="21"/>
                <w:szCs w:val="21"/>
                <w:lang w:bidi="ne-NP"/>
              </w:rPr>
              <w:t>，至少支持RAID1或</w:t>
            </w:r>
            <w:r>
              <w:rPr>
                <w:rFonts w:ascii="Times New Roman" w:hAnsi="Times New Roman" w:eastAsia="宋体" w:cs="Times New Roman"/>
                <w:color w:val="000000" w:themeColor="text1"/>
                <w:kern w:val="0"/>
                <w:sz w:val="21"/>
                <w:szCs w:val="21"/>
                <w:lang w:bidi="ne-NP"/>
              </w:rPr>
              <w:t>以上</w:t>
            </w:r>
            <w:r>
              <w:rPr>
                <w:rFonts w:hint="eastAsia" w:ascii="Times New Roman" w:hAnsi="Times New Roman" w:eastAsia="宋体" w:cs="Times New Roman"/>
                <w:color w:val="000000" w:themeColor="text1"/>
                <w:kern w:val="0"/>
                <w:sz w:val="21"/>
                <w:szCs w:val="21"/>
                <w:lang w:bidi="ne-NP"/>
              </w:rPr>
              <w:t>；转速 7200rmp，剩余空间 500G 以上</w:t>
            </w:r>
          </w:p>
          <w:p>
            <w:pPr>
              <w:jc w:val="left"/>
              <w:rPr>
                <w:rFonts w:ascii="Times New Roman" w:hAnsi="Times New Roman" w:eastAsia="宋体" w:cs="Times New Roman"/>
                <w:color w:val="000000" w:themeColor="text1"/>
                <w:kern w:val="0"/>
                <w:sz w:val="21"/>
                <w:szCs w:val="21"/>
                <w:lang w:bidi="ne-NP"/>
              </w:rPr>
            </w:pPr>
            <w:r>
              <w:rPr>
                <w:rFonts w:ascii="Times New Roman" w:hAnsi="Times New Roman" w:eastAsia="宋体" w:cs="Times New Roman"/>
                <w:color w:val="000000" w:themeColor="text1"/>
                <w:kern w:val="0"/>
                <w:sz w:val="21"/>
                <w:szCs w:val="21"/>
                <w:lang w:bidi="ne-NP"/>
              </w:rPr>
              <w:t>显卡：</w:t>
            </w:r>
            <w:r>
              <w:rPr>
                <w:rFonts w:hint="eastAsia" w:ascii="Times New Roman" w:hAnsi="Times New Roman" w:eastAsia="宋体" w:cs="Times New Roman"/>
                <w:color w:val="000000" w:themeColor="text1"/>
                <w:kern w:val="0"/>
                <w:sz w:val="21"/>
                <w:szCs w:val="21"/>
                <w:lang w:bidi="ne-NP"/>
              </w:rPr>
              <w:t>Q</w:t>
            </w:r>
            <w:r>
              <w:rPr>
                <w:rFonts w:ascii="Times New Roman" w:hAnsi="Times New Roman" w:eastAsia="宋体" w:cs="Times New Roman"/>
                <w:color w:val="000000" w:themeColor="text1"/>
                <w:kern w:val="0"/>
                <w:sz w:val="21"/>
                <w:szCs w:val="21"/>
                <w:lang w:bidi="ne-NP"/>
              </w:rPr>
              <w:t>uadro P620 2GB或以上</w:t>
            </w:r>
          </w:p>
        </w:tc>
      </w:tr>
    </w:tbl>
    <w:p>
      <w:pPr>
        <w:jc w:val="left"/>
        <w:rPr>
          <w:rFonts w:ascii="黑体" w:hAnsi="黑体" w:eastAsia="黑体" w:cs="Times New Roman"/>
          <w:b/>
          <w:kern w:val="0"/>
          <w:sz w:val="18"/>
          <w:szCs w:val="1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2</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8</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37</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97"/>
  <w:drawingGridVerticalSpacing w:val="20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9741A"/>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345F"/>
    <w:rsid w:val="001A4FD9"/>
    <w:rsid w:val="001A5716"/>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4DE4"/>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62DDD"/>
    <w:rsid w:val="003813C8"/>
    <w:rsid w:val="0038362B"/>
    <w:rsid w:val="00384C3A"/>
    <w:rsid w:val="00387C50"/>
    <w:rsid w:val="0039032C"/>
    <w:rsid w:val="00396F45"/>
    <w:rsid w:val="003A0065"/>
    <w:rsid w:val="003A0B24"/>
    <w:rsid w:val="003B09EC"/>
    <w:rsid w:val="003B09F3"/>
    <w:rsid w:val="003B3BD0"/>
    <w:rsid w:val="003C0056"/>
    <w:rsid w:val="003C3445"/>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A3BB2"/>
    <w:rsid w:val="004B0444"/>
    <w:rsid w:val="004B75DB"/>
    <w:rsid w:val="004C0035"/>
    <w:rsid w:val="004C3916"/>
    <w:rsid w:val="004D29CB"/>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1FC2"/>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0086E"/>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0662"/>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019B"/>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3F56"/>
    <w:rsid w:val="008F4528"/>
    <w:rsid w:val="008F7856"/>
    <w:rsid w:val="0090127B"/>
    <w:rsid w:val="00903989"/>
    <w:rsid w:val="0090656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3C86"/>
    <w:rsid w:val="009D7580"/>
    <w:rsid w:val="009D7DC2"/>
    <w:rsid w:val="009E5E21"/>
    <w:rsid w:val="009F08F0"/>
    <w:rsid w:val="009F0E89"/>
    <w:rsid w:val="009F28E6"/>
    <w:rsid w:val="009F315B"/>
    <w:rsid w:val="009F4B38"/>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483B"/>
    <w:rsid w:val="00BA55FB"/>
    <w:rsid w:val="00BA71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306D"/>
    <w:rsid w:val="00CE4AC8"/>
    <w:rsid w:val="00CE66D3"/>
    <w:rsid w:val="00D03CBD"/>
    <w:rsid w:val="00D12374"/>
    <w:rsid w:val="00D12ABC"/>
    <w:rsid w:val="00D1746D"/>
    <w:rsid w:val="00D27EB7"/>
    <w:rsid w:val="00D37ADF"/>
    <w:rsid w:val="00D40A20"/>
    <w:rsid w:val="00D47BC2"/>
    <w:rsid w:val="00D51588"/>
    <w:rsid w:val="00D53C28"/>
    <w:rsid w:val="00D5404B"/>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0DA5"/>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 w:val="0B343DAE"/>
    <w:rsid w:val="1A507E14"/>
    <w:rsid w:val="1B96449E"/>
    <w:rsid w:val="1CC636A3"/>
    <w:rsid w:val="2BA22893"/>
    <w:rsid w:val="31863C32"/>
    <w:rsid w:val="37D42169"/>
    <w:rsid w:val="3A227633"/>
    <w:rsid w:val="595B41D6"/>
    <w:rsid w:val="5BFE3499"/>
    <w:rsid w:val="7004798C"/>
    <w:rsid w:val="72CA5B80"/>
    <w:rsid w:val="73401744"/>
    <w:rsid w:val="77A529AE"/>
    <w:rsid w:val="79F42662"/>
    <w:rsid w:val="7A0F7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5"/>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6"/>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1"/>
    <w:qFormat/>
    <w:uiPriority w:val="0"/>
    <w:rPr>
      <w:rFonts w:ascii="Times New Roman" w:hAnsi="Times New Roman" w:eastAsia="宋体" w:cs="Times New Roman"/>
      <w:kern w:val="0"/>
      <w:szCs w:val="24"/>
    </w:rPr>
  </w:style>
  <w:style w:type="paragraph" w:styleId="7">
    <w:name w:val="Body Text Indent"/>
    <w:basedOn w:val="1"/>
    <w:link w:val="30"/>
    <w:qFormat/>
    <w:uiPriority w:val="0"/>
    <w:pPr>
      <w:ind w:firstLine="555"/>
    </w:pPr>
    <w:rPr>
      <w:rFonts w:ascii="Times New Roman" w:hAnsi="Times New Roman" w:eastAsia="宋体" w:cs="Times New Roman"/>
      <w:kern w:val="0"/>
      <w:sz w:val="24"/>
      <w:szCs w:val="24"/>
    </w:rPr>
  </w:style>
  <w:style w:type="paragraph" w:styleId="8">
    <w:name w:val="Plain Text"/>
    <w:basedOn w:val="1"/>
    <w:link w:val="37"/>
    <w:qFormat/>
    <w:uiPriority w:val="0"/>
    <w:rPr>
      <w:rFonts w:ascii="宋体" w:hAnsi="Courier New" w:eastAsia="宋体" w:cs="Courier New"/>
      <w:sz w:val="24"/>
      <w:szCs w:val="21"/>
    </w:rPr>
  </w:style>
  <w:style w:type="paragraph" w:styleId="9">
    <w:name w:val="Date"/>
    <w:basedOn w:val="1"/>
    <w:next w:val="1"/>
    <w:link w:val="49"/>
    <w:semiHidden/>
    <w:unhideWhenUsed/>
    <w:qFormat/>
    <w:uiPriority w:val="99"/>
    <w:pPr>
      <w:ind w:left="100" w:leftChars="2500"/>
    </w:pPr>
  </w:style>
  <w:style w:type="paragraph" w:styleId="10">
    <w:name w:val="Body Text Indent 2"/>
    <w:basedOn w:val="1"/>
    <w:link w:val="29"/>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8"/>
    <w:semiHidden/>
    <w:qFormat/>
    <w:uiPriority w:val="0"/>
    <w:rPr>
      <w:rFonts w:ascii="Times New Roman" w:hAnsi="Times New Roman" w:eastAsia="宋体" w:cs="Times New Roman"/>
      <w:kern w:val="0"/>
      <w:sz w:val="18"/>
      <w:szCs w:val="18"/>
    </w:rPr>
  </w:style>
  <w:style w:type="paragraph" w:styleId="12">
    <w:name w:val="footer"/>
    <w:basedOn w:val="1"/>
    <w:link w:val="27"/>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2"/>
    <w:qFormat/>
    <w:uiPriority w:val="0"/>
    <w:pPr>
      <w:jc w:val="center"/>
    </w:pPr>
    <w:rPr>
      <w:rFonts w:ascii="Times New Roman" w:hAnsi="Times New Roman" w:eastAsia="宋体" w:cs="Times New Roman"/>
      <w:kern w:val="0"/>
      <w:szCs w:val="24"/>
    </w:rPr>
  </w:style>
  <w:style w:type="paragraph" w:styleId="16">
    <w:name w:val="HTML Preformatted"/>
    <w:basedOn w:val="1"/>
    <w:link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7">
    <w:name w:val="index 1"/>
    <w:basedOn w:val="1"/>
    <w:next w:val="1"/>
    <w:semiHidden/>
    <w:qFormat/>
    <w:uiPriority w:val="0"/>
    <w:rPr>
      <w:rFonts w:ascii="Times New Roman" w:hAnsi="Times New Roman" w:eastAsia="宋体" w:cs="Times New Roman"/>
      <w:kern w:val="0"/>
      <w:sz w:val="24"/>
      <w:szCs w:val="24"/>
    </w:rPr>
  </w:style>
  <w:style w:type="table" w:styleId="19">
    <w:name w:val="Table Grid"/>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rPr>
      <w:rFonts w:cs="Times New Roman"/>
    </w:rPr>
  </w:style>
  <w:style w:type="character" w:styleId="22">
    <w:name w:val="FollowedHyperlink"/>
    <w:basedOn w:val="20"/>
    <w:semiHidden/>
    <w:unhideWhenUsed/>
    <w:uiPriority w:val="99"/>
    <w:rPr>
      <w:color w:val="333333"/>
      <w:u w:val="none"/>
    </w:rPr>
  </w:style>
  <w:style w:type="character" w:styleId="23">
    <w:name w:val="Hyperlink"/>
    <w:basedOn w:val="20"/>
    <w:qFormat/>
    <w:uiPriority w:val="99"/>
    <w:rPr>
      <w:rFonts w:cs="Times New Roman"/>
      <w:color w:val="0000FF"/>
      <w:u w:val="single"/>
    </w:rPr>
  </w:style>
  <w:style w:type="character" w:customStyle="1" w:styleId="24">
    <w:name w:val="标题 1 Char"/>
    <w:basedOn w:val="20"/>
    <w:link w:val="2"/>
    <w:qFormat/>
    <w:uiPriority w:val="0"/>
    <w:rPr>
      <w:rFonts w:ascii="Times New Roman" w:hAnsi="Times New Roman" w:eastAsia="宋体" w:cs="Times New Roman"/>
      <w:b/>
      <w:bCs/>
      <w:kern w:val="44"/>
      <w:sz w:val="44"/>
      <w:szCs w:val="44"/>
    </w:rPr>
  </w:style>
  <w:style w:type="character" w:customStyle="1" w:styleId="25">
    <w:name w:val="标题 2 Char"/>
    <w:basedOn w:val="20"/>
    <w:link w:val="3"/>
    <w:qFormat/>
    <w:uiPriority w:val="0"/>
    <w:rPr>
      <w:rFonts w:ascii="Arial" w:hAnsi="Arial" w:eastAsia="黑体" w:cs="Times New Roman"/>
      <w:b/>
      <w:kern w:val="0"/>
      <w:sz w:val="32"/>
      <w:szCs w:val="20"/>
    </w:rPr>
  </w:style>
  <w:style w:type="character" w:customStyle="1" w:styleId="26">
    <w:name w:val="页眉 Char"/>
    <w:basedOn w:val="20"/>
    <w:link w:val="13"/>
    <w:qFormat/>
    <w:uiPriority w:val="0"/>
    <w:rPr>
      <w:rFonts w:ascii="Times New Roman" w:hAnsi="Times New Roman" w:eastAsia="宋体" w:cs="Times New Roman"/>
      <w:kern w:val="0"/>
      <w:sz w:val="18"/>
      <w:szCs w:val="18"/>
    </w:rPr>
  </w:style>
  <w:style w:type="character" w:customStyle="1" w:styleId="27">
    <w:name w:val="页脚 Char"/>
    <w:basedOn w:val="20"/>
    <w:link w:val="12"/>
    <w:qFormat/>
    <w:uiPriority w:val="0"/>
    <w:rPr>
      <w:rFonts w:ascii="Times New Roman" w:hAnsi="Times New Roman" w:eastAsia="宋体" w:cs="Times New Roman"/>
      <w:kern w:val="0"/>
      <w:sz w:val="18"/>
      <w:szCs w:val="18"/>
    </w:rPr>
  </w:style>
  <w:style w:type="paragraph" w:customStyle="1" w:styleId="28">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9">
    <w:name w:val="正文文本缩进 2 Char"/>
    <w:basedOn w:val="20"/>
    <w:link w:val="10"/>
    <w:qFormat/>
    <w:uiPriority w:val="0"/>
    <w:rPr>
      <w:rFonts w:ascii="Times New Roman" w:hAnsi="Times New Roman" w:eastAsia="宋体" w:cs="Times New Roman"/>
      <w:kern w:val="0"/>
      <w:sz w:val="24"/>
      <w:szCs w:val="24"/>
    </w:rPr>
  </w:style>
  <w:style w:type="character" w:customStyle="1" w:styleId="30">
    <w:name w:val="正文文本缩进 Char"/>
    <w:basedOn w:val="20"/>
    <w:link w:val="7"/>
    <w:qFormat/>
    <w:uiPriority w:val="0"/>
    <w:rPr>
      <w:rFonts w:ascii="Times New Roman" w:hAnsi="Times New Roman" w:eastAsia="宋体" w:cs="Times New Roman"/>
      <w:kern w:val="0"/>
      <w:sz w:val="24"/>
      <w:szCs w:val="24"/>
    </w:rPr>
  </w:style>
  <w:style w:type="character" w:customStyle="1" w:styleId="31">
    <w:name w:val="正文文本 Char"/>
    <w:basedOn w:val="20"/>
    <w:link w:val="6"/>
    <w:qFormat/>
    <w:uiPriority w:val="0"/>
    <w:rPr>
      <w:rFonts w:ascii="Times New Roman" w:hAnsi="Times New Roman" w:eastAsia="宋体" w:cs="Times New Roman"/>
      <w:kern w:val="0"/>
      <w:szCs w:val="24"/>
    </w:rPr>
  </w:style>
  <w:style w:type="character" w:customStyle="1" w:styleId="32">
    <w:name w:val="正文文本 2 Char"/>
    <w:basedOn w:val="20"/>
    <w:link w:val="15"/>
    <w:qFormat/>
    <w:uiPriority w:val="0"/>
    <w:rPr>
      <w:rFonts w:ascii="Times New Roman" w:hAnsi="Times New Roman" w:eastAsia="宋体" w:cs="Times New Roman"/>
      <w:kern w:val="0"/>
      <w:szCs w:val="24"/>
    </w:rPr>
  </w:style>
  <w:style w:type="paragraph" w:customStyle="1" w:styleId="33">
    <w:name w:val="样式1"/>
    <w:basedOn w:val="2"/>
    <w:qFormat/>
    <w:uiPriority w:val="0"/>
    <w:pPr>
      <w:spacing w:line="640" w:lineRule="exact"/>
      <w:jc w:val="center"/>
    </w:pPr>
    <w:rPr>
      <w:rFonts w:ascii="方正小标宋简体" w:hAnsi="华文中宋" w:eastAsia="方正小标宋简体"/>
      <w:b w:val="0"/>
    </w:rPr>
  </w:style>
  <w:style w:type="paragraph" w:customStyle="1" w:styleId="34">
    <w:name w:val="样式2"/>
    <w:basedOn w:val="2"/>
    <w:qFormat/>
    <w:uiPriority w:val="0"/>
    <w:pPr>
      <w:spacing w:line="640" w:lineRule="exact"/>
      <w:jc w:val="center"/>
    </w:pPr>
    <w:rPr>
      <w:rFonts w:ascii="方正小标宋简体" w:hAnsi="华文中宋" w:eastAsia="方正小标宋简体"/>
      <w:b w:val="0"/>
    </w:rPr>
  </w:style>
  <w:style w:type="paragraph" w:customStyle="1" w:styleId="35">
    <w:name w:val="样式3"/>
    <w:basedOn w:val="2"/>
    <w:qFormat/>
    <w:uiPriority w:val="0"/>
    <w:pPr>
      <w:spacing w:line="640" w:lineRule="exact"/>
      <w:jc w:val="center"/>
    </w:pPr>
    <w:rPr>
      <w:rFonts w:ascii="方正小标宋简体" w:hAnsi="华文中宋" w:eastAsia="方正小标宋简体"/>
      <w:b w:val="0"/>
    </w:rPr>
  </w:style>
  <w:style w:type="character" w:customStyle="1" w:styleId="36">
    <w:name w:val="文档结构图 Char"/>
    <w:basedOn w:val="20"/>
    <w:link w:val="5"/>
    <w:semiHidden/>
    <w:qFormat/>
    <w:uiPriority w:val="0"/>
    <w:rPr>
      <w:rFonts w:ascii="Times New Roman" w:hAnsi="Times New Roman" w:eastAsia="宋体" w:cs="Times New Roman"/>
      <w:kern w:val="0"/>
      <w:sz w:val="24"/>
      <w:szCs w:val="24"/>
      <w:shd w:val="clear" w:color="auto" w:fill="000080"/>
    </w:rPr>
  </w:style>
  <w:style w:type="character" w:customStyle="1" w:styleId="37">
    <w:name w:val="纯文本 Char"/>
    <w:basedOn w:val="20"/>
    <w:link w:val="8"/>
    <w:qFormat/>
    <w:uiPriority w:val="0"/>
    <w:rPr>
      <w:rFonts w:ascii="宋体" w:hAnsi="Courier New" w:eastAsia="宋体" w:cs="Courier New"/>
      <w:sz w:val="24"/>
      <w:szCs w:val="21"/>
    </w:rPr>
  </w:style>
  <w:style w:type="character" w:customStyle="1" w:styleId="38">
    <w:name w:val="批注框文本 Char"/>
    <w:basedOn w:val="20"/>
    <w:link w:val="11"/>
    <w:semiHidden/>
    <w:qFormat/>
    <w:uiPriority w:val="0"/>
    <w:rPr>
      <w:rFonts w:ascii="Times New Roman" w:hAnsi="Times New Roman" w:eastAsia="宋体" w:cs="Times New Roman"/>
      <w:kern w:val="0"/>
      <w:sz w:val="18"/>
      <w:szCs w:val="18"/>
    </w:rPr>
  </w:style>
  <w:style w:type="paragraph" w:customStyle="1" w:styleId="39">
    <w:name w:val="列出段落1"/>
    <w:basedOn w:val="1"/>
    <w:link w:val="43"/>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40">
    <w:name w:val="1111111199999"/>
    <w:basedOn w:val="1"/>
    <w:link w:val="41"/>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1">
    <w:name w:val="1111111199999 Char"/>
    <w:link w:val="40"/>
    <w:qFormat/>
    <w:locked/>
    <w:uiPriority w:val="0"/>
    <w:rPr>
      <w:rFonts w:ascii="Times New Roman" w:hAnsi="Times New Roman" w:eastAsia="宋体" w:cs="Times New Roman"/>
      <w:kern w:val="0"/>
      <w:szCs w:val="20"/>
    </w:rPr>
  </w:style>
  <w:style w:type="character" w:customStyle="1" w:styleId="42">
    <w:name w:val="apple-style-span"/>
    <w:qFormat/>
    <w:uiPriority w:val="0"/>
  </w:style>
  <w:style w:type="character" w:customStyle="1" w:styleId="43">
    <w:name w:val="List Paragraph Char"/>
    <w:link w:val="39"/>
    <w:qFormat/>
    <w:locked/>
    <w:uiPriority w:val="0"/>
    <w:rPr>
      <w:rFonts w:ascii="Calibri" w:hAnsi="Calibri" w:eastAsia="宋体" w:cs="Times New Roman"/>
      <w:kern w:val="0"/>
      <w:sz w:val="22"/>
      <w:szCs w:val="20"/>
      <w:lang w:eastAsia="en-US"/>
    </w:rPr>
  </w:style>
  <w:style w:type="paragraph" w:customStyle="1" w:styleId="44">
    <w:name w:val="Char Char Char Char"/>
    <w:basedOn w:val="1"/>
    <w:qFormat/>
    <w:uiPriority w:val="0"/>
    <w:rPr>
      <w:rFonts w:ascii="Times New Roman" w:hAnsi="Times New Roman" w:eastAsia="宋体" w:cs="Times New Roman"/>
      <w:sz w:val="24"/>
      <w:szCs w:val="36"/>
    </w:rPr>
  </w:style>
  <w:style w:type="character" w:customStyle="1" w:styleId="45">
    <w:name w:val="Char Char4"/>
    <w:qFormat/>
    <w:locked/>
    <w:uiPriority w:val="0"/>
    <w:rPr>
      <w:rFonts w:ascii="宋体" w:hAnsi="Courier New" w:eastAsia="宋体"/>
      <w:kern w:val="2"/>
      <w:sz w:val="21"/>
      <w:lang w:bidi="ar-SA"/>
    </w:rPr>
  </w:style>
  <w:style w:type="character" w:customStyle="1" w:styleId="46">
    <w:name w:val="样式 (中文) 仿宋_GB2312 三号"/>
    <w:basedOn w:val="20"/>
    <w:uiPriority w:val="0"/>
    <w:rPr>
      <w:rFonts w:hint="eastAsia" w:ascii="仿宋_GB2312" w:eastAsia="仿宋_GB2312"/>
      <w:sz w:val="32"/>
    </w:rPr>
  </w:style>
  <w:style w:type="character" w:customStyle="1" w:styleId="47">
    <w:name w:val="Char Char3"/>
    <w:basedOn w:val="20"/>
    <w:qFormat/>
    <w:locked/>
    <w:uiPriority w:val="0"/>
    <w:rPr>
      <w:rFonts w:ascii="宋体" w:hAnsi="宋体" w:eastAsia="宋体"/>
      <w:sz w:val="18"/>
      <w:szCs w:val="18"/>
      <w:lang w:val="en-US" w:eastAsia="zh-CN" w:bidi="ar-SA"/>
    </w:rPr>
  </w:style>
  <w:style w:type="character" w:customStyle="1" w:styleId="48">
    <w:name w:val="HTML 预设格式 Char"/>
    <w:basedOn w:val="20"/>
    <w:link w:val="16"/>
    <w:qFormat/>
    <w:uiPriority w:val="0"/>
    <w:rPr>
      <w:rFonts w:ascii="黑体" w:hAnsi="Courier New" w:eastAsia="黑体" w:cs="Times New Roman"/>
      <w:kern w:val="0"/>
      <w:sz w:val="20"/>
      <w:szCs w:val="20"/>
    </w:rPr>
  </w:style>
  <w:style w:type="character" w:customStyle="1" w:styleId="49">
    <w:name w:val="日期 Char"/>
    <w:basedOn w:val="20"/>
    <w:link w:val="9"/>
    <w:semiHidden/>
    <w:qFormat/>
    <w:uiPriority w:val="99"/>
  </w:style>
  <w:style w:type="table" w:customStyle="1" w:styleId="50">
    <w:name w:val="网格型2"/>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1">
    <w:name w:val="网格型61"/>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D6C45-2E7D-4194-BDB4-B54AC3ADB8A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4473</Words>
  <Characters>25502</Characters>
  <Lines>212</Lines>
  <Paragraphs>59</Paragraphs>
  <TotalTime>1</TotalTime>
  <ScaleCrop>false</ScaleCrop>
  <LinksUpToDate>false</LinksUpToDate>
  <CharactersWithSpaces>29916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2020-08-24T10:44:00Z</dcterms:created>
  <dc:creator>Administrator</dc:creator>
  <cp:lastModifiedBy>Administrator</cp:lastModifiedBy>
  <cp:lastPrinted>2020-10-28T02:01:00Z</cp:lastPrinted>
  <dcterms:modified xsi:type="dcterms:W3CDTF">2020-10-29T00:46:10Z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