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硬性输尿管镜</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highlight w:val="none"/>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highlight w:val="none"/>
          <w:u w:val="single"/>
          <w:lang w:val="en-US" w:eastAsia="zh-CN"/>
        </w:rPr>
        <w:t>2020-JL13(03)-W10106</w:t>
      </w:r>
      <w:r>
        <w:rPr>
          <w:rFonts w:hint="eastAsia" w:ascii="宋体" w:hAnsi="宋体" w:eastAsia="宋体" w:cs="Times New Roman"/>
          <w:kern w:val="0"/>
          <w:sz w:val="36"/>
          <w:szCs w:val="36"/>
          <w:highlight w:val="none"/>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b/>
          <w:bCs/>
          <w:kern w:val="0"/>
          <w:sz w:val="28"/>
          <w:szCs w:val="28"/>
        </w:rPr>
      </w:pPr>
      <w:r>
        <w:rPr>
          <w:rFonts w:hint="eastAsia" w:ascii="Tahoma" w:hAnsi="Tahoma" w:cs="Tahoma"/>
          <w:b/>
          <w:bCs/>
          <w:kern w:val="0"/>
          <w:sz w:val="28"/>
          <w:szCs w:val="28"/>
        </w:rPr>
        <w:t>关于</w:t>
      </w:r>
      <w:r>
        <w:rPr>
          <w:rFonts w:hint="eastAsia" w:ascii="Tahoma" w:hAnsi="Tahoma" w:cs="Tahoma"/>
          <w:b/>
          <w:bCs/>
          <w:kern w:val="0"/>
          <w:sz w:val="28"/>
          <w:szCs w:val="28"/>
          <w:lang w:eastAsia="zh-CN"/>
        </w:rPr>
        <w:t>硬性输尿管镜</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b/>
          <w:bCs/>
          <w:kern w:val="0"/>
          <w:sz w:val="28"/>
          <w:szCs w:val="28"/>
          <w:lang w:val="en-US" w:eastAsia="zh-CN"/>
        </w:rPr>
        <w:t xml:space="preserve">2020-JL13(03)-W10106 </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硬性输尿管镜</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val="en-US" w:eastAsia="zh-CN"/>
        </w:rPr>
        <w:t xml:space="preserve">2020-JL13(03)-W10106 </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硬性输尿管镜</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highlight w:val="none"/>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2</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（八）具备生产许可证、特许经营许可证、医疗器械注册证、质量管理体系认证、</w:t>
      </w:r>
      <w:r>
        <w:rPr>
          <w:rFonts w:cs="Times New Roman" w:asciiTheme="minorEastAsia" w:hAnsiTheme="minorEastAsia"/>
          <w:color w:val="auto"/>
          <w:kern w:val="0"/>
          <w:sz w:val="24"/>
          <w:szCs w:val="24"/>
        </w:rPr>
        <w:t>3C</w:t>
      </w:r>
      <w:r>
        <w:rPr>
          <w:rFonts w:hint="eastAsia" w:cs="Times New Roman" w:asciiTheme="minorEastAsia" w:hAnsiTheme="minorEastAsia"/>
          <w:color w:val="auto"/>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12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31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08</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日（08:00—11:30，1</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0—17:</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w:t>
      </w:r>
      <w:bookmarkStart w:id="24" w:name="_GoBack"/>
      <w:bookmarkEnd w:id="24"/>
      <w:r>
        <w:rPr>
          <w:rFonts w:hint="eastAsia" w:cs="Times New Roman" w:asciiTheme="minorEastAsia" w:hAnsiTheme="minorEastAsia"/>
          <w:kern w:val="0"/>
          <w:sz w:val="24"/>
          <w:szCs w:val="24"/>
        </w:rPr>
        <w:t>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21</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w:t>
      </w:r>
      <w:r>
        <w:rPr>
          <w:rFonts w:hint="eastAsia" w:cs="Times New Roman" w:asciiTheme="minorEastAsia" w:hAnsiTheme="minorEastAsia"/>
          <w:kern w:val="0"/>
          <w:sz w:val="24"/>
          <w:szCs w:val="24"/>
          <w:u w:val="single"/>
          <w:lang w:val="en-US" w:eastAsia="zh-CN"/>
        </w:rPr>
        <w:t>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01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lang w:val="en-US" w:eastAsia="zh-CN"/>
        </w:rPr>
        <w:t>21</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lang w:eastAsia="zh-CN"/>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w:t>
      </w:r>
      <w:r>
        <w:rPr>
          <w:rFonts w:hint="eastAsia" w:cs="Times New Roman" w:asciiTheme="minorEastAsia" w:hAnsiTheme="minorEastAsia"/>
          <w:color w:val="FF0000"/>
          <w:kern w:val="0"/>
          <w:sz w:val="24"/>
          <w:szCs w:val="24"/>
          <w:lang w:val="en-US" w:eastAsia="zh-CN"/>
        </w:rPr>
        <w:t>12</w:t>
      </w:r>
      <w:r>
        <w:rPr>
          <w:rFonts w:hint="eastAsia" w:cs="Times New Roman" w:asciiTheme="minorEastAsia" w:hAnsiTheme="minorEastAsia"/>
          <w:kern w:val="0"/>
          <w:sz w:val="24"/>
          <w:szCs w:val="24"/>
        </w:rPr>
        <w:t xml:space="preserve"> 月 </w:t>
      </w:r>
      <w:r>
        <w:rPr>
          <w:rFonts w:hint="eastAsia" w:cs="Times New Roman" w:asciiTheme="minorEastAsia" w:hAnsiTheme="minorEastAsia"/>
          <w:color w:val="FF0000"/>
          <w:kern w:val="0"/>
          <w:sz w:val="24"/>
          <w:szCs w:val="24"/>
          <w:lang w:val="en-US" w:eastAsia="zh-CN"/>
        </w:rPr>
        <w:t>31</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390713967"/>
      <w:bookmarkStart w:id="6" w:name="_Toc37172688"/>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kern w:val="0"/>
                <w:sz w:val="24"/>
                <w:szCs w:val="24"/>
                <w:lang w:val="en-US" w:eastAsia="zh-CN"/>
              </w:rPr>
              <w:t>硬性输尿管镜</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val="en-US" w:eastAsia="zh-CN"/>
              </w:rPr>
              <w:t>2</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hint="eastAsia" w:ascii="宋体" w:hAnsi="宋体" w:eastAsia="宋体" w:cs="宋体"/>
          <w:bCs/>
          <w:kern w:val="0"/>
          <w:sz w:val="32"/>
          <w:szCs w:val="32"/>
        </w:rPr>
      </w:pPr>
      <w:r>
        <w:rPr>
          <w:rFonts w:hint="eastAsia" w:ascii="宋体" w:hAnsi="宋体" w:eastAsia="宋体" w:cs="宋体"/>
          <w:bCs/>
          <w:kern w:val="0"/>
          <w:sz w:val="32"/>
          <w:szCs w:val="32"/>
          <w:lang w:val="en-US" w:eastAsia="zh-CN"/>
        </w:rPr>
        <w:t>硬性输尿管镜</w:t>
      </w:r>
      <w:r>
        <w:rPr>
          <w:rFonts w:hint="eastAsia" w:ascii="宋体" w:hAnsi="宋体" w:eastAsia="宋体" w:cs="宋体"/>
          <w:bCs/>
          <w:kern w:val="0"/>
          <w:sz w:val="32"/>
          <w:szCs w:val="32"/>
        </w:rPr>
        <w:t>技术要求</w:t>
      </w:r>
    </w:p>
    <w:tbl>
      <w:tblPr>
        <w:tblStyle w:val="17"/>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184"/>
        <w:gridCol w:w="42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909" w:type="dxa"/>
            <w:vAlign w:val="center"/>
          </w:tcPr>
          <w:p>
            <w:pPr>
              <w:widowControl/>
              <w:jc w:val="both"/>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序号</w:t>
            </w:r>
          </w:p>
        </w:tc>
        <w:tc>
          <w:tcPr>
            <w:tcW w:w="2184"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技术和性能参数</w:t>
            </w:r>
          </w:p>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名称</w:t>
            </w:r>
          </w:p>
        </w:tc>
        <w:tc>
          <w:tcPr>
            <w:tcW w:w="4226" w:type="dxa"/>
            <w:vAlign w:val="center"/>
          </w:tcPr>
          <w:p>
            <w:pPr>
              <w:widowControl/>
              <w:jc w:val="both"/>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技术参数和性能要求</w:t>
            </w:r>
          </w:p>
        </w:tc>
        <w:tc>
          <w:tcPr>
            <w:tcW w:w="1416"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9" w:type="dxa"/>
            <w:vAlign w:val="center"/>
          </w:tcPr>
          <w:p>
            <w:pPr>
              <w:widowControl/>
              <w:jc w:val="both"/>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1</w:t>
            </w:r>
          </w:p>
        </w:tc>
        <w:tc>
          <w:tcPr>
            <w:tcW w:w="2184"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设备使用需求</w:t>
            </w:r>
          </w:p>
        </w:tc>
        <w:tc>
          <w:tcPr>
            <w:tcW w:w="4226" w:type="dxa"/>
            <w:vAlign w:val="center"/>
          </w:tcPr>
          <w:p>
            <w:pPr>
              <w:widowControl/>
              <w:jc w:val="left"/>
              <w:rPr>
                <w:rFonts w:cs="Times New Roman" w:asciiTheme="majorEastAsia" w:hAnsiTheme="majorEastAsia" w:eastAsiaTheme="majorEastAsia"/>
                <w:b/>
                <w:bCs/>
                <w:kern w:val="0"/>
                <w:szCs w:val="21"/>
              </w:rPr>
            </w:pPr>
          </w:p>
        </w:tc>
        <w:tc>
          <w:tcPr>
            <w:tcW w:w="1416" w:type="dxa"/>
            <w:vAlign w:val="center"/>
          </w:tcPr>
          <w:p>
            <w:pPr>
              <w:widowControl/>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09" w:type="dxa"/>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1.1</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设备用途</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用于观察输尿管内的病变，如结石、肿瘤、狭窄、息肉等，并可进行相应的诊断和治疗</w:t>
            </w:r>
          </w:p>
        </w:tc>
        <w:tc>
          <w:tcPr>
            <w:tcW w:w="1416" w:type="dxa"/>
            <w:vAlign w:val="center"/>
          </w:tcPr>
          <w:p>
            <w:pPr>
              <w:widowControl/>
              <w:jc w:val="both"/>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9" w:type="dxa"/>
            <w:shd w:val="clear" w:color="000000" w:fill="auto"/>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1.2</w:t>
            </w:r>
          </w:p>
        </w:tc>
        <w:tc>
          <w:tcPr>
            <w:tcW w:w="218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color w:val="000000"/>
                <w:kern w:val="0"/>
                <w:szCs w:val="21"/>
              </w:rPr>
            </w:pPr>
            <w:r>
              <w:rPr>
                <w:rFonts w:cs="Times New Roman" w:asciiTheme="majorEastAsia" w:hAnsiTheme="majorEastAsia" w:eastAsiaTheme="majorEastAsia"/>
                <w:color w:val="000000"/>
                <w:kern w:val="0"/>
                <w:szCs w:val="21"/>
              </w:rPr>
              <w:t>实验对象</w:t>
            </w:r>
          </w:p>
        </w:tc>
        <w:tc>
          <w:tcPr>
            <w:tcW w:w="4226" w:type="dxa"/>
            <w:shd w:val="clear" w:color="000000" w:fill="auto"/>
            <w:vAlign w:val="center"/>
          </w:tcPr>
          <w:p>
            <w:pPr>
              <w:keepNext w:val="0"/>
              <w:keepLines w:val="0"/>
              <w:pageBreakBefore w:val="0"/>
              <w:kinsoku/>
              <w:wordWrap/>
              <w:overflowPunct/>
              <w:topLinePunct w:val="0"/>
              <w:autoSpaceDE/>
              <w:autoSpaceDN/>
              <w:bidi w:val="0"/>
              <w:adjustRightInd/>
              <w:snapToGrid/>
              <w:spacing w:before="156" w:beforeLines="50" w:line="440" w:lineRule="exact"/>
              <w:jc w:val="left"/>
              <w:textAlignment w:val="auto"/>
              <w:rPr>
                <w:rFonts w:cs="Times New Roman" w:asciiTheme="majorEastAsia" w:hAnsiTheme="majorEastAsia" w:eastAsiaTheme="majorEastAsia"/>
                <w:szCs w:val="21"/>
              </w:rPr>
            </w:pPr>
          </w:p>
        </w:tc>
        <w:tc>
          <w:tcPr>
            <w:tcW w:w="1416" w:type="dxa"/>
            <w:shd w:val="clear" w:color="000000" w:fill="auto"/>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9" w:type="dxa"/>
            <w:shd w:val="clear" w:color="000000" w:fill="auto"/>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bCs/>
                <w:kern w:val="0"/>
                <w:szCs w:val="21"/>
              </w:rPr>
              <w:t>1.3</w:t>
            </w:r>
          </w:p>
        </w:tc>
        <w:tc>
          <w:tcPr>
            <w:tcW w:w="2184"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color w:val="000000"/>
                <w:kern w:val="0"/>
                <w:szCs w:val="21"/>
              </w:rPr>
            </w:pPr>
            <w:r>
              <w:rPr>
                <w:rFonts w:cs="Times New Roman" w:asciiTheme="majorEastAsia" w:hAnsiTheme="majorEastAsia" w:eastAsiaTheme="majorEastAsia"/>
                <w:bCs/>
                <w:kern w:val="0"/>
                <w:szCs w:val="21"/>
              </w:rPr>
              <w:t>特殊功能需求</w:t>
            </w:r>
          </w:p>
        </w:tc>
        <w:tc>
          <w:tcPr>
            <w:tcW w:w="4226" w:type="dxa"/>
            <w:shd w:val="clear" w:color="000000" w:fill="auto"/>
            <w:vAlign w:val="center"/>
          </w:tcPr>
          <w:p>
            <w:pPr>
              <w:widowControl/>
              <w:jc w:val="both"/>
              <w:rPr>
                <w:rFonts w:cs="Times New Roman" w:asciiTheme="majorEastAsia" w:hAnsiTheme="majorEastAsia" w:eastAsiaTheme="majorEastAsia"/>
                <w:bCs/>
                <w:kern w:val="0"/>
                <w:szCs w:val="21"/>
              </w:rPr>
            </w:pPr>
            <w:r>
              <w:rPr>
                <w:rFonts w:hint="eastAsia" w:cs="Times New Roman" w:asciiTheme="majorEastAsia" w:hAnsiTheme="majorEastAsia" w:eastAsiaTheme="majorEastAsia"/>
                <w:bCs/>
                <w:kern w:val="0"/>
                <w:szCs w:val="21"/>
              </w:rPr>
              <w:t>配合主机实现特殊光观测</w:t>
            </w:r>
          </w:p>
        </w:tc>
        <w:tc>
          <w:tcPr>
            <w:tcW w:w="1416" w:type="dxa"/>
            <w:shd w:val="clear" w:color="000000" w:fill="auto"/>
            <w:vAlign w:val="center"/>
          </w:tcPr>
          <w:p>
            <w:pPr>
              <w:widowControl/>
              <w:jc w:val="both"/>
              <w:rPr>
                <w:rFonts w:cs="Times New Roman" w:asciiTheme="majorEastAsia" w:hAnsiTheme="majorEastAsia" w:eastAsiaTheme="maj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9" w:type="dxa"/>
            <w:vAlign w:val="center"/>
          </w:tcPr>
          <w:p>
            <w:pPr>
              <w:widowControl/>
              <w:jc w:val="both"/>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2</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主要技术参数</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（一行只写一个参数）</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p>
        </w:tc>
        <w:tc>
          <w:tcPr>
            <w:tcW w:w="1416" w:type="dxa"/>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09" w:type="dxa"/>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2.1</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★参数1</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与科室现有设备OLYMPUS内窥镜系统OTV-S7配套使用</w:t>
            </w:r>
          </w:p>
        </w:tc>
        <w:tc>
          <w:tcPr>
            <w:tcW w:w="1416" w:type="dxa"/>
            <w:vAlign w:val="center"/>
          </w:tcPr>
          <w:p>
            <w:pPr>
              <w:spacing w:line="2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9" w:type="dxa"/>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2.2</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★参数2</w:t>
            </w:r>
          </w:p>
        </w:tc>
        <w:tc>
          <w:tcPr>
            <w:tcW w:w="4226"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8.6-9.8Fr×430mm，6.4Fr器械通道</w:t>
            </w:r>
          </w:p>
        </w:tc>
        <w:tc>
          <w:tcPr>
            <w:tcW w:w="141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09" w:type="dxa"/>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2.3</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参数3</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配合主机实现NBI特殊光观测</w:t>
            </w:r>
          </w:p>
        </w:tc>
        <w:tc>
          <w:tcPr>
            <w:tcW w:w="1416" w:type="dxa"/>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9" w:type="dxa"/>
            <w:vAlign w:val="center"/>
          </w:tcPr>
          <w:p>
            <w:pPr>
              <w:widowControl/>
              <w:jc w:val="both"/>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2.4</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w:t>
            </w:r>
            <w:r>
              <w:rPr>
                <w:rFonts w:cs="Times New Roman" w:asciiTheme="majorEastAsia" w:hAnsiTheme="majorEastAsia" w:eastAsiaTheme="majorEastAsia"/>
                <w:kern w:val="0"/>
                <w:szCs w:val="21"/>
              </w:rPr>
              <w:t>参数4</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szCs w:val="21"/>
              </w:rPr>
            </w:pPr>
            <w:r>
              <w:rPr>
                <w:rFonts w:hint="eastAsia"/>
                <w:szCs w:val="21"/>
              </w:rPr>
              <w:t>视野方向</w:t>
            </w:r>
            <w:r>
              <w:rPr>
                <w:szCs w:val="21"/>
              </w:rPr>
              <w:t>7</w:t>
            </w:r>
            <w:r>
              <w:rPr>
                <w:rFonts w:hint="eastAsia"/>
                <w:szCs w:val="21"/>
              </w:rPr>
              <w:t>°，带斜形接目镜</w:t>
            </w:r>
          </w:p>
        </w:tc>
        <w:tc>
          <w:tcPr>
            <w:tcW w:w="1416" w:type="dxa"/>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2.5</w:t>
            </w:r>
          </w:p>
        </w:tc>
        <w:tc>
          <w:tcPr>
            <w:tcW w:w="218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szCs w:val="21"/>
              </w:rPr>
            </w:pPr>
            <w:r>
              <w:rPr>
                <w:rFonts w:cs="Times New Roman" w:asciiTheme="majorEastAsia" w:hAnsiTheme="majorEastAsia" w:eastAsiaTheme="majorEastAsia"/>
                <w:kern w:val="0"/>
                <w:szCs w:val="21"/>
              </w:rPr>
              <w:t>参数5</w:t>
            </w:r>
          </w:p>
        </w:tc>
        <w:tc>
          <w:tcPr>
            <w:tcW w:w="4226"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50000导像纤维零颗粒感视野</w:t>
            </w:r>
          </w:p>
        </w:tc>
        <w:tc>
          <w:tcPr>
            <w:tcW w:w="1416"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2.6</w:t>
            </w:r>
          </w:p>
        </w:tc>
        <w:tc>
          <w:tcPr>
            <w:tcW w:w="218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参数6</w:t>
            </w:r>
          </w:p>
        </w:tc>
        <w:tc>
          <w:tcPr>
            <w:tcW w:w="4226"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支持高温高压灭菌</w:t>
            </w:r>
          </w:p>
        </w:tc>
        <w:tc>
          <w:tcPr>
            <w:tcW w:w="1416"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2.7</w:t>
            </w:r>
          </w:p>
        </w:tc>
        <w:tc>
          <w:tcPr>
            <w:tcW w:w="218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参数7</w:t>
            </w:r>
          </w:p>
        </w:tc>
        <w:tc>
          <w:tcPr>
            <w:tcW w:w="4226" w:type="dxa"/>
            <w:vAlign w:val="center"/>
          </w:tcPr>
          <w:p>
            <w:pPr>
              <w:pStyle w:val="46"/>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asciiTheme="majorEastAsia" w:hAnsiTheme="majorEastAsia" w:eastAsiaTheme="majorEastAsia"/>
                <w:szCs w:val="21"/>
              </w:rPr>
            </w:pPr>
            <w:r>
              <w:rPr>
                <w:rFonts w:hint="eastAsia" w:asciiTheme="majorEastAsia" w:hAnsiTheme="majorEastAsia" w:eastAsiaTheme="majorEastAsia"/>
                <w:szCs w:val="21"/>
              </w:rPr>
              <w:t>防损伤先端设计，人机工程学设计</w:t>
            </w:r>
          </w:p>
        </w:tc>
        <w:tc>
          <w:tcPr>
            <w:tcW w:w="1416"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09" w:type="dxa"/>
            <w:vAlign w:val="center"/>
          </w:tcPr>
          <w:p>
            <w:pPr>
              <w:widowControl/>
              <w:jc w:val="center"/>
              <w:rPr>
                <w:rFonts w:cs="Times New Roman" w:asciiTheme="majorEastAsia" w:hAnsiTheme="majorEastAsia" w:eastAsiaTheme="majorEastAsia"/>
                <w:b/>
                <w:kern w:val="0"/>
                <w:szCs w:val="21"/>
              </w:rPr>
            </w:pPr>
            <w:r>
              <w:rPr>
                <w:rFonts w:cs="Times New Roman" w:asciiTheme="majorEastAsia" w:hAnsiTheme="majorEastAsia" w:eastAsiaTheme="majorEastAsia"/>
                <w:b/>
                <w:kern w:val="0"/>
                <w:szCs w:val="21"/>
              </w:rPr>
              <w:t>3</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201" w:firstLineChars="100"/>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配置需求</w:t>
            </w:r>
            <w:r>
              <w:rPr>
                <w:rFonts w:cs="Times New Roman" w:asciiTheme="majorEastAsia" w:hAnsiTheme="majorEastAsia" w:eastAsiaTheme="majorEastAsia"/>
                <w:b/>
                <w:bCs/>
                <w:kern w:val="0"/>
                <w:szCs w:val="21"/>
              </w:rPr>
              <w:br w:type="textWrapping"/>
            </w:r>
            <w:r>
              <w:rPr>
                <w:rFonts w:cs="Times New Roman" w:asciiTheme="majorEastAsia" w:hAnsiTheme="majorEastAsia" w:eastAsiaTheme="majorEastAsia"/>
                <w:b/>
                <w:bCs/>
                <w:kern w:val="0"/>
                <w:szCs w:val="21"/>
              </w:rPr>
              <w:t>（一行只写一个配置）</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3.1</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配置1</w:t>
            </w:r>
          </w:p>
        </w:tc>
        <w:tc>
          <w:tcPr>
            <w:tcW w:w="4226"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硬性输尿管镜</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9" w:type="dxa"/>
            <w:vAlign w:val="center"/>
          </w:tcPr>
          <w:p>
            <w:pPr>
              <w:widowControl/>
              <w:jc w:val="center"/>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4</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b/>
                <w:bCs/>
                <w:kern w:val="0"/>
                <w:szCs w:val="21"/>
              </w:rPr>
            </w:pPr>
            <w:r>
              <w:rPr>
                <w:rFonts w:cs="Times New Roman" w:asciiTheme="majorEastAsia" w:hAnsiTheme="majorEastAsia" w:eastAsiaTheme="majorEastAsia"/>
                <w:b/>
                <w:bCs/>
                <w:kern w:val="0"/>
                <w:szCs w:val="21"/>
              </w:rPr>
              <w:t>售后服务</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b/>
                <w:bCs/>
                <w:kern w:val="0"/>
                <w:szCs w:val="21"/>
              </w:rPr>
            </w:pPr>
          </w:p>
        </w:tc>
        <w:tc>
          <w:tcPr>
            <w:tcW w:w="1416" w:type="dxa"/>
            <w:vAlign w:val="center"/>
          </w:tcPr>
          <w:p>
            <w:pPr>
              <w:widowControl/>
              <w:jc w:val="center"/>
              <w:rPr>
                <w:rFonts w:cs="Times New Roman" w:asciiTheme="majorEastAsia" w:hAnsiTheme="majorEastAsia" w:eastAsiaTheme="maj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保修年限</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≥3年</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4.2</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出现故障回应时间</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维修到达现场时间≤ 6小时（本地）</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维修到达现场时间≤24小时（外地）</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4.3</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维修支持</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配件供应时间≥10年</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4.4</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耗材及零配件</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提供耗材及主要零配件目录（含报价）</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4.5</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维修资料</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提供详细操作手册、维修保养手册、安装手册等</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4.6</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维修工具</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提供维修专用工具1套</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4.7</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预防性维修</w:t>
            </w:r>
            <w:r>
              <w:rPr>
                <w:rFonts w:cs="Times New Roman" w:asciiTheme="majorEastAsia" w:hAnsiTheme="majorEastAsia" w:eastAsiaTheme="majorEastAsia"/>
                <w:kern w:val="0"/>
                <w:szCs w:val="21"/>
              </w:rPr>
              <w:br w:type="textWrapping"/>
            </w:r>
            <w:r>
              <w:rPr>
                <w:rFonts w:cs="Times New Roman" w:asciiTheme="majorEastAsia" w:hAnsiTheme="majorEastAsia" w:eastAsiaTheme="majorEastAsia"/>
                <w:kern w:val="0"/>
                <w:szCs w:val="21"/>
              </w:rPr>
              <w:t>/定期维护保养</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保修期内提供定期维护保养服务</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4.8</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维修密码支持</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开放</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4.9</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升级</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终身免费软件升级</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4.10</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使用培训</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416" w:type="dxa"/>
            <w:vAlign w:val="center"/>
          </w:tcPr>
          <w:p>
            <w:pPr>
              <w:widowControl/>
              <w:jc w:val="center"/>
              <w:rPr>
                <w:rFonts w:cs="Times New Roman"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9" w:type="dxa"/>
            <w:vAlign w:val="center"/>
          </w:tcPr>
          <w:p>
            <w:pPr>
              <w:widowControl/>
              <w:jc w:val="center"/>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4.11</w:t>
            </w:r>
          </w:p>
        </w:tc>
        <w:tc>
          <w:tcPr>
            <w:tcW w:w="218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工程师培训</w:t>
            </w:r>
          </w:p>
        </w:tc>
        <w:tc>
          <w:tcPr>
            <w:tcW w:w="4226"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cs="Times New Roman" w:asciiTheme="majorEastAsia" w:hAnsiTheme="majorEastAsia" w:eastAsiaTheme="majorEastAsia"/>
                <w:kern w:val="0"/>
                <w:szCs w:val="21"/>
              </w:rPr>
            </w:pPr>
            <w:r>
              <w:rPr>
                <w:rFonts w:cs="Times New Roman" w:asciiTheme="majorEastAsia" w:hAnsiTheme="majorEastAsia" w:eastAsiaTheme="majorEastAsia"/>
                <w:kern w:val="0"/>
                <w:szCs w:val="21"/>
              </w:rPr>
              <w:t>支持</w:t>
            </w:r>
          </w:p>
        </w:tc>
        <w:tc>
          <w:tcPr>
            <w:tcW w:w="1416" w:type="dxa"/>
            <w:vAlign w:val="center"/>
          </w:tcPr>
          <w:p>
            <w:pPr>
              <w:widowControl/>
              <w:jc w:val="center"/>
              <w:rPr>
                <w:rFonts w:cs="Times New Roman" w:asciiTheme="majorEastAsia" w:hAnsiTheme="majorEastAsia" w:eastAsiaTheme="majorEastAsia"/>
                <w:kern w:val="0"/>
                <w:szCs w:val="21"/>
              </w:rPr>
            </w:pPr>
          </w:p>
        </w:tc>
      </w:tr>
    </w:tbl>
    <w:p>
      <w:pPr>
        <w:adjustRightInd w:val="0"/>
        <w:snapToGrid w:val="0"/>
        <w:spacing w:line="440" w:lineRule="exact"/>
        <w:jc w:val="center"/>
        <w:rPr>
          <w:rFonts w:hint="eastAsia" w:ascii="宋体" w:hAnsi="宋体" w:eastAsia="宋体" w:cs="宋体"/>
          <w:bCs/>
          <w:kern w:val="0"/>
          <w:sz w:val="32"/>
          <w:szCs w:val="32"/>
        </w:rPr>
      </w:pP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highlight w:val="none"/>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w:t>
      </w:r>
      <w:r>
        <w:rPr>
          <w:rFonts w:hint="eastAsia" w:cs="Arial" w:asciiTheme="minorEastAsia" w:hAnsiTheme="minorEastAsia"/>
          <w:sz w:val="24"/>
          <w:szCs w:val="24"/>
          <w:highlight w:val="none"/>
        </w:rPr>
        <w:t>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highlight w:val="none"/>
        </w:rPr>
        <w:t>8.安装、验收及培训：供应商免费送货上门，免费安装培</w:t>
      </w:r>
      <w:r>
        <w:rPr>
          <w:rFonts w:hint="eastAsia" w:cs="Arial" w:asciiTheme="minorEastAsia" w:hAnsiTheme="minorEastAsia"/>
          <w:sz w:val="24"/>
          <w:szCs w:val="24"/>
        </w:rPr>
        <w:t>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90713968"/>
      <w:bookmarkStart w:id="10" w:name="_Toc37172689"/>
      <w:bookmarkStart w:id="11" w:name="_Toc435540980"/>
      <w:bookmarkStart w:id="12" w:name="_Toc285612601"/>
      <w:bookmarkStart w:id="13" w:name="_Toc24043223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7.</w:t>
            </w:r>
            <w:r>
              <w:rPr>
                <w:rFonts w:cs="Times New Roman" w:asciiTheme="majorEastAsia" w:hAnsiTheme="majorEastAsia" w:eastAsiaTheme="majorEastAsia"/>
                <w:kern w:val="0"/>
                <w:sz w:val="21"/>
                <w:szCs w:val="21"/>
                <w:highlight w:val="none"/>
              </w:rPr>
              <w:t xml:space="preserve"> 所投产品技术优势特色：最优得标准分，依次递减</w:t>
            </w:r>
            <w:r>
              <w:rPr>
                <w:rFonts w:hint="eastAsia" w:cs="Times New Roman" w:asciiTheme="majorEastAsia" w:hAnsiTheme="majorEastAsia" w:eastAsiaTheme="majorEastAsia"/>
                <w:kern w:val="0"/>
                <w:sz w:val="21"/>
                <w:szCs w:val="21"/>
                <w:highlight w:val="none"/>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1.可以量化排名的</w:t>
            </w:r>
            <w:r>
              <w:rPr>
                <w:rFonts w:hint="eastAsia" w:ascii="宋体" w:hAnsi="宋体" w:eastAsia="宋体" w:cs="宋体"/>
                <w:kern w:val="0"/>
                <w:sz w:val="21"/>
                <w:szCs w:val="21"/>
                <w:highlight w:val="none"/>
              </w:rPr>
              <w:t>★</w:t>
            </w:r>
            <w:r>
              <w:rPr>
                <w:rFonts w:hint="eastAsia" w:cs="Times New Roman" w:asciiTheme="majorEastAsia" w:hAnsiTheme="majorEastAsia" w:eastAsiaTheme="majorEastAsia"/>
                <w:kern w:val="0"/>
                <w:sz w:val="21"/>
                <w:szCs w:val="21"/>
                <w:highlight w:val="none"/>
              </w:rPr>
              <w:t>号、</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2.可以量化排名的</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 xml:space="preserve">3. </w:t>
            </w: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w:t>
            </w:r>
            <w:r>
              <w:rPr>
                <w:rFonts w:hint="eastAsia" w:cs="Times New Roman" w:asciiTheme="majorEastAsia" w:hAnsiTheme="majorEastAsia" w:eastAsiaTheme="majorEastAsia"/>
                <w:szCs w:val="21"/>
              </w:rPr>
              <w:t>与科室现有设备OLYMPUS内窥镜系统OTV-S7配套使用</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 xml:space="preserve"> </w:t>
            </w:r>
            <w:r>
              <w:rPr>
                <w:rFonts w:hint="eastAsia" w:asciiTheme="majorEastAsia" w:hAnsiTheme="majorEastAsia" w:eastAsiaTheme="majorEastAsia"/>
                <w:szCs w:val="21"/>
              </w:rPr>
              <w:t>8.6-9.8Fr×430mm，6.4Fr器械通道</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none"/>
              </w:rPr>
            </w:pP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lang w:val="en-US" w:eastAsia="zh-CN"/>
              </w:rPr>
              <w:t xml:space="preserve"> </w:t>
            </w:r>
            <w:r>
              <w:rPr>
                <w:rFonts w:hint="eastAsia" w:cs="Times New Roman" w:asciiTheme="majorEastAsia" w:hAnsiTheme="majorEastAsia" w:eastAsiaTheme="majorEastAsia"/>
                <w:szCs w:val="21"/>
              </w:rPr>
              <w:t>配合主机实现NBI特殊光观测</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highlight w:val="yellow"/>
              </w:rPr>
            </w:pPr>
            <w:r>
              <w:rPr>
                <w:rFonts w:hint="eastAsia" w:cs="Times New Roman" w:asciiTheme="majorEastAsia" w:hAnsiTheme="majorEastAsia" w:eastAsiaTheme="majorEastAsia"/>
                <w:kern w:val="0"/>
                <w:sz w:val="21"/>
                <w:szCs w:val="21"/>
                <w:highlight w:val="none"/>
                <w:lang w:val="zh-CN"/>
              </w:rPr>
              <w:t>▲</w:t>
            </w:r>
            <w:r>
              <w:rPr>
                <w:rFonts w:hint="eastAsia" w:cs="Times New Roman" w:asciiTheme="majorEastAsia" w:hAnsiTheme="majorEastAsia" w:eastAsiaTheme="majorEastAsia"/>
                <w:kern w:val="0"/>
                <w:sz w:val="21"/>
                <w:szCs w:val="21"/>
                <w:highlight w:val="none"/>
                <w:lang w:val="en-US" w:eastAsia="zh-CN"/>
              </w:rPr>
              <w:t xml:space="preserve"> </w:t>
            </w:r>
            <w:r>
              <w:rPr>
                <w:rFonts w:hint="eastAsia"/>
                <w:szCs w:val="21"/>
              </w:rPr>
              <w:t>视野方向</w:t>
            </w:r>
            <w:r>
              <w:rPr>
                <w:szCs w:val="21"/>
              </w:rPr>
              <w:t>7</w:t>
            </w:r>
            <w:r>
              <w:rPr>
                <w:rFonts w:hint="eastAsia"/>
                <w:szCs w:val="21"/>
              </w:rPr>
              <w:t>°，带斜形接目镜</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50000导像纤维零颗粒感视野</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支持高温高压灭菌</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宋体" w:asciiTheme="majorEastAsia" w:hAnsiTheme="majorEastAsia" w:eastAsiaTheme="majorEastAsia"/>
                <w:kern w:val="0"/>
                <w:sz w:val="21"/>
                <w:szCs w:val="21"/>
                <w:highlight w:val="yellow"/>
              </w:rPr>
            </w:pPr>
            <w:r>
              <w:rPr>
                <w:rFonts w:hint="eastAsia" w:asciiTheme="majorEastAsia" w:hAnsiTheme="majorEastAsia" w:eastAsiaTheme="majorEastAsia"/>
                <w:szCs w:val="21"/>
              </w:rPr>
              <w:t>防损伤先端设计，人机工程学设计</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highlight w:val="none"/>
                <w:u w:val="single"/>
              </w:rPr>
              <w:t>主要零配件价格</w:t>
            </w:r>
            <w:r>
              <w:rPr>
                <w:rFonts w:hint="eastAsia" w:cs="Times New Roman" w:asciiTheme="minorEastAsia" w:hAnsiTheme="minorEastAsia" w:eastAsiaTheme="minorEastAsia"/>
                <w:kern w:val="0"/>
                <w:sz w:val="21"/>
                <w:szCs w:val="21"/>
                <w:highlight w:val="none"/>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技术支持和服务网点：</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highlight w:val="none"/>
              </w:rPr>
              <w:br w:type="textWrapping"/>
            </w:r>
            <w:r>
              <w:rPr>
                <w:rFonts w:hint="eastAsia" w:cs="Times New Roman" w:asciiTheme="minorEastAsia" w:hAnsiTheme="minorEastAsia" w:eastAsiaTheme="minorEastAsia"/>
                <w:kern w:val="0"/>
                <w:sz w:val="21"/>
                <w:szCs w:val="21"/>
                <w:highlight w:val="none"/>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highlight w:val="none"/>
              </w:rPr>
            </w:pPr>
            <w:r>
              <w:rPr>
                <w:rFonts w:hint="eastAsia" w:cs="Times New Roman" w:asciiTheme="minorEastAsia" w:hAnsiTheme="minorEastAsia" w:eastAsiaTheme="minorEastAsia"/>
                <w:kern w:val="0"/>
                <w:sz w:val="21"/>
                <w:szCs w:val="21"/>
                <w:highlight w:val="none"/>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285612603"/>
      <w:bookmarkStart w:id="15" w:name="_Toc435540981"/>
      <w:bookmarkStart w:id="16" w:name="_Toc37172690"/>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hint="eastAsia"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40432233"/>
      <w:bookmarkStart w:id="19" w:name="_Toc37172691"/>
      <w:bookmarkStart w:id="20" w:name="_Toc390713970"/>
      <w:bookmarkStart w:id="21" w:name="_Toc285612604"/>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1F5D"/>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BF6A6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A4AA0"/>
    <w:rsid w:val="00DB0D05"/>
    <w:rsid w:val="00DB1953"/>
    <w:rsid w:val="00DB3B93"/>
    <w:rsid w:val="00DB5A86"/>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33EA"/>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33324A6"/>
    <w:rsid w:val="03E126A6"/>
    <w:rsid w:val="041D194C"/>
    <w:rsid w:val="04955253"/>
    <w:rsid w:val="064332C6"/>
    <w:rsid w:val="067A3119"/>
    <w:rsid w:val="06830E44"/>
    <w:rsid w:val="06C94276"/>
    <w:rsid w:val="06D16F15"/>
    <w:rsid w:val="0A420080"/>
    <w:rsid w:val="0B02729F"/>
    <w:rsid w:val="0BC62AE5"/>
    <w:rsid w:val="0C2566DD"/>
    <w:rsid w:val="0CAA5D47"/>
    <w:rsid w:val="0D121C1D"/>
    <w:rsid w:val="0D9909F1"/>
    <w:rsid w:val="0F331617"/>
    <w:rsid w:val="11284A21"/>
    <w:rsid w:val="11541522"/>
    <w:rsid w:val="11C85FD8"/>
    <w:rsid w:val="11FF6018"/>
    <w:rsid w:val="14004E84"/>
    <w:rsid w:val="15DF701E"/>
    <w:rsid w:val="16012CAE"/>
    <w:rsid w:val="18351273"/>
    <w:rsid w:val="183541D9"/>
    <w:rsid w:val="189719E2"/>
    <w:rsid w:val="18B472AB"/>
    <w:rsid w:val="198752E3"/>
    <w:rsid w:val="1A4F3B62"/>
    <w:rsid w:val="1A594715"/>
    <w:rsid w:val="1B4B3AE5"/>
    <w:rsid w:val="1BE31596"/>
    <w:rsid w:val="1C2C4C02"/>
    <w:rsid w:val="1C7A2898"/>
    <w:rsid w:val="1DB052EA"/>
    <w:rsid w:val="1EAD51F4"/>
    <w:rsid w:val="1F354454"/>
    <w:rsid w:val="200C6281"/>
    <w:rsid w:val="219D3231"/>
    <w:rsid w:val="21C96FB4"/>
    <w:rsid w:val="21F8648F"/>
    <w:rsid w:val="224B623D"/>
    <w:rsid w:val="229912DA"/>
    <w:rsid w:val="22E97F72"/>
    <w:rsid w:val="25826B10"/>
    <w:rsid w:val="26214B31"/>
    <w:rsid w:val="27B31271"/>
    <w:rsid w:val="291E3C98"/>
    <w:rsid w:val="298F7AD3"/>
    <w:rsid w:val="2B053A90"/>
    <w:rsid w:val="2B090C6C"/>
    <w:rsid w:val="2B3A6BED"/>
    <w:rsid w:val="2D62567B"/>
    <w:rsid w:val="2DC40F45"/>
    <w:rsid w:val="2E764DFD"/>
    <w:rsid w:val="2EC422DA"/>
    <w:rsid w:val="2F7F6382"/>
    <w:rsid w:val="2FA052A5"/>
    <w:rsid w:val="2FBB458C"/>
    <w:rsid w:val="2FF006C6"/>
    <w:rsid w:val="3098742D"/>
    <w:rsid w:val="309C4094"/>
    <w:rsid w:val="30FB0A5B"/>
    <w:rsid w:val="31526B37"/>
    <w:rsid w:val="315B33F8"/>
    <w:rsid w:val="328320CB"/>
    <w:rsid w:val="328B5C60"/>
    <w:rsid w:val="32D466E7"/>
    <w:rsid w:val="33D05B68"/>
    <w:rsid w:val="340E3DC7"/>
    <w:rsid w:val="346575EC"/>
    <w:rsid w:val="36FD07A2"/>
    <w:rsid w:val="39DE010D"/>
    <w:rsid w:val="39F573D6"/>
    <w:rsid w:val="3AF419D6"/>
    <w:rsid w:val="3BEC26C8"/>
    <w:rsid w:val="3C0D782A"/>
    <w:rsid w:val="3C9E3B9A"/>
    <w:rsid w:val="3CB9338E"/>
    <w:rsid w:val="3DD605AE"/>
    <w:rsid w:val="3EB024A2"/>
    <w:rsid w:val="3F024310"/>
    <w:rsid w:val="40C63911"/>
    <w:rsid w:val="40DD4E52"/>
    <w:rsid w:val="41E30BDA"/>
    <w:rsid w:val="43627676"/>
    <w:rsid w:val="439766DA"/>
    <w:rsid w:val="43EA7AD4"/>
    <w:rsid w:val="45707B83"/>
    <w:rsid w:val="458C276C"/>
    <w:rsid w:val="45E600C6"/>
    <w:rsid w:val="46322539"/>
    <w:rsid w:val="466F69A0"/>
    <w:rsid w:val="46720261"/>
    <w:rsid w:val="46B9109B"/>
    <w:rsid w:val="485F0391"/>
    <w:rsid w:val="486C6D51"/>
    <w:rsid w:val="48B040EA"/>
    <w:rsid w:val="48FA5509"/>
    <w:rsid w:val="49525463"/>
    <w:rsid w:val="499F1CDB"/>
    <w:rsid w:val="4A1165E4"/>
    <w:rsid w:val="4A1B35FE"/>
    <w:rsid w:val="4A4E73DE"/>
    <w:rsid w:val="4D6A6ECD"/>
    <w:rsid w:val="4DCD2A8E"/>
    <w:rsid w:val="4ED40801"/>
    <w:rsid w:val="51380BE4"/>
    <w:rsid w:val="5194774A"/>
    <w:rsid w:val="51CB62D1"/>
    <w:rsid w:val="522D36EC"/>
    <w:rsid w:val="52A20EB5"/>
    <w:rsid w:val="52D865F6"/>
    <w:rsid w:val="53625109"/>
    <w:rsid w:val="54AB0B77"/>
    <w:rsid w:val="54C57068"/>
    <w:rsid w:val="54F2243C"/>
    <w:rsid w:val="575B1361"/>
    <w:rsid w:val="582B198D"/>
    <w:rsid w:val="58787FB2"/>
    <w:rsid w:val="58FF3358"/>
    <w:rsid w:val="596D0F8A"/>
    <w:rsid w:val="59800CAA"/>
    <w:rsid w:val="59926D52"/>
    <w:rsid w:val="59F101D8"/>
    <w:rsid w:val="5A16796E"/>
    <w:rsid w:val="5AFB448F"/>
    <w:rsid w:val="5B6428FE"/>
    <w:rsid w:val="5BB55DA5"/>
    <w:rsid w:val="5C144D36"/>
    <w:rsid w:val="5D390F6C"/>
    <w:rsid w:val="5D3C4CB9"/>
    <w:rsid w:val="5DC573BD"/>
    <w:rsid w:val="5E6B5A7B"/>
    <w:rsid w:val="5F2A3616"/>
    <w:rsid w:val="613E6AB3"/>
    <w:rsid w:val="615D742E"/>
    <w:rsid w:val="61A905DA"/>
    <w:rsid w:val="61B736A3"/>
    <w:rsid w:val="63930BB5"/>
    <w:rsid w:val="640445A5"/>
    <w:rsid w:val="659D6345"/>
    <w:rsid w:val="65A504AE"/>
    <w:rsid w:val="660266E0"/>
    <w:rsid w:val="666F78CB"/>
    <w:rsid w:val="66D31A2D"/>
    <w:rsid w:val="67220921"/>
    <w:rsid w:val="679474C9"/>
    <w:rsid w:val="685F53AF"/>
    <w:rsid w:val="687658AF"/>
    <w:rsid w:val="69C15115"/>
    <w:rsid w:val="69FD7C6B"/>
    <w:rsid w:val="6A9E2400"/>
    <w:rsid w:val="6B1934B5"/>
    <w:rsid w:val="6B243A62"/>
    <w:rsid w:val="6B322305"/>
    <w:rsid w:val="6CC87D37"/>
    <w:rsid w:val="6CD533D7"/>
    <w:rsid w:val="6D376E02"/>
    <w:rsid w:val="6DD2687A"/>
    <w:rsid w:val="6EE7352E"/>
    <w:rsid w:val="70C646B8"/>
    <w:rsid w:val="720A4994"/>
    <w:rsid w:val="726505F0"/>
    <w:rsid w:val="729748CC"/>
    <w:rsid w:val="729A710D"/>
    <w:rsid w:val="73462118"/>
    <w:rsid w:val="73510411"/>
    <w:rsid w:val="74076F62"/>
    <w:rsid w:val="76472EDE"/>
    <w:rsid w:val="76CC7807"/>
    <w:rsid w:val="771E4DD1"/>
    <w:rsid w:val="77F557B0"/>
    <w:rsid w:val="78321C0B"/>
    <w:rsid w:val="786D3869"/>
    <w:rsid w:val="78F71C6E"/>
    <w:rsid w:val="7AF91DCA"/>
    <w:rsid w:val="7AFC2431"/>
    <w:rsid w:val="7B652B65"/>
    <w:rsid w:val="7C7B2290"/>
    <w:rsid w:val="7E483109"/>
    <w:rsid w:val="7ECA41E2"/>
    <w:rsid w:val="7EF945E6"/>
    <w:rsid w:val="7F7D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3608-DE18-4DB4-9969-88D3834294E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4938</Words>
  <Characters>28152</Characters>
  <Lines>234</Lines>
  <Paragraphs>66</Paragraphs>
  <TotalTime>2</TotalTime>
  <ScaleCrop>false</ScaleCrop>
  <LinksUpToDate>false</LinksUpToDate>
  <CharactersWithSpaces>33024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Administrator</cp:lastModifiedBy>
  <cp:lastPrinted>2020-12-25T00:33:00Z</cp:lastPrinted>
  <dcterms:modified xsi:type="dcterms:W3CDTF">2020-12-31T08:56:20Z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