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细胞杀伤分析系统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2020-JL13(03)-W10020</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rFonts w:hint="eastAsia"/>
          <w:sz w:val="32"/>
          <w:lang w:val="en-US" w:eastAsia="zh-CN"/>
        </w:rPr>
        <w:t>7</w:t>
      </w:r>
      <w:r>
        <w:rPr>
          <w:sz w:val="32"/>
        </w:rPr>
        <w:fldChar w:fldCharType="end"/>
      </w:r>
    </w:p>
    <w:p>
      <w:pPr>
        <w:pStyle w:val="13"/>
        <w:ind w:left="804"/>
        <w:rPr>
          <w:rFonts w:hint="eastAsia" w:eastAsia="宋体" w:asciiTheme="minorHAnsi" w:hAnsiTheme="minorHAnsi" w:cstheme="minorBidi"/>
          <w:kern w:val="2"/>
          <w:szCs w:val="22"/>
          <w:lang w:val="en-US" w:eastAsia="zh-CN"/>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rFonts w:hint="eastAsia"/>
          <w:sz w:val="32"/>
          <w:lang w:val="en-US" w:eastAsia="zh-CN"/>
        </w:rPr>
        <w:t>1</w:t>
      </w:r>
      <w:r>
        <w:rPr>
          <w:sz w:val="32"/>
        </w:rPr>
        <w:fldChar w:fldCharType="end"/>
      </w:r>
      <w:r>
        <w:rPr>
          <w:rFonts w:hint="eastAsia"/>
          <w:sz w:val="32"/>
          <w:lang w:val="en-US" w:eastAsia="zh-CN"/>
        </w:rPr>
        <w:t>1</w:t>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w:t>
      </w:r>
      <w:r>
        <w:rPr>
          <w:rFonts w:hint="eastAsia"/>
          <w:sz w:val="32"/>
          <w:lang w:val="en-US" w:eastAsia="zh-CN"/>
        </w:rPr>
        <w:t>3</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w:t>
      </w:r>
      <w:r>
        <w:rPr>
          <w:rFonts w:hint="eastAsia"/>
          <w:sz w:val="32"/>
          <w:lang w:val="en-US" w:eastAsia="zh-CN"/>
        </w:rPr>
        <w:t>6</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579"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lang w:eastAsia="zh-CN"/>
        </w:rPr>
        <w:t>关于细胞杀伤分析系统采购情况的再次公示</w:t>
      </w:r>
    </w:p>
    <w:p>
      <w:pPr>
        <w:adjustRightInd w:val="0"/>
        <w:snapToGrid w:val="0"/>
        <w:spacing w:line="4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lang w:eastAsia="zh-CN"/>
        </w:rPr>
        <w:t>2020-JL13(03)-W10020</w:t>
      </w:r>
    </w:p>
    <w:p>
      <w:pPr>
        <w:adjustRightInd w:val="0"/>
        <w:snapToGrid w:val="0"/>
        <w:spacing w:line="440" w:lineRule="exact"/>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我院细胞杀伤分析系统采购项目经网上公告至报名截止时间为止合格报名供应商不足三家，现仍接受供应商报名</w:t>
      </w:r>
      <w:r>
        <w:rPr>
          <w:rFonts w:hint="eastAsia" w:cs="Times New Roman" w:asciiTheme="minorEastAsia" w:hAnsiTheme="minorEastAsia"/>
          <w:kern w:val="0"/>
          <w:sz w:val="24"/>
          <w:szCs w:val="24"/>
          <w:lang w:eastAsia="zh-CN"/>
        </w:rPr>
        <w:t>：</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细胞杀伤分析系统</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2"/>
        <w:gridCol w:w="714"/>
        <w:gridCol w:w="1548"/>
        <w:gridCol w:w="714"/>
        <w:gridCol w:w="801"/>
        <w:gridCol w:w="1463"/>
        <w:gridCol w:w="85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细胞杀伤分析系统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156"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892" w:leftChars="2434" w:firstLine="451" w:firstLineChars="195"/>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bookmarkStart w:id="24" w:name="_GoBack"/>
      <w:bookmarkEnd w:id="24"/>
    </w:p>
    <w:p>
      <w:pPr>
        <w:ind w:firstLine="5313" w:firstLineChars="2300"/>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kern w:val="0"/>
          <w:sz w:val="24"/>
          <w:szCs w:val="24"/>
          <w:lang w:val="en-US" w:eastAsia="zh-CN"/>
        </w:rPr>
        <w:t>10</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20</w:t>
      </w:r>
      <w:r>
        <w:rPr>
          <w:rFonts w:hint="eastAsia" w:cs="Times New Roman" w:asciiTheme="minorEastAsia" w:hAnsiTheme="minorEastAsia"/>
          <w:kern w:val="0"/>
          <w:sz w:val="24"/>
          <w:szCs w:val="24"/>
        </w:rPr>
        <w:t xml:space="preserve"> 日</w:t>
      </w: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关于细胞杀伤分析系统的采购</w:t>
      </w:r>
      <w:r>
        <w:rPr>
          <w:rFonts w:ascii="Tahoma" w:hAnsi="Tahoma" w:cs="Tahoma"/>
          <w:b/>
          <w:bCs/>
          <w:kern w:val="0"/>
          <w:sz w:val="28"/>
          <w:szCs w:val="28"/>
        </w:rPr>
        <w:t>公告</w:t>
      </w:r>
      <w:r>
        <w:rPr>
          <w:rFonts w:ascii="Tahoma" w:hAnsi="Tahoma" w:cs="Tahoma"/>
          <w:kern w:val="0"/>
          <w:sz w:val="28"/>
          <w:szCs w:val="28"/>
        </w:rPr>
        <w:t>2020-JL13(03)-W10020</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细胞杀伤分析系统</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细胞杀伤分析系统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29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9 月 29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435540979"/>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szCs w:val="21"/>
              </w:rPr>
              <w:t>细胞杀伤分析系统</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细胞杀伤分析系统技术要求</w:t>
      </w:r>
    </w:p>
    <w:tbl>
      <w:tblPr>
        <w:tblStyle w:val="17"/>
        <w:tblW w:w="9087" w:type="dxa"/>
        <w:tblInd w:w="209" w:type="dxa"/>
        <w:tblLayout w:type="fixed"/>
        <w:tblCellMar>
          <w:top w:w="0" w:type="dxa"/>
          <w:left w:w="108" w:type="dxa"/>
          <w:bottom w:w="0" w:type="dxa"/>
          <w:right w:w="108" w:type="dxa"/>
        </w:tblCellMar>
      </w:tblPr>
      <w:tblGrid>
        <w:gridCol w:w="1176"/>
        <w:gridCol w:w="1842"/>
        <w:gridCol w:w="4394"/>
        <w:gridCol w:w="1675"/>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1842"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w:t>
            </w:r>
          </w:p>
          <w:p>
            <w:pPr>
              <w:widowControl/>
              <w:jc w:val="center"/>
              <w:rPr>
                <w:rFonts w:ascii="宋体" w:hAnsi="宋体" w:cs="宋体"/>
                <w:b/>
                <w:bCs/>
                <w:kern w:val="0"/>
              </w:rPr>
            </w:pPr>
            <w:r>
              <w:rPr>
                <w:rFonts w:hint="eastAsia" w:ascii="宋体" w:hAnsi="宋体" w:cs="宋体"/>
                <w:b/>
                <w:bCs/>
                <w:kern w:val="0"/>
              </w:rPr>
              <w:t>名称</w:t>
            </w:r>
          </w:p>
        </w:tc>
        <w:tc>
          <w:tcPr>
            <w:tcW w:w="4394"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备注</w:t>
            </w:r>
          </w:p>
        </w:tc>
      </w:tr>
      <w:tr>
        <w:tblPrEx>
          <w:tblCellMar>
            <w:top w:w="0" w:type="dxa"/>
            <w:left w:w="108" w:type="dxa"/>
            <w:bottom w:w="0" w:type="dxa"/>
            <w:right w:w="108" w:type="dxa"/>
          </w:tblCellMar>
        </w:tblPrEx>
        <w:trPr>
          <w:trHeight w:val="844"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b/>
                <w:bCs/>
                <w:kern w:val="0"/>
                <w:szCs w:val="21"/>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78"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r>
              <w:rPr>
                <w:rFonts w:hint="eastAsia" w:ascii="宋体" w:hAnsi="宋体" w:eastAsia="宋体" w:cs="宋体"/>
                <w:color w:val="333333"/>
                <w:szCs w:val="21"/>
              </w:rPr>
              <w:t>用于</w:t>
            </w:r>
            <w:r>
              <w:rPr>
                <w:rFonts w:hint="eastAsia" w:ascii="Helvetica" w:hAnsi="Helvetica" w:cs="Helvetica"/>
                <w:color w:val="333333"/>
                <w:szCs w:val="21"/>
              </w:rPr>
              <w:t>细胞增殖&amp;毒性研究，药物的细胞毒理研究，细胞粘附与延展，细胞共培养co-culture研究，抗体依赖性的细胞介导的细胞毒性作用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rPr>
            </w:pPr>
            <w:r>
              <w:rPr>
                <w:rFonts w:hint="eastAsia" w:ascii="宋体" w:hAnsi="宋体" w:cs="宋体"/>
                <w:kern w:val="0"/>
              </w:rPr>
              <w:t>1.2</w:t>
            </w:r>
          </w:p>
        </w:tc>
        <w:tc>
          <w:tcPr>
            <w:tcW w:w="184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exact"/>
              <w:rPr>
                <w:rFonts w:ascii="宋体" w:hAnsi="宋体" w:cs="宋体"/>
                <w:kern w:val="0"/>
                <w:szCs w:val="21"/>
              </w:rPr>
            </w:pPr>
            <w:r>
              <w:rPr>
                <w:rFonts w:hint="eastAsia" w:ascii="宋体" w:hAnsi="宋体" w:cs="宋体"/>
                <w:kern w:val="0"/>
                <w:szCs w:val="21"/>
              </w:rPr>
              <w:t>活细胞</w:t>
            </w:r>
          </w:p>
        </w:tc>
        <w:tc>
          <w:tcPr>
            <w:tcW w:w="1675"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1.3</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特殊功能需求</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b/>
                <w:bCs/>
                <w:kern w:val="0"/>
                <w:szCs w:val="21"/>
              </w:rPr>
            </w:pPr>
            <w:r>
              <w:rPr>
                <w:rFonts w:hint="eastAsia" w:ascii="宋体" w:hAnsi="宋体" w:cs="宋体"/>
                <w:szCs w:val="21"/>
              </w:rPr>
              <w:t>细胞杀伤的分析</w:t>
            </w:r>
          </w:p>
        </w:tc>
        <w:tc>
          <w:tcPr>
            <w:tcW w:w="1675" w:type="dxa"/>
            <w:tcBorders>
              <w:top w:val="nil"/>
              <w:left w:val="nil"/>
              <w:bottom w:val="single" w:color="auto" w:sz="4" w:space="0"/>
              <w:right w:val="single" w:color="auto" w:sz="8" w:space="0"/>
            </w:tcBorders>
            <w:vAlign w:val="center"/>
          </w:tcPr>
          <w:p>
            <w:pPr>
              <w:widowControl/>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394" w:type="dxa"/>
            <w:tcBorders>
              <w:top w:val="nil"/>
              <w:left w:val="nil"/>
              <w:bottom w:val="single" w:color="auto" w:sz="4" w:space="0"/>
              <w:right w:val="single" w:color="auto" w:sz="4" w:space="0"/>
            </w:tcBorders>
            <w:vAlign w:val="center"/>
          </w:tcPr>
          <w:p>
            <w:pPr>
              <w:widowControl/>
              <w:spacing w:line="360" w:lineRule="exact"/>
              <w:rPr>
                <w:rFonts w:ascii="宋体" w:hAnsi="宋体" w:cs="宋体"/>
                <w:kern w:val="0"/>
                <w:szCs w:val="21"/>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ascii="宋体" w:hAnsi="宋体"/>
                <w:kern w:val="0"/>
              </w:rPr>
              <w:t>★参数1</w:t>
            </w:r>
          </w:p>
        </w:tc>
        <w:tc>
          <w:tcPr>
            <w:tcW w:w="4394" w:type="dxa"/>
            <w:tcBorders>
              <w:top w:val="nil"/>
              <w:left w:val="nil"/>
              <w:bottom w:val="single" w:color="auto" w:sz="4" w:space="0"/>
              <w:right w:val="single" w:color="auto" w:sz="4" w:space="0"/>
            </w:tcBorders>
            <w:vAlign w:val="center"/>
          </w:tcPr>
          <w:p>
            <w:pPr>
              <w:adjustRightInd w:val="0"/>
              <w:snapToGrid w:val="0"/>
              <w:spacing w:before="289" w:beforeLines="50" w:line="360" w:lineRule="exact"/>
              <w:rPr>
                <w:rFonts w:ascii="宋体" w:hAnsi="宋体" w:cs="Arial"/>
                <w:szCs w:val="21"/>
              </w:rPr>
            </w:pPr>
            <w:r>
              <w:rPr>
                <w:rFonts w:hint="eastAsia" w:ascii="宋体" w:hAnsi="宋体"/>
                <w:szCs w:val="21"/>
              </w:rPr>
              <w:t>检测通量数≥96孔，</w:t>
            </w:r>
            <w:r>
              <w:rPr>
                <w:rFonts w:hint="eastAsia"/>
                <w:szCs w:val="21"/>
              </w:rPr>
              <w:t>可连接两个1*96孔电极台 ,可并行同时运行，也可单独控制分开运行。可后续现场升级扩展电极台。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54"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2.2</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ascii="宋体" w:hAnsi="宋体"/>
                <w:kern w:val="0"/>
              </w:rPr>
              <w:t>★参数2</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宋体" w:hAnsi="宋体"/>
                <w:szCs w:val="21"/>
              </w:rPr>
            </w:pPr>
            <w:r>
              <w:rPr>
                <w:rFonts w:hint="eastAsia" w:ascii="Helvetica" w:hAnsi="Helvetica" w:eastAsia="宋体" w:cs="Helvetica"/>
                <w:color w:val="333333"/>
                <w:szCs w:val="21"/>
              </w:rPr>
              <w:t>检测频率：≥48k</w:t>
            </w:r>
            <w:r>
              <w:rPr>
                <w:rFonts w:ascii="Helvetica" w:hAnsi="Helvetica" w:eastAsia="宋体" w:cs="Helvetica"/>
                <w:color w:val="333333"/>
                <w:szCs w:val="21"/>
              </w:rPr>
              <w:t>H</w:t>
            </w:r>
            <w:r>
              <w:rPr>
                <w:rFonts w:hint="eastAsia" w:ascii="Helvetica" w:hAnsi="Helvetica" w:eastAsia="宋体" w:cs="Helvetica"/>
                <w:color w:val="333333"/>
                <w:szCs w:val="21"/>
              </w:rPr>
              <w:t>z；</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42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2.3</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ascii="宋体" w:hAnsi="宋体"/>
                <w:kern w:val="0"/>
              </w:rPr>
              <w:t>★参数3</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能够直接检测出细胞生长的效率，体现细胞覆盖面；通过电学监测曲线生成各孔的细胞增长率，无需对细胞进行标记</w:t>
            </w:r>
          </w:p>
        </w:tc>
        <w:tc>
          <w:tcPr>
            <w:tcW w:w="1675" w:type="dxa"/>
            <w:tcBorders>
              <w:top w:val="nil"/>
              <w:left w:val="nil"/>
              <w:bottom w:val="single" w:color="auto" w:sz="4" w:space="0"/>
              <w:right w:val="single" w:color="auto" w:sz="8" w:space="0"/>
            </w:tcBorders>
            <w:vAlign w:val="center"/>
          </w:tcPr>
          <w:p>
            <w:pPr>
              <w:pStyle w:val="46"/>
              <w:spacing w:line="276" w:lineRule="auto"/>
              <w:ind w:firstLine="0" w:firstLineChars="0"/>
              <w:rPr>
                <w:rFonts w:ascii="Helvetica" w:hAnsi="Helvetica" w:eastAsia="宋体" w:cs="Helvetica"/>
                <w:color w:val="333333"/>
                <w:sz w:val="24"/>
                <w:szCs w:val="24"/>
              </w:rPr>
            </w:pPr>
          </w:p>
        </w:tc>
      </w:tr>
      <w:tr>
        <w:tblPrEx>
          <w:tblCellMar>
            <w:top w:w="0" w:type="dxa"/>
            <w:left w:w="108" w:type="dxa"/>
            <w:bottom w:w="0" w:type="dxa"/>
            <w:right w:w="108" w:type="dxa"/>
          </w:tblCellMar>
        </w:tblPrEx>
        <w:trPr>
          <w:trHeight w:val="371"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2.4</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kern w:val="0"/>
              </w:rPr>
              <w:t>▲</w:t>
            </w:r>
            <w:r>
              <w:rPr>
                <w:rFonts w:ascii="宋体" w:hAnsi="宋体"/>
                <w:kern w:val="0"/>
              </w:rPr>
              <w:t>参数4</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系统可用于检测细胞增殖、毒理等动力学研究，对细胞进行实时连续精确监测，电极控制台置于培养箱中长时间监测；软件自带细胞覆盖率实时变化的可视化图形曲线。</w:t>
            </w:r>
          </w:p>
        </w:tc>
        <w:tc>
          <w:tcPr>
            <w:tcW w:w="1675" w:type="dxa"/>
            <w:tcBorders>
              <w:top w:val="nil"/>
              <w:left w:val="nil"/>
              <w:bottom w:val="single" w:color="auto" w:sz="4" w:space="0"/>
              <w:right w:val="single" w:color="auto" w:sz="8" w:space="0"/>
            </w:tcBorders>
            <w:vAlign w:val="center"/>
          </w:tcPr>
          <w:p>
            <w:pPr>
              <w:pStyle w:val="46"/>
              <w:spacing w:line="276" w:lineRule="auto"/>
              <w:ind w:firstLine="0" w:firstLineChars="0"/>
              <w:rPr>
                <w:rFonts w:ascii="Helvetica" w:hAnsi="Helvetica" w:eastAsia="宋体" w:cs="Helvetica"/>
                <w:color w:val="333333"/>
                <w:sz w:val="24"/>
                <w:szCs w:val="24"/>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2.5</w:t>
            </w:r>
          </w:p>
        </w:tc>
        <w:tc>
          <w:tcPr>
            <w:tcW w:w="1842" w:type="dxa"/>
            <w:tcBorders>
              <w:top w:val="nil"/>
              <w:left w:val="nil"/>
              <w:bottom w:val="single" w:color="auto" w:sz="4" w:space="0"/>
              <w:right w:val="single" w:color="auto" w:sz="4" w:space="0"/>
            </w:tcBorders>
            <w:vAlign w:val="center"/>
          </w:tcPr>
          <w:p>
            <w:pPr>
              <w:jc w:val="center"/>
              <w:rPr>
                <w:rFonts w:ascii="宋体" w:hAnsi="宋体" w:cs="宋体"/>
                <w:kern w:val="0"/>
              </w:rPr>
            </w:pPr>
            <w:r>
              <w:rPr>
                <w:rFonts w:hint="eastAsia" w:ascii="宋体" w:hAnsi="宋体"/>
                <w:kern w:val="0"/>
              </w:rPr>
              <w:t>▲</w:t>
            </w:r>
            <w:r>
              <w:rPr>
                <w:rFonts w:ascii="宋体" w:hAnsi="宋体"/>
                <w:kern w:val="0"/>
              </w:rPr>
              <w:t>参数5</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能够检测监测培养本身（温度，气体环境等）对监测的影响，从而排除影响</w:t>
            </w:r>
          </w:p>
        </w:tc>
        <w:tc>
          <w:tcPr>
            <w:tcW w:w="1675" w:type="dxa"/>
            <w:tcBorders>
              <w:top w:val="nil"/>
              <w:left w:val="nil"/>
              <w:bottom w:val="single" w:color="auto" w:sz="4" w:space="0"/>
              <w:right w:val="single" w:color="auto" w:sz="8" w:space="0"/>
            </w:tcBorders>
            <w:vAlign w:val="center"/>
          </w:tcPr>
          <w:p>
            <w:pPr>
              <w:pStyle w:val="46"/>
              <w:spacing w:line="276" w:lineRule="auto"/>
              <w:ind w:firstLine="0" w:firstLineChars="0"/>
              <w:rPr>
                <w:rFonts w:ascii="Helvetica" w:hAnsi="Helvetica" w:eastAsia="宋体" w:cs="Helvetica"/>
                <w:color w:val="333333"/>
                <w:sz w:val="24"/>
                <w:szCs w:val="24"/>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2.6</w:t>
            </w:r>
          </w:p>
        </w:tc>
        <w:tc>
          <w:tcPr>
            <w:tcW w:w="1842" w:type="dxa"/>
            <w:tcBorders>
              <w:top w:val="nil"/>
              <w:left w:val="nil"/>
              <w:bottom w:val="single" w:color="auto" w:sz="4" w:space="0"/>
              <w:right w:val="single" w:color="auto" w:sz="4" w:space="0"/>
            </w:tcBorders>
            <w:vAlign w:val="center"/>
          </w:tcPr>
          <w:p>
            <w:pPr>
              <w:jc w:val="center"/>
              <w:rPr>
                <w:rFonts w:ascii="宋体" w:hAnsi="宋体" w:cs="宋体"/>
                <w:kern w:val="0"/>
              </w:rPr>
            </w:pPr>
            <w:r>
              <w:rPr>
                <w:rFonts w:hint="eastAsia" w:ascii="宋体" w:hAnsi="宋体"/>
                <w:kern w:val="0"/>
              </w:rPr>
              <w:t>参数6</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生长曲线输出格式：fig, .ai, .bmp, .eps, .emf, .jpg, .pcx, .pbm, .pdf, .pgm, .png, .ppm, .pkm, .tif等。数据输出格式：.csv, .abp, .mat, .tdy等文件格式</w:t>
            </w:r>
          </w:p>
        </w:tc>
        <w:tc>
          <w:tcPr>
            <w:tcW w:w="1675" w:type="dxa"/>
            <w:tcBorders>
              <w:top w:val="nil"/>
              <w:left w:val="nil"/>
              <w:bottom w:val="single" w:color="auto" w:sz="4" w:space="0"/>
              <w:right w:val="single" w:color="auto" w:sz="8" w:space="0"/>
            </w:tcBorders>
            <w:vAlign w:val="center"/>
          </w:tcPr>
          <w:p>
            <w:pPr>
              <w:widowControl/>
              <w:jc w:val="center"/>
              <w:rPr>
                <w:rFonts w:ascii="Helvetica" w:hAnsi="Helvetica" w:cs="Helvetica"/>
                <w:color w:val="333333"/>
              </w:rPr>
            </w:pPr>
            <w:r>
              <w:rPr>
                <w:rFonts w:ascii="Helvetica" w:hAnsi="Helvetica" w:cs="Helvetica"/>
                <w:color w:val="333333"/>
              </w:rPr>
              <w:t xml:space="preserve">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2.7</w:t>
            </w:r>
          </w:p>
        </w:tc>
        <w:tc>
          <w:tcPr>
            <w:tcW w:w="1842" w:type="dxa"/>
            <w:tcBorders>
              <w:top w:val="nil"/>
              <w:left w:val="nil"/>
              <w:bottom w:val="single" w:color="auto" w:sz="4" w:space="0"/>
              <w:right w:val="single" w:color="auto" w:sz="4" w:space="0"/>
            </w:tcBorders>
            <w:vAlign w:val="center"/>
          </w:tcPr>
          <w:p>
            <w:pPr>
              <w:jc w:val="center"/>
              <w:rPr>
                <w:rFonts w:ascii="宋体" w:hAnsi="宋体" w:cs="宋体"/>
                <w:kern w:val="0"/>
              </w:rPr>
            </w:pPr>
            <w:r>
              <w:rPr>
                <w:rFonts w:hint="eastAsia" w:ascii="宋体" w:hAnsi="宋体"/>
                <w:kern w:val="0"/>
              </w:rPr>
              <w:t>参数7</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检测范围：0-100，单位C</w:t>
            </w:r>
            <w:r>
              <w:rPr>
                <w:rFonts w:ascii="Helvetica" w:hAnsi="Helvetica" w:eastAsia="宋体" w:cs="Helvetica"/>
                <w:color w:val="333333"/>
                <w:szCs w:val="21"/>
              </w:rPr>
              <w:t>ELLX</w:t>
            </w:r>
            <w:r>
              <w:rPr>
                <w:rFonts w:hint="eastAsia" w:ascii="Helvetica" w:hAnsi="Helvetica" w:eastAsia="宋体" w:cs="Helvetica"/>
                <w:color w:val="333333"/>
                <w:szCs w:val="21"/>
              </w:rPr>
              <w:t>，相当于细胞覆盖率；</w:t>
            </w:r>
          </w:p>
        </w:tc>
        <w:tc>
          <w:tcPr>
            <w:tcW w:w="1675" w:type="dxa"/>
            <w:tcBorders>
              <w:top w:val="nil"/>
              <w:left w:val="nil"/>
              <w:bottom w:val="single" w:color="auto" w:sz="4" w:space="0"/>
              <w:right w:val="single" w:color="auto" w:sz="8" w:space="0"/>
            </w:tcBorders>
            <w:vAlign w:val="center"/>
          </w:tcPr>
          <w:p>
            <w:pPr>
              <w:widowControl/>
              <w:jc w:val="center"/>
              <w:rPr>
                <w:rFonts w:ascii="Helvetica" w:hAnsi="Helvetica" w:cs="Helvetica"/>
                <w:color w:val="333333"/>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2.8</w:t>
            </w:r>
          </w:p>
        </w:tc>
        <w:tc>
          <w:tcPr>
            <w:tcW w:w="1842" w:type="dxa"/>
            <w:tcBorders>
              <w:top w:val="nil"/>
              <w:left w:val="nil"/>
              <w:bottom w:val="single" w:color="auto" w:sz="4" w:space="0"/>
              <w:right w:val="single" w:color="auto" w:sz="4" w:space="0"/>
            </w:tcBorders>
            <w:vAlign w:val="center"/>
          </w:tcPr>
          <w:p>
            <w:pPr>
              <w:jc w:val="center"/>
              <w:rPr>
                <w:rFonts w:ascii="宋体" w:hAnsi="宋体"/>
              </w:rPr>
            </w:pPr>
            <w:r>
              <w:rPr>
                <w:rFonts w:ascii="宋体" w:hAnsi="宋体"/>
                <w:kern w:val="0"/>
              </w:rPr>
              <w:t>参数</w:t>
            </w:r>
            <w:r>
              <w:rPr>
                <w:rFonts w:hint="eastAsia" w:ascii="宋体" w:hAnsi="宋体"/>
                <w:kern w:val="0"/>
              </w:rPr>
              <w:t>8</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监测周期：可连续监测数天或数周；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2.9</w:t>
            </w:r>
          </w:p>
        </w:tc>
        <w:tc>
          <w:tcPr>
            <w:tcW w:w="1842" w:type="dxa"/>
            <w:tcBorders>
              <w:top w:val="nil"/>
              <w:left w:val="nil"/>
              <w:bottom w:val="single" w:color="auto" w:sz="4" w:space="0"/>
              <w:right w:val="single" w:color="auto" w:sz="4" w:space="0"/>
            </w:tcBorders>
            <w:vAlign w:val="center"/>
          </w:tcPr>
          <w:p>
            <w:pPr>
              <w:jc w:val="center"/>
              <w:rPr>
                <w:rFonts w:ascii="宋体" w:hAnsi="宋体"/>
              </w:rPr>
            </w:pPr>
            <w:r>
              <w:rPr>
                <w:rFonts w:ascii="宋体" w:hAnsi="宋体"/>
                <w:kern w:val="0"/>
              </w:rPr>
              <w:t>参数</w:t>
            </w:r>
            <w:r>
              <w:rPr>
                <w:rFonts w:hint="eastAsia" w:ascii="宋体" w:hAnsi="宋体"/>
                <w:kern w:val="0"/>
              </w:rPr>
              <w:t>9</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金电极工艺精密，可在显微镜下观察金电极上细胞，而非在金电极旁边开一个显微镜观察窗口；</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394" w:type="dxa"/>
            <w:tcBorders>
              <w:top w:val="nil"/>
              <w:left w:val="nil"/>
              <w:bottom w:val="single" w:color="auto" w:sz="4" w:space="0"/>
              <w:right w:val="single" w:color="auto" w:sz="4" w:space="0"/>
            </w:tcBorders>
            <w:vAlign w:val="center"/>
          </w:tcPr>
          <w:p>
            <w:pPr>
              <w:widowControl/>
              <w:spacing w:line="360" w:lineRule="exact"/>
              <w:rPr>
                <w:rFonts w:ascii="Helvetica" w:hAnsi="Helvetica" w:cs="Helvetica"/>
                <w:color w:val="333333"/>
                <w:szCs w:val="21"/>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rPr>
            </w:pPr>
            <w:r>
              <w:rPr>
                <w:rFonts w:ascii="宋体" w:hAnsi="宋体"/>
                <w:kern w:val="0"/>
              </w:rPr>
              <w:t>配置1</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 xml:space="preserve">无标记细胞增殖分析仪主机。     </w:t>
            </w:r>
            <w:r>
              <w:rPr>
                <w:rFonts w:ascii="Helvetica" w:hAnsi="Helvetica" w:eastAsia="宋体" w:cs="Helvetica"/>
                <w:color w:val="333333"/>
                <w:szCs w:val="21"/>
              </w:rPr>
              <w:t xml:space="preserve">   </w:t>
            </w:r>
            <w:r>
              <w:rPr>
                <w:rFonts w:hint="eastAsia" w:ascii="Helvetica" w:hAnsi="Helvetica" w:eastAsia="宋体" w:cs="Helvetica"/>
                <w:color w:val="333333"/>
                <w:szCs w:val="21"/>
              </w:rPr>
              <w:t xml:space="preserve"> 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3.2</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rPr>
            </w:pPr>
            <w:r>
              <w:rPr>
                <w:rFonts w:ascii="宋体" w:hAnsi="宋体"/>
                <w:kern w:val="0"/>
              </w:rPr>
              <w:t>配置2</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无标记细胞增殖分析仪96电极控制台  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4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3.3 </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rPr>
            </w:pPr>
            <w:r>
              <w:rPr>
                <w:rFonts w:ascii="宋体" w:hAnsi="宋体"/>
                <w:kern w:val="0"/>
              </w:rPr>
              <w:t>配置3</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配套笔记本电脑1台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1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3.4</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rPr>
            </w:pPr>
            <w:r>
              <w:rPr>
                <w:rFonts w:ascii="宋体" w:hAnsi="宋体"/>
                <w:kern w:val="0"/>
              </w:rPr>
              <w:t>配置4</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分析软件1套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463"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3.5</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kern w:val="0"/>
              </w:rPr>
              <w:t>配置5</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电极板2盒</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463"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436"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≥3年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维修到达现场时间≤ 6小时（本地）</w:t>
            </w:r>
            <w:r>
              <w:rPr>
                <w:rFonts w:hint="eastAsia" w:ascii="Helvetica" w:hAnsi="Helvetica" w:eastAsia="宋体" w:cs="Helvetica"/>
                <w:color w:val="333333"/>
                <w:szCs w:val="21"/>
              </w:rPr>
              <w:br w:type="textWrapping"/>
            </w:r>
            <w:r>
              <w:rPr>
                <w:rFonts w:hint="eastAsia" w:ascii="Helvetica" w:hAnsi="Helvetica" w:eastAsia="宋体" w:cs="Helvetica"/>
                <w:color w:val="333333"/>
                <w:szCs w:val="21"/>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配件供应时间≥10年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67"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81"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开放</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终身免费软件升级</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4394" w:type="dxa"/>
            <w:tcBorders>
              <w:top w:val="nil"/>
              <w:left w:val="nil"/>
              <w:bottom w:val="single" w:color="auto" w:sz="4" w:space="0"/>
              <w:right w:val="single" w:color="auto" w:sz="4" w:space="0"/>
            </w:tcBorders>
            <w:vAlign w:val="center"/>
          </w:tcPr>
          <w:p>
            <w:pPr>
              <w:pStyle w:val="46"/>
              <w:spacing w:line="360" w:lineRule="exact"/>
              <w:ind w:firstLine="0" w:firstLineChars="0"/>
              <w:rPr>
                <w:rFonts w:ascii="Helvetica" w:hAnsi="Helvetica" w:eastAsia="宋体" w:cs="Helvetica"/>
                <w:color w:val="333333"/>
                <w:szCs w:val="21"/>
              </w:rPr>
            </w:pPr>
            <w:r>
              <w:rPr>
                <w:rFonts w:hint="eastAsia" w:ascii="Helvetica" w:hAnsi="Helvetica" w:eastAsia="宋体" w:cs="Helvetica"/>
                <w:color w:val="333333"/>
                <w:szCs w:val="21"/>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285612601"/>
      <w:bookmarkStart w:id="11" w:name="_Toc435540980"/>
      <w:bookmarkStart w:id="12" w:name="_Toc37172689"/>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305" w:firstLineChars="98"/>
        <w:rPr>
          <w:rFonts w:ascii="黑体" w:hAnsi="黑体" w:eastAsia="黑体" w:cs="Times New Roman"/>
          <w:kern w:val="0"/>
          <w:sz w:val="32"/>
          <w:szCs w:val="32"/>
        </w:rPr>
      </w:pP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52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7"/>
        <w:gridCol w:w="860"/>
        <w:gridCol w:w="7"/>
        <w:gridCol w:w="7364"/>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417"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60"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371"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879" w:type="dxa"/>
            <w:vAlign w:val="center"/>
          </w:tcPr>
          <w:p>
            <w:pPr>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417"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67"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364"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满足招标文件要求且报价最低的为评审基准价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417"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67"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364"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基准业绩=近三年（截止开标时间）所投产品有效合同累计销售最高数量（以有效合同份数计算）</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417"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67"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364"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1.根据报价方近三年平均资产总额进行评分，第一名得1分，依次递减0.2分。（以第三方会计师事务所出具的近3年的财务审计报告中显示的数据为准）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7"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7364"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417"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67"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364"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7"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7364"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17"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67"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364"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417"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67"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364"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879" w:type="dxa"/>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60"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7371"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417"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60"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7371" w:type="dxa"/>
            <w:gridSpan w:val="2"/>
            <w:tcBorders>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1.可以量化排名的</w:t>
            </w:r>
            <w:r>
              <w:rPr>
                <w:rFonts w:hint="eastAsia" w:ascii="宋体" w:hAnsi="宋体" w:eastAsia="宋体" w:cs="宋体"/>
                <w:kern w:val="0"/>
                <w:szCs w:val="21"/>
              </w:rPr>
              <w:t>★</w:t>
            </w:r>
            <w:r>
              <w:rPr>
                <w:rFonts w:hint="eastAsia" w:cs="Times New Roman" w:asciiTheme="majorEastAsia" w:hAnsiTheme="majorEastAsia" w:eastAsiaTheme="majorEastAsia"/>
                <w:kern w:val="0"/>
                <w:szCs w:val="21"/>
              </w:rPr>
              <w:t>号、</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79" w:type="dxa"/>
            <w:vMerge w:val="restart"/>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2.可以量化排名的</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79"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 xml:space="preserve">3. </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号指标和一般指标中不便量化排名的，满足要求的得标准分值，不满足的得0分。</w:t>
            </w:r>
          </w:p>
        </w:tc>
        <w:tc>
          <w:tcPr>
            <w:tcW w:w="879"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4.产品配置不齐全或性能用途与招标要求不符，“产品技术性能指标参数满足偏离情况”总得分为0分。</w:t>
            </w:r>
          </w:p>
        </w:tc>
        <w:tc>
          <w:tcPr>
            <w:tcW w:w="879"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★参数1</w:t>
            </w:r>
            <w:r>
              <w:rPr>
                <w:rFonts w:hint="eastAsia" w:asciiTheme="minorEastAsia" w:hAnsiTheme="minorEastAsia" w:eastAsiaTheme="minorEastAsia"/>
                <w:kern w:val="0"/>
                <w:szCs w:val="21"/>
              </w:rPr>
              <w:t xml:space="preserve"> 检测通量数≥96孔，可连接两个1*96孔电极台 ,可并行同时运行，也可单独控制分开运行。可后续现场升级扩展电极台。</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★参数2</w:t>
            </w:r>
            <w:r>
              <w:rPr>
                <w:rFonts w:hint="eastAsia" w:asciiTheme="minorEastAsia" w:hAnsiTheme="minorEastAsia" w:eastAsiaTheme="minorEastAsia"/>
                <w:kern w:val="0"/>
                <w:szCs w:val="21"/>
              </w:rPr>
              <w:t xml:space="preserve"> 检测频率：≥48k</w:t>
            </w:r>
            <w:r>
              <w:rPr>
                <w:rFonts w:asciiTheme="minorEastAsia" w:hAnsiTheme="minorEastAsia" w:eastAsiaTheme="minorEastAsia"/>
                <w:kern w:val="0"/>
                <w:szCs w:val="21"/>
              </w:rPr>
              <w:t>H</w:t>
            </w:r>
            <w:r>
              <w:rPr>
                <w:rFonts w:hint="eastAsia" w:asciiTheme="minorEastAsia" w:hAnsiTheme="minorEastAsia" w:eastAsiaTheme="minorEastAsia"/>
                <w:kern w:val="0"/>
                <w:szCs w:val="21"/>
              </w:rPr>
              <w:t>z；</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★参数3</w:t>
            </w:r>
            <w:r>
              <w:rPr>
                <w:rFonts w:hint="eastAsia" w:asciiTheme="minorEastAsia" w:hAnsiTheme="minorEastAsia" w:eastAsiaTheme="minorEastAsia"/>
                <w:kern w:val="0"/>
                <w:szCs w:val="21"/>
              </w:rPr>
              <w:t xml:space="preserve"> 能够直接检测出细胞生长的效率，体现细胞覆盖面；通过电学监测曲线生成各孔的细胞增长率，无需对细胞进行标记</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参数4</w:t>
            </w:r>
            <w:r>
              <w:rPr>
                <w:rFonts w:hint="eastAsia" w:asciiTheme="minorEastAsia" w:hAnsiTheme="minorEastAsia" w:eastAsiaTheme="minorEastAsia"/>
                <w:kern w:val="0"/>
                <w:szCs w:val="21"/>
              </w:rPr>
              <w:t xml:space="preserve"> 系统可用于检测细胞增殖、毒理等动力学研究，对细胞进行实时连续精确监测，电极控制台置于培养箱中长时间监测；软件自带细胞覆盖率实时变化的可视化图形曲线。</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参数5</w:t>
            </w:r>
            <w:r>
              <w:rPr>
                <w:rFonts w:hint="eastAsia" w:asciiTheme="minorEastAsia" w:hAnsiTheme="minorEastAsia" w:eastAsiaTheme="minorEastAsia"/>
                <w:kern w:val="0"/>
                <w:szCs w:val="21"/>
              </w:rPr>
              <w:t xml:space="preserve"> 能够检测监测培养本身（温度，气体环境等）对监测的影响，从而排除影响</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参数6  生长曲线输出格式：fig, .ai, .bmp, .eps, .emf, .jpg, .pcx, .pbm, .pdf, .pgm, .png, .ppm, .pkm, .tif等。数据输出格式：.csv, .abp, .mat, .tdy等文件格式</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参数7 检测范围：0-100，单位C</w:t>
            </w:r>
            <w:r>
              <w:rPr>
                <w:rFonts w:asciiTheme="minorEastAsia" w:hAnsiTheme="minorEastAsia" w:eastAsiaTheme="minorEastAsia"/>
                <w:kern w:val="0"/>
                <w:szCs w:val="21"/>
              </w:rPr>
              <w:t>ELLX</w:t>
            </w:r>
            <w:r>
              <w:rPr>
                <w:rFonts w:hint="eastAsia" w:asciiTheme="minorEastAsia" w:hAnsiTheme="minorEastAsia" w:eastAsiaTheme="minorEastAsia"/>
                <w:kern w:val="0"/>
                <w:szCs w:val="21"/>
              </w:rPr>
              <w:t>，相当于细胞覆盖率；</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w:t>
            </w:r>
            <w:r>
              <w:rPr>
                <w:rFonts w:hint="eastAsia" w:asciiTheme="minorEastAsia" w:hAnsiTheme="minorEastAsia" w:eastAsiaTheme="minorEastAsia"/>
                <w:kern w:val="0"/>
                <w:szCs w:val="21"/>
              </w:rPr>
              <w:t>8 监测周期：可连续监测数天或数周；</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w:t>
            </w:r>
            <w:r>
              <w:rPr>
                <w:rFonts w:hint="eastAsia" w:asciiTheme="minorEastAsia" w:hAnsiTheme="minorEastAsia" w:eastAsiaTheme="minorEastAsia"/>
                <w:kern w:val="0"/>
                <w:szCs w:val="21"/>
              </w:rPr>
              <w:t>9 金电极工艺精密，可在显微镜下观察金电极上细胞，而非在金电极旁边开一个显微镜观察窗口；</w:t>
            </w:r>
          </w:p>
        </w:tc>
        <w:tc>
          <w:tcPr>
            <w:tcW w:w="879"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17"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60"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7371" w:type="dxa"/>
            <w:gridSpan w:val="2"/>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免费保修期：在满足招标文件要求的基础上，每增加6个月得0.5分，最多得标准分值，不符合招标文件要求按无效投标处理。（未履行保修承诺的，相关企业将列入黑名单。）</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零配件支持：提供零配件全国统一报价，更换配件价格不超过统一报价的70%。在满足招标文件要求的基础上，根据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79"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879"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417" w:type="dxa"/>
            <w:vMerge w:val="continue"/>
            <w:vAlign w:val="center"/>
          </w:tcPr>
          <w:p>
            <w:pPr>
              <w:spacing w:line="440" w:lineRule="exact"/>
              <w:jc w:val="center"/>
              <w:rPr>
                <w:rFonts w:eastAsia="宋体" w:cs="Times New Roman" w:asciiTheme="minorEastAsia" w:hAnsiTheme="minorEastAsia"/>
                <w:kern w:val="0"/>
                <w:szCs w:val="21"/>
              </w:rPr>
            </w:pPr>
          </w:p>
        </w:tc>
        <w:tc>
          <w:tcPr>
            <w:tcW w:w="860" w:type="dxa"/>
            <w:vMerge w:val="continue"/>
            <w:vAlign w:val="center"/>
          </w:tcPr>
          <w:p>
            <w:pPr>
              <w:spacing w:line="440" w:lineRule="exact"/>
              <w:jc w:val="center"/>
              <w:rPr>
                <w:rFonts w:eastAsia="宋体" w:cs="Times New Roman" w:asciiTheme="minorEastAsia" w:hAnsiTheme="minorEastAsia"/>
                <w:kern w:val="0"/>
                <w:szCs w:val="21"/>
              </w:rPr>
            </w:pPr>
          </w:p>
        </w:tc>
        <w:tc>
          <w:tcPr>
            <w:tcW w:w="7371" w:type="dxa"/>
            <w:gridSpan w:val="2"/>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2.根据指定地点的服务网点数量排名，第一名得1分，依次按标准分值25%递减，最低得0分。</w:t>
            </w:r>
          </w:p>
        </w:tc>
        <w:tc>
          <w:tcPr>
            <w:tcW w:w="879"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417"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860"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7371" w:type="dxa"/>
            <w:gridSpan w:val="2"/>
            <w:tcBorders>
              <w:top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879"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hint="eastAsia" w:cs="Times New Roman" w:asciiTheme="minorEastAsia" w:hAnsiTheme="minorEastAsia"/>
          <w:kern w:val="0"/>
          <w:sz w:val="24"/>
          <w:szCs w:val="24"/>
        </w:rPr>
      </w:pPr>
    </w:p>
    <w:p>
      <w:pPr>
        <w:adjustRightInd w:val="0"/>
        <w:snapToGrid w:val="0"/>
        <w:spacing w:line="440" w:lineRule="exact"/>
        <w:jc w:val="center"/>
        <w:rPr>
          <w:rFonts w:hint="eastAsia"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5"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37172690"/>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435540982"/>
      <w:bookmarkStart w:id="20" w:name="_Toc285612604"/>
      <w:bookmarkStart w:id="21" w:name="_Toc240432233"/>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生产厂家全称：（签字或盖章）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0"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56</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6874"/>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B6CE9"/>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4E0D"/>
    <w:rsid w:val="00475253"/>
    <w:rsid w:val="00476D8F"/>
    <w:rsid w:val="004817C9"/>
    <w:rsid w:val="0048184A"/>
    <w:rsid w:val="004855DB"/>
    <w:rsid w:val="00486FAC"/>
    <w:rsid w:val="00490B39"/>
    <w:rsid w:val="0049116F"/>
    <w:rsid w:val="00496E0E"/>
    <w:rsid w:val="00497561"/>
    <w:rsid w:val="004A2AB0"/>
    <w:rsid w:val="004A51A4"/>
    <w:rsid w:val="004B3316"/>
    <w:rsid w:val="004C0B0A"/>
    <w:rsid w:val="004C1A39"/>
    <w:rsid w:val="004C6962"/>
    <w:rsid w:val="004C7646"/>
    <w:rsid w:val="004D09D9"/>
    <w:rsid w:val="004D0FAF"/>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30D55"/>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457"/>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5A0C"/>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3513"/>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626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59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398A"/>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2C95"/>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56A6"/>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2A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9CB1E73"/>
    <w:rsid w:val="23725806"/>
    <w:rsid w:val="30050F3A"/>
    <w:rsid w:val="62D061D3"/>
    <w:rsid w:val="6FA04F99"/>
    <w:rsid w:val="7D61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B0210-1E91-440D-A3D8-D6E5CA61005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4915</Words>
  <Characters>28022</Characters>
  <Lines>233</Lines>
  <Paragraphs>65</Paragraphs>
  <TotalTime>2</TotalTime>
  <ScaleCrop>false</ScaleCrop>
  <LinksUpToDate>false</LinksUpToDate>
  <CharactersWithSpaces>32872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2020-10-20T07:26:13Z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