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kern w:val="0"/>
          <w:sz w:val="84"/>
          <w:szCs w:val="84"/>
        </w:rPr>
      </w:pPr>
      <w:r>
        <w:rPr>
          <w:rFonts w:hint="eastAsia" w:ascii="Times New Roman" w:hAnsi="Times New Roman" w:eastAsia="方正小标宋简体" w:cs="Times New Roman"/>
          <w:kern w:val="0"/>
          <w:sz w:val="84"/>
          <w:szCs w:val="84"/>
        </w:rPr>
        <w:t xml:space="preserve">谈 判 </w:t>
      </w:r>
      <w:r>
        <w:rPr>
          <w:rFonts w:ascii="Times New Roman" w:hAnsi="Times New Roman" w:eastAsia="方正小标宋简体" w:cs="Times New Roman"/>
          <w:kern w:val="0"/>
          <w:sz w:val="84"/>
          <w:szCs w:val="84"/>
        </w:rPr>
        <w:t>文件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项目名称：</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eastAsia="zh-CN"/>
        </w:rPr>
        <w:t>双槽梯度PCR仪</w:t>
      </w:r>
      <w:r>
        <w:rPr>
          <w:rFonts w:hint="eastAsia" w:ascii="宋体" w:hAnsi="宋体" w:eastAsia="宋体" w:cs="Times New Roman"/>
          <w:kern w:val="0"/>
          <w:sz w:val="36"/>
          <w:szCs w:val="36"/>
          <w:u w:val="single"/>
        </w:rPr>
        <w:t xml:space="preserve"> </w:t>
      </w:r>
    </w:p>
    <w:p>
      <w:pPr>
        <w:ind w:firstLine="2106" w:firstLineChars="600"/>
        <w:rPr>
          <w:rFonts w:ascii="宋体" w:hAnsi="宋体" w:eastAsia="宋体" w:cs="Times New Roman"/>
          <w:kern w:val="0"/>
          <w:sz w:val="36"/>
          <w:szCs w:val="36"/>
        </w:rPr>
      </w:pPr>
    </w:p>
    <w:p>
      <w:pPr>
        <w:ind w:firstLine="2106" w:firstLineChars="600"/>
        <w:rPr>
          <w:rFonts w:hint="eastAsia" w:ascii="宋体" w:hAnsi="宋体" w:eastAsia="宋体" w:cs="Times New Roman"/>
          <w:kern w:val="0"/>
          <w:sz w:val="36"/>
          <w:szCs w:val="36"/>
          <w:lang w:eastAsia="zh-CN"/>
        </w:rPr>
      </w:pPr>
      <w:r>
        <w:rPr>
          <w:rFonts w:hint="eastAsia" w:ascii="宋体" w:hAnsi="宋体" w:eastAsia="宋体" w:cs="Times New Roman"/>
          <w:kern w:val="0"/>
          <w:sz w:val="36"/>
          <w:szCs w:val="36"/>
        </w:rPr>
        <w:t>项目编号：</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eastAsia="zh-CN"/>
        </w:rPr>
        <w:t>2021-JL13(03)-W30023</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rPr>
      </w:pPr>
      <w:r>
        <w:rPr>
          <w:rFonts w:hint="eastAsia" w:ascii="宋体" w:hAnsi="宋体" w:eastAsia="宋体" w:cs="Times New Roman"/>
          <w:kern w:val="0"/>
          <w:sz w:val="36"/>
          <w:szCs w:val="36"/>
        </w:rPr>
        <w:t>物资采购中心</w:t>
      </w:r>
    </w:p>
    <w:p>
      <w:pP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rPr>
        <w:t>二〇二</w:t>
      </w:r>
      <w:r>
        <w:rPr>
          <w:rFonts w:hint="eastAsia" w:ascii="宋体" w:hAnsi="宋体" w:eastAsia="宋体" w:cs="Times New Roman"/>
          <w:kern w:val="0"/>
          <w:sz w:val="36"/>
          <w:szCs w:val="36"/>
        </w:rPr>
        <w:t>一</w:t>
      </w:r>
      <w:r>
        <w:rPr>
          <w:rFonts w:ascii="宋体" w:hAnsi="宋体" w:eastAsia="宋体" w:cs="Times New Roman"/>
          <w:kern w:val="0"/>
          <w:sz w:val="36"/>
          <w:szCs w:val="36"/>
        </w:rPr>
        <w:t>年</w:t>
      </w:r>
      <w:r>
        <w:rPr>
          <w:rFonts w:hint="eastAsia" w:ascii="宋体" w:hAnsi="宋体" w:eastAsia="宋体" w:cs="Times New Roman"/>
          <w:kern w:val="0"/>
          <w:sz w:val="36"/>
          <w:szCs w:val="36"/>
        </w:rPr>
        <w:t>二</w:t>
      </w:r>
      <w:r>
        <w:rPr>
          <w:rFonts w:ascii="宋体" w:hAnsi="宋体" w:eastAsia="宋体" w:cs="Times New Roman"/>
          <w:kern w:val="0"/>
          <w:sz w:val="36"/>
          <w:szCs w:val="36"/>
        </w:rPr>
        <w:t>月</w:t>
      </w:r>
    </w:p>
    <w:p>
      <w:pPr>
        <w:adjustRightInd w:val="0"/>
        <w:snapToGrid w:val="0"/>
        <w:spacing w:line="440" w:lineRule="exact"/>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谈判报价</w:t>
      </w:r>
      <w:r>
        <w:rPr>
          <w:rFonts w:ascii="黑体" w:hAnsi="黑体" w:eastAsia="黑体" w:cs="Times New Roman"/>
          <w:bCs/>
          <w:kern w:val="0"/>
          <w:sz w:val="30"/>
          <w:szCs w:val="30"/>
        </w:rPr>
        <w:t>注意事项</w:t>
      </w:r>
    </w:p>
    <w:p>
      <w:pPr>
        <w:widowControl/>
        <w:adjustRightInd w:val="0"/>
        <w:snapToGrid w:val="0"/>
        <w:spacing w:line="440" w:lineRule="exact"/>
        <w:ind w:firstLine="462" w:firstLineChars="200"/>
        <w:textAlignment w:val="baseline"/>
        <w:rPr>
          <w:rFonts w:ascii="宋体" w:hAnsi="宋体" w:eastAsia="宋体" w:cs="Times New Roman"/>
          <w:kern w:val="0"/>
          <w:sz w:val="24"/>
          <w:szCs w:val="24"/>
          <w:u w:color="000000"/>
        </w:rPr>
      </w:pP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一、报价方应特别留意谈判文件上载明的报价文件递交开始截止时间，提前或逾期送达的报价文件概不接受。</w:t>
      </w:r>
    </w:p>
    <w:p>
      <w:pPr>
        <w:widowControl/>
        <w:adjustRightInd w:val="0"/>
        <w:snapToGrid w:val="0"/>
        <w:spacing w:line="520" w:lineRule="exact"/>
        <w:ind w:firstLine="582" w:firstLineChars="200"/>
        <w:rPr>
          <w:rFonts w:ascii="宋体" w:hAnsi="宋体" w:eastAsia="宋体" w:cs="Times New Roman"/>
          <w:snapToGrid w:val="0"/>
          <w:kern w:val="0"/>
          <w:sz w:val="30"/>
          <w:szCs w:val="30"/>
          <w:u w:color="000000"/>
        </w:rPr>
      </w:pPr>
      <w:r>
        <w:rPr>
          <w:rFonts w:hint="eastAsia" w:ascii="宋体" w:hAnsi="宋体" w:eastAsia="宋体" w:cs="Times New Roman"/>
          <w:kern w:val="0"/>
          <w:sz w:val="30"/>
          <w:szCs w:val="30"/>
          <w:u w:color="000000"/>
        </w:rPr>
        <w:t>二、请仔细检查谈判文件要求提交的相关证书的有效期和审核信息。</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snapToGrid w:val="0"/>
          <w:kern w:val="0"/>
          <w:sz w:val="30"/>
          <w:szCs w:val="30"/>
          <w:u w:color="000000"/>
        </w:rPr>
        <w:t>三、</w:t>
      </w:r>
      <w:r>
        <w:rPr>
          <w:rFonts w:hint="eastAsia" w:ascii="宋体" w:hAnsi="宋体" w:eastAsia="宋体" w:cs="Times New Roman"/>
          <w:kern w:val="0"/>
          <w:sz w:val="30"/>
          <w:szCs w:val="30"/>
          <w:u w:color="000000"/>
        </w:rPr>
        <w:t>请仔细检查报价文件是否按要求盖公章、签名、签署日期、胶装成册。报价文件需签名之处必须由当事人亲笔签署，否则可能会被视为无效报价。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四、谈判过程中报价方提交最终报价时，应将最终报价和其他澄清承诺分开填写、单独递交，否则将被视为无效报价。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五、带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号条款均为实质性响应指标要求，必须全部响应。若有一项带“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”的指标要求未响应或不满足，均视为非实质性响应谈判文件。</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六、报价方编制报价文件，应按照谈判文件评审标准要求，填写指标值或评分项及其在报价文件位置页码；评审时评委依据报价文件，对报价方填写的内容进行审核确认。</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七、供应商发现购买谈判文件时提交的相关资料被盗用或复制，应遵循法律途径解决，追究侵权者责任。</w:t>
      </w:r>
    </w:p>
    <w:p>
      <w:pPr>
        <w:widowControl/>
        <w:spacing w:line="440" w:lineRule="exact"/>
        <w:jc w:val="left"/>
        <w:rPr>
          <w:rFonts w:ascii="宋体" w:hAnsi="宋体" w:eastAsia="宋体" w:cs="Times New Roman"/>
          <w:kern w:val="0"/>
          <w:sz w:val="24"/>
          <w:szCs w:val="24"/>
        </w:rPr>
      </w:pPr>
      <w:r>
        <w:rPr>
          <w:rFonts w:ascii="宋体" w:hAnsi="宋体" w:eastAsia="宋体" w:cs="Times New Roman"/>
          <w:kern w:val="0"/>
          <w:sz w:val="24"/>
          <w:szCs w:val="24"/>
        </w:rPr>
        <w:br w:type="page"/>
      </w:r>
    </w:p>
    <w:p>
      <w:pPr>
        <w:widowControl/>
        <w:spacing w:line="440" w:lineRule="exact"/>
        <w:jc w:val="center"/>
        <w:rPr>
          <w:rFonts w:ascii="黑体" w:hAnsi="黑体" w:eastAsia="黑体" w:cs="Times New Roman"/>
          <w:kern w:val="0"/>
          <w:sz w:val="32"/>
          <w:szCs w:val="32"/>
        </w:rPr>
      </w:pPr>
      <w:r>
        <w:rPr>
          <w:rFonts w:hint="eastAsia" w:ascii="黑体" w:hAnsi="黑体" w:eastAsia="黑体" w:cs="Times New Roman"/>
          <w:kern w:val="0"/>
          <w:sz w:val="32"/>
          <w:szCs w:val="32"/>
        </w:rPr>
        <w:t>目    录</w:t>
      </w:r>
    </w:p>
    <w:p>
      <w:pPr>
        <w:spacing w:line="440" w:lineRule="exact"/>
        <w:rPr>
          <w:rFonts w:ascii="黑体" w:hAnsi="黑体" w:eastAsia="黑体" w:cs="Times New Roman"/>
          <w:kern w:val="0"/>
          <w:sz w:val="32"/>
          <w:szCs w:val="32"/>
        </w:rPr>
      </w:pPr>
    </w:p>
    <w:p>
      <w:pPr>
        <w:spacing w:line="440" w:lineRule="exact"/>
        <w:ind w:firstLine="462" w:firstLineChars="200"/>
        <w:rPr>
          <w:rFonts w:ascii="宋体" w:hAnsi="宋体" w:eastAsia="宋体" w:cs="Times New Roman"/>
          <w:kern w:val="0"/>
          <w:sz w:val="24"/>
          <w:szCs w:val="24"/>
        </w:rPr>
      </w:pPr>
    </w:p>
    <w:p>
      <w:pPr>
        <w:pStyle w:val="13"/>
        <w:ind w:left="804"/>
        <w:rPr>
          <w:rFonts w:asciiTheme="minorHAnsi" w:hAnsiTheme="minorHAnsi" w:eastAsiaTheme="minorEastAsia" w:cstheme="minorBidi"/>
          <w:kern w:val="2"/>
          <w:szCs w:val="22"/>
        </w:rPr>
      </w:pPr>
      <w:r>
        <w:rPr>
          <w:rFonts w:ascii="宋体" w:hAnsi="宋体"/>
          <w:sz w:val="32"/>
        </w:rPr>
        <w:fldChar w:fldCharType="begin"/>
      </w:r>
      <w:r>
        <w:rPr>
          <w:rFonts w:ascii="宋体" w:hAnsi="宋体"/>
          <w:sz w:val="32"/>
        </w:rPr>
        <w:instrText xml:space="preserve"> TOC \o "1-3" \h \z \u </w:instrText>
      </w:r>
      <w:r>
        <w:rPr>
          <w:rFonts w:ascii="宋体" w:hAnsi="宋体"/>
          <w:sz w:val="32"/>
        </w:rPr>
        <w:fldChar w:fldCharType="separate"/>
      </w:r>
      <w:r>
        <w:fldChar w:fldCharType="begin"/>
      </w:r>
      <w:r>
        <w:instrText xml:space="preserve"> HYPERLINK \l "_Toc37780283" </w:instrText>
      </w:r>
      <w:r>
        <w:fldChar w:fldCharType="separate"/>
      </w:r>
      <w:r>
        <w:rPr>
          <w:rStyle w:val="21"/>
          <w:rFonts w:hint="eastAsia" w:ascii="黑体" w:hAnsi="黑体" w:eastAsia="黑体"/>
          <w:sz w:val="32"/>
        </w:rPr>
        <w:t>第一部分采购公告</w:t>
      </w:r>
      <w:r>
        <w:rPr>
          <w:sz w:val="32"/>
        </w:rPr>
        <w:tab/>
      </w:r>
      <w:r>
        <w:rPr>
          <w:sz w:val="32"/>
        </w:rPr>
        <w:fldChar w:fldCharType="begin"/>
      </w:r>
      <w:r>
        <w:rPr>
          <w:sz w:val="32"/>
        </w:rPr>
        <w:instrText xml:space="preserve"> PAGEREF _Toc37780283 \h </w:instrText>
      </w:r>
      <w:r>
        <w:rPr>
          <w:sz w:val="32"/>
        </w:rPr>
        <w:fldChar w:fldCharType="separate"/>
      </w:r>
      <w:r>
        <w:rPr>
          <w:sz w:val="32"/>
        </w:rPr>
        <w:t>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"_Toc37780284" </w:instrText>
      </w:r>
      <w:r>
        <w:fldChar w:fldCharType="separate"/>
      </w:r>
      <w:r>
        <w:rPr>
          <w:rStyle w:val="21"/>
          <w:rFonts w:hint="eastAsia" w:ascii="黑体" w:hAnsi="黑体" w:eastAsia="黑体"/>
          <w:sz w:val="32"/>
          <w:lang w:val="zh-CN"/>
        </w:rPr>
        <w:t>第二部分采购项目技</w:t>
      </w:r>
      <w:r>
        <w:rPr>
          <w:rStyle w:val="21"/>
          <w:rFonts w:hint="eastAsia" w:ascii="黑体" w:hAnsi="黑体" w:eastAsia="黑体" w:cs="宋体"/>
          <w:sz w:val="32"/>
          <w:lang w:val="zh-CN"/>
        </w:rPr>
        <w:t>术</w:t>
      </w:r>
      <w:r>
        <w:rPr>
          <w:rStyle w:val="21"/>
          <w:rFonts w:hint="eastAsia" w:ascii="黑体" w:hAnsi="黑体" w:eastAsia="黑体" w:cs="Dotum"/>
          <w:sz w:val="32"/>
          <w:lang w:val="zh-CN"/>
        </w:rPr>
        <w:t>和商</w:t>
      </w:r>
      <w:r>
        <w:rPr>
          <w:rStyle w:val="21"/>
          <w:rFonts w:hint="eastAsia" w:ascii="黑体" w:hAnsi="黑体" w:eastAsia="黑体" w:cs="宋体"/>
          <w:sz w:val="32"/>
          <w:lang w:val="zh-CN"/>
        </w:rPr>
        <w:t>务</w:t>
      </w:r>
      <w:r>
        <w:rPr>
          <w:rStyle w:val="21"/>
          <w:rFonts w:hint="eastAsia" w:ascii="黑体" w:hAnsi="黑体" w:eastAsia="黑体"/>
          <w:sz w:val="32"/>
          <w:lang w:val="zh-CN"/>
        </w:rPr>
        <w:t>要求</w:t>
      </w:r>
      <w:r>
        <w:rPr>
          <w:sz w:val="32"/>
        </w:rPr>
        <w:tab/>
      </w:r>
      <w:r>
        <w:rPr>
          <w:sz w:val="32"/>
        </w:rPr>
        <w:fldChar w:fldCharType="begin"/>
      </w:r>
      <w:r>
        <w:rPr>
          <w:sz w:val="32"/>
        </w:rPr>
        <w:instrText xml:space="preserve"> PAGEREF _Toc37780284 \h </w:instrText>
      </w:r>
      <w:r>
        <w:rPr>
          <w:sz w:val="32"/>
        </w:rPr>
        <w:fldChar w:fldCharType="separate"/>
      </w:r>
      <w:r>
        <w:rPr>
          <w:sz w:val="32"/>
        </w:rPr>
        <w:t>4</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"_Toc37780285" </w:instrText>
      </w:r>
      <w:r>
        <w:fldChar w:fldCharType="separate"/>
      </w:r>
      <w:r>
        <w:rPr>
          <w:rStyle w:val="21"/>
          <w:rFonts w:hint="eastAsia" w:ascii="黑体" w:hAnsi="黑体" w:eastAsia="黑体"/>
          <w:sz w:val="32"/>
        </w:rPr>
        <w:t>第三部分</w:t>
      </w:r>
      <w:r>
        <w:rPr>
          <w:rStyle w:val="21"/>
          <w:rFonts w:hint="eastAsia" w:ascii="黑体" w:hAnsi="黑体" w:eastAsia="黑体"/>
          <w:sz w:val="32"/>
          <w:lang w:val="zh-CN"/>
        </w:rPr>
        <w:t>报价方</w:t>
      </w:r>
      <w:r>
        <w:rPr>
          <w:rStyle w:val="21"/>
          <w:rFonts w:hint="eastAsia" w:ascii="黑体" w:hAnsi="黑体" w:eastAsia="黑体"/>
          <w:sz w:val="32"/>
        </w:rPr>
        <w:t>须知</w:t>
      </w:r>
      <w:r>
        <w:rPr>
          <w:sz w:val="32"/>
        </w:rPr>
        <w:tab/>
      </w:r>
      <w:r>
        <w:rPr>
          <w:sz w:val="32"/>
        </w:rPr>
        <w:fldChar w:fldCharType="begin"/>
      </w:r>
      <w:r>
        <w:rPr>
          <w:sz w:val="32"/>
        </w:rPr>
        <w:instrText xml:space="preserve"> PAGEREF _Toc37780285 \h </w:instrText>
      </w:r>
      <w:r>
        <w:rPr>
          <w:sz w:val="32"/>
        </w:rPr>
        <w:fldChar w:fldCharType="separate"/>
      </w:r>
      <w:r>
        <w:rPr>
          <w:sz w:val="32"/>
        </w:rPr>
        <w:t>6</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"_Toc37780286" </w:instrText>
      </w:r>
      <w:r>
        <w:fldChar w:fldCharType="separate"/>
      </w:r>
      <w:r>
        <w:rPr>
          <w:rStyle w:val="21"/>
          <w:rFonts w:hint="eastAsia" w:ascii="黑体" w:hAnsi="黑体" w:eastAsia="黑体"/>
          <w:bCs/>
          <w:sz w:val="32"/>
        </w:rPr>
        <w:t>第四部分合同样本</w:t>
      </w:r>
      <w:r>
        <w:rPr>
          <w:sz w:val="32"/>
        </w:rPr>
        <w:tab/>
      </w:r>
      <w:r>
        <w:rPr>
          <w:sz w:val="32"/>
        </w:rPr>
        <w:fldChar w:fldCharType="begin"/>
      </w:r>
      <w:r>
        <w:rPr>
          <w:sz w:val="32"/>
        </w:rPr>
        <w:instrText xml:space="preserve"> PAGEREF _Toc37780286 \h </w:instrText>
      </w:r>
      <w:r>
        <w:rPr>
          <w:sz w:val="32"/>
        </w:rPr>
        <w:fldChar w:fldCharType="separate"/>
      </w:r>
      <w:r>
        <w:rPr>
          <w:sz w:val="32"/>
        </w:rPr>
        <w:t>27</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"_Toc37780287" </w:instrText>
      </w:r>
      <w:r>
        <w:fldChar w:fldCharType="separate"/>
      </w:r>
      <w:r>
        <w:rPr>
          <w:rStyle w:val="21"/>
          <w:rFonts w:hint="eastAsia" w:ascii="黑体" w:hAnsi="黑体" w:eastAsia="黑体"/>
          <w:sz w:val="32"/>
        </w:rPr>
        <w:t>第五部分附件</w:t>
      </w:r>
      <w:r>
        <w:rPr>
          <w:rStyle w:val="21"/>
          <w:rFonts w:ascii="黑体" w:hAnsi="黑体" w:eastAsia="黑体"/>
          <w:sz w:val="32"/>
        </w:rPr>
        <w:t>/</w:t>
      </w:r>
      <w:r>
        <w:rPr>
          <w:rStyle w:val="21"/>
          <w:rFonts w:hint="eastAsia" w:ascii="黑体" w:hAnsi="黑体" w:eastAsia="黑体"/>
          <w:sz w:val="32"/>
        </w:rPr>
        <w:t>报价文件格式</w:t>
      </w:r>
      <w:r>
        <w:rPr>
          <w:sz w:val="32"/>
        </w:rPr>
        <w:tab/>
      </w:r>
      <w:r>
        <w:rPr>
          <w:sz w:val="32"/>
        </w:rPr>
        <w:fldChar w:fldCharType="begin"/>
      </w:r>
      <w:r>
        <w:rPr>
          <w:sz w:val="32"/>
        </w:rPr>
        <w:instrText xml:space="preserve"> PAGEREF _Toc37780287 \h </w:instrText>
      </w:r>
      <w:r>
        <w:rPr>
          <w:sz w:val="32"/>
        </w:rPr>
        <w:fldChar w:fldCharType="separate"/>
      </w:r>
      <w:r>
        <w:rPr>
          <w:sz w:val="32"/>
        </w:rPr>
        <w:t>30</w:t>
      </w:r>
      <w:r>
        <w:rPr>
          <w:sz w:val="32"/>
        </w:rPr>
        <w:fldChar w:fldCharType="end"/>
      </w:r>
      <w:r>
        <w:rPr>
          <w:sz w:val="32"/>
        </w:rPr>
        <w:fldChar w:fldCharType="end"/>
      </w:r>
    </w:p>
    <w:p>
      <w:pPr>
        <w:spacing w:line="440" w:lineRule="exact"/>
        <w:rPr>
          <w:rFonts w:ascii="宋体" w:hAnsi="宋体" w:eastAsia="宋体" w:cs="Times New Roman"/>
          <w:kern w:val="0"/>
          <w:sz w:val="32"/>
          <w:szCs w:val="24"/>
        </w:rPr>
      </w:pPr>
      <w:r>
        <w:rPr>
          <w:rFonts w:ascii="宋体" w:hAnsi="宋体" w:eastAsia="宋体" w:cs="Times New Roman"/>
          <w:kern w:val="0"/>
          <w:sz w:val="32"/>
          <w:szCs w:val="24"/>
        </w:rPr>
        <w:fldChar w:fldCharType="end"/>
      </w:r>
    </w:p>
    <w:p>
      <w:pPr>
        <w:spacing w:line="440" w:lineRule="exact"/>
        <w:ind w:firstLine="462" w:firstLineChars="200"/>
        <w:rPr>
          <w:rFonts w:ascii="宋体" w:hAnsi="宋体" w:eastAsia="宋体" w:cs="Times New Roman"/>
          <w:kern w:val="0"/>
          <w:sz w:val="24"/>
          <w:szCs w:val="24"/>
        </w:rPr>
      </w:pPr>
    </w:p>
    <w:p>
      <w:pPr>
        <w:spacing w:beforeLines="100" w:line="440" w:lineRule="exact"/>
        <w:jc w:val="center"/>
        <w:rPr>
          <w:rFonts w:ascii="宋体" w:hAnsi="宋体" w:eastAsia="宋体" w:cs="Times New Roman"/>
          <w:kern w:val="0"/>
          <w:sz w:val="24"/>
          <w:szCs w:val="2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2"/>
        <w:spacing w:line="360" w:lineRule="exact"/>
        <w:jc w:val="center"/>
        <w:rPr>
          <w:rFonts w:ascii="黑体" w:hAnsi="黑体" w:eastAsia="黑体"/>
          <w:kern w:val="0"/>
          <w:sz w:val="32"/>
          <w:szCs w:val="32"/>
        </w:rPr>
      </w:pPr>
      <w:bookmarkStart w:id="1" w:name="_Toc285612593"/>
      <w:bookmarkStart w:id="2" w:name="_Toc435540978"/>
      <w:bookmarkStart w:id="3" w:name="_Toc37780283"/>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采购公告</w:t>
      </w:r>
      <w:bookmarkEnd w:id="3"/>
    </w:p>
    <w:bookmarkEnd w:id="0"/>
    <w:p>
      <w:pPr>
        <w:adjustRightInd w:val="0"/>
        <w:snapToGrid w:val="0"/>
        <w:spacing w:line="360" w:lineRule="exact"/>
        <w:jc w:val="center"/>
        <w:rPr>
          <w:rFonts w:hint="eastAsia" w:ascii="Tahoma" w:hAnsi="Tahoma" w:cs="Tahoma" w:eastAsiaTheme="minorEastAsia"/>
          <w:b/>
          <w:bCs/>
          <w:kern w:val="0"/>
          <w:sz w:val="28"/>
          <w:szCs w:val="28"/>
          <w:lang w:eastAsia="zh-CN"/>
        </w:rPr>
      </w:pPr>
      <w:r>
        <w:rPr>
          <w:rFonts w:hint="eastAsia" w:ascii="Tahoma" w:hAnsi="Tahoma" w:cs="Tahoma"/>
          <w:b/>
          <w:bCs/>
          <w:kern w:val="0"/>
          <w:sz w:val="28"/>
          <w:szCs w:val="28"/>
        </w:rPr>
        <w:t>关于</w:t>
      </w:r>
      <w:r>
        <w:rPr>
          <w:rFonts w:hint="eastAsia" w:ascii="Tahoma" w:hAnsi="Tahoma" w:cs="Tahoma"/>
          <w:b/>
          <w:bCs/>
          <w:kern w:val="0"/>
          <w:sz w:val="28"/>
          <w:szCs w:val="28"/>
          <w:lang w:eastAsia="zh-CN"/>
        </w:rPr>
        <w:t>双槽梯度PCR仪</w:t>
      </w:r>
      <w:r>
        <w:rPr>
          <w:rFonts w:hint="eastAsia" w:ascii="Tahoma" w:hAnsi="Tahoma" w:cs="Tahoma"/>
          <w:b/>
          <w:bCs/>
          <w:kern w:val="0"/>
          <w:sz w:val="28"/>
          <w:szCs w:val="28"/>
        </w:rPr>
        <w:t>的采购</w:t>
      </w:r>
      <w:r>
        <w:rPr>
          <w:rFonts w:ascii="Tahoma" w:hAnsi="Tahoma" w:cs="Tahoma"/>
          <w:b/>
          <w:bCs/>
          <w:kern w:val="0"/>
          <w:sz w:val="28"/>
          <w:szCs w:val="28"/>
        </w:rPr>
        <w:t>公告</w:t>
      </w:r>
      <w:r>
        <w:rPr>
          <w:rFonts w:hint="eastAsia" w:ascii="Tahoma" w:hAnsi="Tahoma" w:cs="Tahoma"/>
          <w:kern w:val="0"/>
          <w:sz w:val="28"/>
          <w:szCs w:val="28"/>
          <w:lang w:eastAsia="zh-CN"/>
        </w:rPr>
        <w:t>2021-JL13(03)-W30023</w:t>
      </w:r>
    </w:p>
    <w:p>
      <w:pPr>
        <w:spacing w:line="360" w:lineRule="exact"/>
        <w:ind w:firstLine="462" w:firstLineChars="200"/>
        <w:rPr>
          <w:rFonts w:ascii="宋体" w:hAnsi="宋体" w:eastAsia="宋体" w:cs="Times New Roman"/>
          <w:kern w:val="0"/>
          <w:sz w:val="24"/>
          <w:szCs w:val="24"/>
        </w:rPr>
      </w:pPr>
    </w:p>
    <w:p>
      <w:pPr>
        <w:spacing w:line="36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我院就以下项目进行竞争性谈判，</w:t>
      </w:r>
      <w:r>
        <w:rPr>
          <w:rFonts w:hint="eastAsia" w:cs="Times New Roman" w:asciiTheme="minorEastAsia" w:hAnsiTheme="minorEastAsia"/>
          <w:kern w:val="0"/>
          <w:sz w:val="24"/>
          <w:szCs w:val="24"/>
        </w:rPr>
        <w:t>欢迎符合条件的供应商</w:t>
      </w:r>
      <w:r>
        <w:rPr>
          <w:rFonts w:hint="eastAsia" w:ascii="宋体" w:hAnsi="宋体" w:eastAsia="宋体" w:cs="Times New Roman"/>
          <w:kern w:val="0"/>
          <w:sz w:val="24"/>
          <w:szCs w:val="24"/>
        </w:rPr>
        <w:t>参加谈判报价。</w:t>
      </w:r>
    </w:p>
    <w:p>
      <w:pPr>
        <w:spacing w:line="440" w:lineRule="exact"/>
        <w:ind w:firstLine="462" w:firstLineChars="200"/>
        <w:rPr>
          <w:rFonts w:hint="eastAsia" w:ascii="宋体" w:hAnsi="宋体" w:eastAsia="宋体" w:cs="Times New Roman"/>
          <w:kern w:val="0"/>
          <w:sz w:val="24"/>
          <w:szCs w:val="24"/>
          <w:lang w:eastAsia="zh-CN"/>
        </w:rPr>
      </w:pPr>
      <w:r>
        <w:rPr>
          <w:rFonts w:hint="eastAsia" w:ascii="宋体" w:hAnsi="宋体" w:eastAsia="宋体" w:cs="Times New Roman"/>
          <w:kern w:val="0"/>
          <w:sz w:val="24"/>
          <w:szCs w:val="24"/>
        </w:rPr>
        <w:t>一、</w:t>
      </w:r>
      <w:r>
        <w:rPr>
          <w:rFonts w:ascii="宋体" w:hAnsi="宋体" w:eastAsia="宋体" w:cs="Times New Roman"/>
          <w:kern w:val="0"/>
          <w:sz w:val="24"/>
          <w:szCs w:val="24"/>
        </w:rPr>
        <w:t>项目名称：</w:t>
      </w:r>
      <w:r>
        <w:rPr>
          <w:rFonts w:hint="eastAsia" w:ascii="宋体" w:hAnsi="宋体" w:eastAsia="宋体" w:cs="Times New Roman"/>
          <w:kern w:val="0"/>
          <w:sz w:val="24"/>
          <w:szCs w:val="24"/>
          <w:lang w:eastAsia="zh-CN"/>
        </w:rPr>
        <w:t>双槽梯度PCR仪</w:t>
      </w:r>
    </w:p>
    <w:p>
      <w:pPr>
        <w:tabs>
          <w:tab w:val="left" w:pos="0"/>
          <w:tab w:val="left" w:pos="1122"/>
        </w:tabs>
        <w:spacing w:line="440" w:lineRule="exact"/>
        <w:ind w:firstLine="462" w:firstLineChars="200"/>
        <w:rPr>
          <w:rFonts w:hint="eastAsia" w:ascii="宋体" w:hAnsi="宋体" w:eastAsia="宋体" w:cs="Times New Roman"/>
          <w:kern w:val="0"/>
          <w:sz w:val="24"/>
          <w:szCs w:val="24"/>
          <w:lang w:eastAsia="zh-CN"/>
        </w:rPr>
      </w:pPr>
      <w:r>
        <w:rPr>
          <w:rFonts w:hint="eastAsia" w:ascii="宋体" w:hAnsi="宋体" w:eastAsia="宋体" w:cs="Times New Roman"/>
          <w:kern w:val="0"/>
          <w:sz w:val="24"/>
          <w:szCs w:val="24"/>
        </w:rPr>
        <w:t>二、</w:t>
      </w:r>
      <w:r>
        <w:rPr>
          <w:rFonts w:ascii="宋体" w:hAnsi="宋体" w:eastAsia="宋体" w:cs="Times New Roman"/>
          <w:kern w:val="0"/>
          <w:sz w:val="24"/>
          <w:szCs w:val="24"/>
        </w:rPr>
        <w:t>项目编号：</w:t>
      </w:r>
      <w:r>
        <w:rPr>
          <w:rFonts w:hint="eastAsia" w:ascii="宋体" w:hAnsi="宋体" w:eastAsia="宋体" w:cs="Times New Roman"/>
          <w:kern w:val="0"/>
          <w:sz w:val="24"/>
          <w:szCs w:val="24"/>
          <w:lang w:eastAsia="zh-CN"/>
        </w:rPr>
        <w:t>2021-JL13(03)-W30023</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三、项目概况</w:t>
      </w:r>
      <w:r>
        <w:rPr>
          <w:rFonts w:ascii="宋体" w:hAnsi="宋体" w:eastAsia="宋体" w:cs="Times New Roman"/>
          <w:kern w:val="0"/>
          <w:sz w:val="24"/>
          <w:szCs w:val="24"/>
        </w:rPr>
        <w:t>：</w:t>
      </w:r>
    </w:p>
    <w:tbl>
      <w:tblPr>
        <w:tblStyle w:val="17"/>
        <w:tblW w:w="55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1859"/>
        <w:gridCol w:w="709"/>
        <w:gridCol w:w="1132"/>
        <w:gridCol w:w="862"/>
        <w:gridCol w:w="917"/>
        <w:gridCol w:w="1058"/>
        <w:gridCol w:w="1058"/>
        <w:gridCol w:w="992"/>
        <w:gridCol w:w="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包号</w:t>
            </w:r>
          </w:p>
        </w:tc>
        <w:tc>
          <w:tcPr>
            <w:tcW w:w="18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货物名称</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规格</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型号</w:t>
            </w:r>
          </w:p>
        </w:tc>
        <w:tc>
          <w:tcPr>
            <w:tcW w:w="1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技术</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要求</w:t>
            </w:r>
          </w:p>
        </w:tc>
        <w:tc>
          <w:tcPr>
            <w:tcW w:w="8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计量</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单位</w:t>
            </w: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数量</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预算总价</w:t>
            </w:r>
          </w:p>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（万元）</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时间</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地点</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4"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8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ascii="宋体" w:hAnsi="宋体" w:eastAsia="宋体" w:cs="Times New Roman"/>
                <w:kern w:val="0"/>
                <w:szCs w:val="21"/>
                <w:lang w:eastAsia="zh-CN"/>
              </w:rPr>
              <w:t>双槽梯度PCR仪</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w:t>
            </w:r>
          </w:p>
        </w:tc>
        <w:tc>
          <w:tcPr>
            <w:tcW w:w="1132"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详见谈判文件附件18</w:t>
            </w:r>
          </w:p>
        </w:tc>
        <w:tc>
          <w:tcPr>
            <w:tcW w:w="8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台</w:t>
            </w: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val="en-US" w:eastAsia="zh-CN"/>
              </w:rPr>
              <w:t>2</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17.2</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合同签订后90个日历日</w:t>
            </w:r>
          </w:p>
        </w:tc>
        <w:tc>
          <w:tcPr>
            <w:tcW w:w="992"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重庆市</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napToGrid w:val="0"/>
                <w:kern w:val="0"/>
                <w:szCs w:val="21"/>
              </w:rPr>
              <w:t>说明</w:t>
            </w:r>
          </w:p>
        </w:tc>
        <w:tc>
          <w:tcPr>
            <w:tcW w:w="9318"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rPr>
                <w:rFonts w:cs="Times New Roman" w:asciiTheme="minorEastAsia" w:hAnsiTheme="minorEastAsia"/>
                <w:szCs w:val="21"/>
              </w:rPr>
            </w:pPr>
            <w:r>
              <w:rPr>
                <w:rFonts w:cs="Times New Roman" w:asciiTheme="minorEastAsia" w:hAnsiTheme="minorEastAsia"/>
                <w:kern w:val="0"/>
                <w:szCs w:val="21"/>
              </w:rPr>
              <w:t>1.</w:t>
            </w:r>
            <w:r>
              <w:rPr>
                <w:rFonts w:hint="eastAsia" w:asciiTheme="minorEastAsia" w:hAnsiTheme="minorEastAsia"/>
                <w:szCs w:val="21"/>
              </w:rPr>
              <w:t xml:space="preserve"> 报价应包括物资供应、运输、安装、培训、售后服务等价格。</w:t>
            </w:r>
          </w:p>
        </w:tc>
      </w:tr>
    </w:tbl>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（一）符合《中华人民共和国政府采购法》第二十二条资格条件：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1.具有独立承担民事责任的能力；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2.具有良好的商业信誉和健全的财务会计制度；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3.具有履行合同所必需的设备和专业技术能力；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4.有依法缴纳税收和社会保障资金的良好记录；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5.参加政府采购活动前3年内，在经营活动中没有重大违法记录；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6.法律、行政法规规定的其他条件。</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（二）供应商成立时间不少于1年。</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（三）非外资独资或外资控股企业。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（五）本项目不接受联合体报价。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（六）注册资金200万（含）以上生产或销售型企业。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（七）报价方</w:t>
      </w:r>
      <w:r>
        <w:rPr>
          <w:rFonts w:hint="eastAsia" w:cs="Times New Roman" w:asciiTheme="minorEastAsia" w:hAnsiTheme="minorEastAsia"/>
          <w:kern w:val="0"/>
          <w:sz w:val="24"/>
          <w:szCs w:val="24"/>
        </w:rPr>
        <w:t>应具备本项目生产或者销售范围（以报价方提供的营业执照、经营许可证为准）</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五、谈判文件发售时间、地点、方式及售价</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（一）报名时间：</w:t>
      </w:r>
      <w:r>
        <w:rPr>
          <w:rFonts w:hint="eastAsia" w:ascii="宋体" w:hAnsi="宋体" w:eastAsia="宋体" w:cs="Times New Roman"/>
          <w:kern w:val="0"/>
          <w:sz w:val="24"/>
          <w:szCs w:val="24"/>
          <w:u w:val="single"/>
        </w:rPr>
        <w:t xml:space="preserve"> 2021</w:t>
      </w:r>
      <w:r>
        <w:rPr>
          <w:rFonts w:hint="eastAsia" w:ascii="宋体" w:hAnsi="宋体" w:eastAsia="宋体" w:cs="Times New Roman"/>
          <w:kern w:val="0"/>
          <w:sz w:val="24"/>
          <w:szCs w:val="24"/>
        </w:rPr>
        <w:t>年</w:t>
      </w:r>
      <w:r>
        <w:rPr>
          <w:rFonts w:hint="eastAsia" w:ascii="宋体" w:hAnsi="宋体" w:eastAsia="宋体" w:cs="Times New Roman"/>
          <w:kern w:val="0"/>
          <w:sz w:val="24"/>
          <w:szCs w:val="24"/>
          <w:u w:val="single"/>
        </w:rPr>
        <w:t>2</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lang w:val="en-US" w:eastAsia="zh-CN"/>
        </w:rPr>
        <w:t>20</w:t>
      </w:r>
      <w:r>
        <w:rPr>
          <w:rFonts w:hint="eastAsia" w:ascii="宋体" w:hAnsi="宋体" w:eastAsia="宋体" w:cs="Times New Roman"/>
          <w:kern w:val="0"/>
          <w:sz w:val="24"/>
          <w:szCs w:val="24"/>
        </w:rPr>
        <w:t>日至</w:t>
      </w:r>
      <w:r>
        <w:rPr>
          <w:rFonts w:hint="eastAsia" w:ascii="宋体" w:hAnsi="宋体" w:eastAsia="宋体" w:cs="Times New Roman"/>
          <w:kern w:val="0"/>
          <w:sz w:val="24"/>
          <w:szCs w:val="24"/>
          <w:u w:val="single"/>
        </w:rPr>
        <w:t>2</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rPr>
        <w:t>26</w:t>
      </w:r>
      <w:r>
        <w:rPr>
          <w:rFonts w:hint="eastAsia" w:ascii="宋体" w:hAnsi="宋体" w:eastAsia="宋体" w:cs="Times New Roman"/>
          <w:kern w:val="0"/>
          <w:sz w:val="24"/>
          <w:szCs w:val="24"/>
        </w:rPr>
        <w:t>日（08:00—11:30，15:00—17:00）（北京时间、节假日除外）。</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（二）发售时间：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（三）发售地点：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（四）发售方式：供应商指定专人现场领取，不接受邮寄等其他方式。购买谈判文件</w:t>
      </w:r>
      <w:r>
        <w:rPr>
          <w:rFonts w:hint="eastAsia" w:cs="Times New Roman" w:asciiTheme="minorEastAsia" w:hAnsiTheme="minorEastAsia"/>
          <w:kern w:val="0"/>
          <w:sz w:val="24"/>
          <w:szCs w:val="24"/>
        </w:rPr>
        <w:t>时需提供以下材料原件或装订成册加盖单位公章的复印件1份</w:t>
      </w:r>
      <w:r>
        <w:rPr>
          <w:rFonts w:hint="eastAsia" w:ascii="宋体" w:hAnsi="宋体" w:eastAsia="宋体" w:cs="Times New Roman"/>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5.廉洁诚信承诺书</w:t>
      </w:r>
    </w:p>
    <w:p>
      <w:pPr>
        <w:spacing w:line="440" w:lineRule="exact"/>
        <w:ind w:firstLine="462" w:firstLineChars="200"/>
        <w:rPr>
          <w:rFonts w:ascii="宋体" w:hAnsi="宋体" w:eastAsia="宋体" w:cs="Times New Roman"/>
          <w:kern w:val="0"/>
          <w:sz w:val="24"/>
          <w:szCs w:val="24"/>
        </w:rPr>
      </w:pPr>
      <w:r>
        <w:rPr>
          <w:rFonts w:hint="eastAsia" w:cs="Times New Roman" w:asciiTheme="minorEastAsia" w:hAnsiTheme="minorEastAsia"/>
          <w:kern w:val="0"/>
          <w:sz w:val="24"/>
          <w:szCs w:val="24"/>
        </w:rPr>
        <w:t>6. 相关声明书（包含但不限于以下内容）：①非外资企业或外资控股企业的书面声明；②参加本次采购活动前3年内在经营活动中没有重大违法记录的书面声明；</w:t>
      </w:r>
      <w:r>
        <w:rPr>
          <w:rFonts w:hint="eastAsia" w:ascii="宋体" w:hAnsi="宋体" w:eastAsia="宋体" w:cs="Times New Roman"/>
          <w:kern w:val="0"/>
          <w:sz w:val="24"/>
          <w:szCs w:val="24"/>
        </w:rPr>
        <w:t>③具有独立承担民事责任的能力；④具有良好的商业信誉和健全的财务会计制度；⑤具有履行合同所必需的设备和专业技术能力；⑥有依法缴纳税收和社会保障资金的良好记录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7.医疗器械经营许可证或二类备案凭证（需具备相应产品经营资格)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 生产企业《医疗器械生产许可证》（需具备相应的产品生产资格，进口产品提供国内总代理相关经营许可证）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10.产品《医疗器械产品注册证》（产品不属于医疗器械的无需提供）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11.生产企业对代理公司参与报价的授权书（进口产品需提供原产厂家对中国总代的中英文授权书复印件或同步翻译件）。</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六、报价文件递交时间、地点及方式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（一）报价文件递交及谈判时间：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（二）报价文件递交地点：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（三）报价方式：指定专人递交报价文件，不接受邮寄等其他方式。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cs="Times New Roman" w:asciiTheme="minorEastAsia" w:hAnsiTheme="minorEastAsia"/>
          <w:b/>
          <w:kern w:val="0"/>
          <w:sz w:val="24"/>
          <w:szCs w:val="24"/>
        </w:rPr>
        <w:t>本</w:t>
      </w:r>
      <w:r>
        <w:rPr>
          <w:rFonts w:hint="eastAsia" w:cs="Times New Roman" w:asciiTheme="minorEastAsia" w:hAnsiTheme="minorEastAsia"/>
          <w:b/>
          <w:kern w:val="0"/>
          <w:sz w:val="24"/>
          <w:szCs w:val="24"/>
        </w:rPr>
        <w:t>采购</w:t>
      </w:r>
      <w:r>
        <w:rPr>
          <w:rFonts w:cs="Times New Roman" w:asciiTheme="minorEastAsia" w:hAnsiTheme="minorEastAsia"/>
          <w:b/>
          <w:kern w:val="0"/>
          <w:sz w:val="24"/>
          <w:szCs w:val="24"/>
        </w:rPr>
        <w:t>项目相关信息在</w:t>
      </w:r>
      <w:r>
        <w:rPr>
          <w:rFonts w:hint="eastAsia" w:cs="Times New Roman" w:asciiTheme="minorEastAsia" w:hAnsiTheme="minorEastAsia"/>
          <w:b/>
          <w:kern w:val="0"/>
          <w:sz w:val="24"/>
          <w:szCs w:val="24"/>
        </w:rPr>
        <w:t>中国政府采购网（www.ccgp.gov.cn）及我院官网（www.xnyy.cn）</w:t>
      </w:r>
      <w:r>
        <w:rPr>
          <w:rFonts w:cs="Times New Roman" w:asciiTheme="minorEastAsia" w:hAnsiTheme="minorEastAsia"/>
          <w:b/>
          <w:kern w:val="0"/>
          <w:sz w:val="24"/>
          <w:szCs w:val="24"/>
        </w:rPr>
        <w:t>上发布</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八、采购机构联系方式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联 系 人：</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电    话：</w:t>
      </w:r>
      <w:r>
        <w:rPr>
          <w:rFonts w:hint="eastAsia" w:cs="Times New Roman" w:asciiTheme="minorEastAsia" w:hAnsiTheme="minorEastAsia"/>
          <w:kern w:val="0"/>
          <w:sz w:val="24"/>
          <w:szCs w:val="24"/>
          <w:u w:val="single"/>
        </w:rPr>
        <w:t xml:space="preserve">  023-68766148    </w:t>
      </w:r>
      <w:r>
        <w:rPr>
          <w:rFonts w:hint="eastAsia" w:cs="Times New Roman" w:asciiTheme="minorEastAsia" w:hAnsiTheme="minorEastAsia"/>
          <w:kern w:val="0"/>
          <w:sz w:val="24"/>
          <w:szCs w:val="24"/>
        </w:rPr>
        <w:t>（08:00—12:00，15:00—18:00）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监督电话：</w:t>
      </w:r>
      <w:r>
        <w:rPr>
          <w:rFonts w:hint="eastAsia" w:ascii="宋体" w:hAnsi="宋体" w:eastAsia="宋体" w:cs="Times New Roman"/>
          <w:kern w:val="0"/>
          <w:sz w:val="24"/>
          <w:szCs w:val="24"/>
          <w:u w:val="single"/>
        </w:rPr>
        <w:t>023-68766035</w:t>
      </w:r>
      <w:r>
        <w:rPr>
          <w:rFonts w:hint="eastAsia" w:cs="Times New Roman" w:asciiTheme="minorEastAsia" w:hAnsiTheme="minorEastAsia"/>
          <w:kern w:val="0"/>
          <w:sz w:val="24"/>
          <w:szCs w:val="24"/>
        </w:rPr>
        <w:t>（08:00—12:00，15:00—18:00）</w:t>
      </w:r>
    </w:p>
    <w:p>
      <w:pPr>
        <w:spacing w:afterLines="50" w:line="440" w:lineRule="exact"/>
        <w:ind w:left="4167" w:leftChars="432" w:hanging="3299" w:hangingChars="1428"/>
        <w:jc w:val="left"/>
        <w:rPr>
          <w:rFonts w:ascii="宋体" w:hAnsi="宋体" w:eastAsia="宋体" w:cs="Times New Roman"/>
          <w:kern w:val="0"/>
          <w:sz w:val="24"/>
          <w:szCs w:val="24"/>
        </w:rPr>
      </w:pPr>
    </w:p>
    <w:p>
      <w:pPr>
        <w:spacing w:line="440" w:lineRule="exact"/>
        <w:ind w:left="4652" w:leftChars="2310" w:hanging="9" w:hangingChars="4"/>
        <w:rPr>
          <w:rFonts w:ascii="宋体" w:hAnsi="宋体" w:eastAsia="宋体" w:cs="Times New Roman"/>
          <w:kern w:val="0"/>
          <w:sz w:val="24"/>
          <w:szCs w:val="24"/>
        </w:rPr>
      </w:pPr>
      <w:r>
        <w:rPr>
          <w:rFonts w:hint="eastAsia" w:cs="Times New Roman" w:asciiTheme="minorEastAsia" w:hAnsiTheme="minorEastAsia"/>
          <w:kern w:val="0"/>
          <w:sz w:val="24"/>
          <w:szCs w:val="24"/>
        </w:rPr>
        <w:t>物资采购中心</w:t>
      </w:r>
    </w:p>
    <w:p>
      <w:pPr>
        <w:autoSpaceDE w:val="0"/>
        <w:autoSpaceDN w:val="0"/>
        <w:adjustRightInd w:val="0"/>
        <w:spacing w:line="440" w:lineRule="exact"/>
        <w:rPr>
          <w:rFonts w:ascii="宋体" w:hAnsi="宋体" w:eastAsia="宋体" w:cs="Times New Roman"/>
          <w:kern w:val="0"/>
          <w:sz w:val="24"/>
          <w:szCs w:val="24"/>
        </w:rPr>
      </w:pPr>
      <w:r>
        <w:rPr>
          <w:rFonts w:hint="eastAsia" w:ascii="宋体" w:hAnsi="宋体" w:eastAsia="宋体" w:cs="Times New Roman"/>
          <w:kern w:val="0"/>
          <w:sz w:val="24"/>
          <w:szCs w:val="24"/>
        </w:rPr>
        <w:t xml:space="preserve">                                        2021年2月</w:t>
      </w:r>
      <w:r>
        <w:rPr>
          <w:rFonts w:hint="eastAsia" w:ascii="宋体" w:hAnsi="宋体" w:eastAsia="宋体" w:cs="Times New Roman"/>
          <w:kern w:val="0"/>
          <w:sz w:val="24"/>
          <w:szCs w:val="24"/>
          <w:lang w:val="en-US" w:eastAsia="zh-CN"/>
        </w:rPr>
        <w:t>20</w:t>
      </w:r>
      <w:bookmarkStart w:id="26" w:name="_GoBack"/>
      <w:bookmarkEnd w:id="26"/>
      <w:r>
        <w:rPr>
          <w:rFonts w:hint="eastAsia" w:ascii="宋体" w:hAnsi="宋体" w:eastAsia="宋体" w:cs="Times New Roman"/>
          <w:kern w:val="0"/>
          <w:sz w:val="24"/>
          <w:szCs w:val="24"/>
        </w:rPr>
        <w:t>日</w:t>
      </w:r>
    </w:p>
    <w:p>
      <w:pPr>
        <w:autoSpaceDE w:val="0"/>
        <w:autoSpaceDN w:val="0"/>
        <w:adjustRightInd w:val="0"/>
        <w:spacing w:line="440" w:lineRule="exact"/>
        <w:rPr>
          <w:rFonts w:ascii="宋体" w:hAnsi="宋体" w:eastAsia="宋体" w:cs="Times New Roman"/>
          <w:kern w:val="0"/>
          <w:sz w:val="24"/>
          <w:szCs w:val="24"/>
        </w:rPr>
        <w:sectPr>
          <w:headerReference r:id="rId3" w:type="default"/>
          <w:footerReference r:id="rId4" w:type="default"/>
          <w:pgSz w:w="11906" w:h="16838"/>
          <w:pgMar w:top="2098" w:right="1474" w:bottom="1985" w:left="1588" w:header="851" w:footer="851" w:gutter="0"/>
          <w:pgNumType w:start="1"/>
          <w:cols w:space="425" w:num="1"/>
          <w:docGrid w:type="linesAndChars" w:linePitch="579" w:charSpace="-1844"/>
        </w:sectPr>
      </w:pPr>
    </w:p>
    <w:p>
      <w:pPr>
        <w:pStyle w:val="2"/>
        <w:adjustRightInd w:val="0"/>
        <w:spacing w:line="360" w:lineRule="atLeast"/>
        <w:jc w:val="center"/>
        <w:rPr>
          <w:rFonts w:ascii="黑体" w:hAnsi="黑体" w:eastAsia="黑体"/>
          <w:kern w:val="0"/>
          <w:sz w:val="32"/>
          <w:szCs w:val="32"/>
          <w:lang w:val="zh-CN"/>
        </w:rPr>
      </w:pPr>
      <w:bookmarkStart w:id="4" w:name="_Toc435540979"/>
      <w:bookmarkStart w:id="5" w:name="_Toc390713967"/>
      <w:bookmarkStart w:id="6" w:name="_Toc285612594"/>
      <w:bookmarkStart w:id="7" w:name="_Toc37780284"/>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pacing w:line="360" w:lineRule="atLeas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货物一览表</w:t>
      </w:r>
      <w:bookmarkStart w:id="8" w:name="_Toc285612596"/>
      <w:r>
        <w:rPr>
          <w:rFonts w:ascii="宋体" w:hAnsi="宋体" w:eastAsia="宋体" w:cs="Times New Roman"/>
          <w:kern w:val="0"/>
          <w:sz w:val="24"/>
          <w:szCs w:val="24"/>
        </w:rPr>
        <w:t>及技术</w:t>
      </w:r>
      <w:r>
        <w:rPr>
          <w:rFonts w:hint="eastAsia" w:ascii="宋体" w:hAnsi="宋体" w:eastAsia="宋体" w:cs="Times New Roman"/>
          <w:kern w:val="0"/>
          <w:sz w:val="24"/>
          <w:szCs w:val="24"/>
        </w:rPr>
        <w:t>要求</w:t>
      </w:r>
    </w:p>
    <w:tbl>
      <w:tblPr>
        <w:tblStyle w:val="17"/>
        <w:tblW w:w="5000" w:type="pct"/>
        <w:jc w:val="center"/>
        <w:tblLayout w:type="autofit"/>
        <w:tblCellMar>
          <w:top w:w="0" w:type="dxa"/>
          <w:left w:w="108" w:type="dxa"/>
          <w:bottom w:w="0" w:type="dxa"/>
          <w:right w:w="108" w:type="dxa"/>
        </w:tblCellMar>
      </w:tblPr>
      <w:tblGrid>
        <w:gridCol w:w="814"/>
        <w:gridCol w:w="1988"/>
        <w:gridCol w:w="850"/>
        <w:gridCol w:w="2768"/>
        <w:gridCol w:w="962"/>
        <w:gridCol w:w="851"/>
        <w:gridCol w:w="827"/>
      </w:tblGrid>
      <w:tr>
        <w:tblPrEx>
          <w:tblCellMar>
            <w:top w:w="0" w:type="dxa"/>
            <w:left w:w="108" w:type="dxa"/>
            <w:bottom w:w="0" w:type="dxa"/>
            <w:right w:w="108" w:type="dxa"/>
          </w:tblCellMar>
        </w:tblPrEx>
        <w:trPr>
          <w:trHeight w:val="1105" w:hRule="exact"/>
          <w:jc w:val="center"/>
        </w:trPr>
        <w:tc>
          <w:tcPr>
            <w:tcW w:w="8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包号</w:t>
            </w:r>
          </w:p>
        </w:tc>
        <w:tc>
          <w:tcPr>
            <w:tcW w:w="1988"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物资名称</w:t>
            </w:r>
          </w:p>
        </w:tc>
        <w:tc>
          <w:tcPr>
            <w:tcW w:w="850"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规格</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型号</w:t>
            </w:r>
          </w:p>
        </w:tc>
        <w:tc>
          <w:tcPr>
            <w:tcW w:w="2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技术指标参数要求</w:t>
            </w:r>
          </w:p>
        </w:tc>
        <w:tc>
          <w:tcPr>
            <w:tcW w:w="962"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计量</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单位</w:t>
            </w:r>
          </w:p>
        </w:tc>
        <w:tc>
          <w:tcPr>
            <w:tcW w:w="851"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数量</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备注</w:t>
            </w:r>
          </w:p>
        </w:tc>
      </w:tr>
      <w:tr>
        <w:tblPrEx>
          <w:tblCellMar>
            <w:top w:w="0" w:type="dxa"/>
            <w:left w:w="108" w:type="dxa"/>
            <w:bottom w:w="0" w:type="dxa"/>
            <w:right w:w="108" w:type="dxa"/>
          </w:tblCellMar>
        </w:tblPrEx>
        <w:trPr>
          <w:trHeight w:val="1131" w:hRule="exact"/>
          <w:jc w:val="center"/>
        </w:trPr>
        <w:tc>
          <w:tcPr>
            <w:tcW w:w="81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988"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eastAsia="zh-CN"/>
              </w:rPr>
              <w:t>双槽梯度PCR仪</w:t>
            </w:r>
          </w:p>
        </w:tc>
        <w:tc>
          <w:tcPr>
            <w:tcW w:w="850"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w:t>
            </w:r>
          </w:p>
        </w:tc>
        <w:tc>
          <w:tcPr>
            <w:tcW w:w="27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ind w:firstLine="197" w:firstLineChars="98"/>
              <w:jc w:val="left"/>
              <w:rPr>
                <w:rFonts w:cs="Times New Roman" w:asciiTheme="minorEastAsia" w:hAnsiTheme="minorEastAsia"/>
                <w:kern w:val="0"/>
                <w:szCs w:val="21"/>
              </w:rPr>
            </w:pPr>
            <w:r>
              <w:rPr>
                <w:rFonts w:hint="eastAsia" w:cs="Times New Roman" w:asciiTheme="minorEastAsia" w:hAnsiTheme="minorEastAsia"/>
                <w:kern w:val="0"/>
                <w:szCs w:val="21"/>
              </w:rPr>
              <w:t>详见谈判文件附件18</w:t>
            </w:r>
          </w:p>
        </w:tc>
        <w:tc>
          <w:tcPr>
            <w:tcW w:w="962"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台</w:t>
            </w:r>
          </w:p>
        </w:tc>
        <w:tc>
          <w:tcPr>
            <w:tcW w:w="851"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val="en-US" w:eastAsia="zh-CN"/>
              </w:rPr>
              <w:t>2</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p>
        </w:tc>
      </w:tr>
      <w:bookmarkEnd w:id="8"/>
    </w:tbl>
    <w:p>
      <w:pPr>
        <w:spacing w:line="440" w:lineRule="exact"/>
        <w:ind w:firstLine="462" w:firstLineChars="200"/>
        <w:rPr>
          <w:rFonts w:ascii="宋体" w:hAnsi="宋体" w:eastAsia="宋体" w:cs="Times New Roman"/>
          <w:kern w:val="0"/>
          <w:sz w:val="24"/>
          <w:szCs w:val="24"/>
        </w:rPr>
      </w:pPr>
      <w:r>
        <w:rPr>
          <w:rFonts w:hint="eastAsia" w:cs="Times New Roman" w:asciiTheme="minorEastAsia" w:hAnsiTheme="minorEastAsia"/>
          <w:kern w:val="0"/>
          <w:sz w:val="24"/>
          <w:szCs w:val="24"/>
          <w:lang w:val="zh-CN"/>
        </w:rPr>
        <w:t>注：关键重要技术指标参数以</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标记</w:t>
      </w:r>
      <w:r>
        <w:rPr>
          <w:rFonts w:hint="eastAsia" w:ascii="宋体" w:hAnsi="宋体" w:eastAsia="宋体" w:cs="Times New Roman"/>
          <w:kern w:val="0"/>
          <w:sz w:val="24"/>
          <w:szCs w:val="24"/>
          <w:lang w:val="zh-CN"/>
        </w:rPr>
        <w:t>（有1项不满足即按无效报价处理），</w:t>
      </w:r>
      <w:r>
        <w:rPr>
          <w:rFonts w:hint="eastAsia" w:cs="Times New Roman" w:asciiTheme="minorEastAsia" w:hAnsiTheme="minorEastAsia"/>
          <w:kern w:val="0"/>
          <w:sz w:val="24"/>
          <w:szCs w:val="24"/>
          <w:lang w:val="zh-CN"/>
        </w:rPr>
        <w:t>重要指标参数以▲标记，一般技术指标参数不作标记。</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二、商务要求</w:t>
      </w:r>
    </w:p>
    <w:p>
      <w:pPr>
        <w:adjustRightInd w:val="0"/>
        <w:snapToGrid w:val="0"/>
        <w:spacing w:line="440" w:lineRule="exact"/>
        <w:ind w:firstLine="462" w:firstLineChars="200"/>
        <w:rPr>
          <w:rFonts w:cs="Times New Roman" w:asciiTheme="minorEastAsia" w:hAnsiTheme="minorEastAsia"/>
          <w:kern w:val="0"/>
          <w:sz w:val="24"/>
          <w:szCs w:val="24"/>
          <w:u w:val="single"/>
          <w:lang w:val="zh-CN"/>
        </w:rPr>
      </w:pPr>
      <w:r>
        <w:rPr>
          <w:rFonts w:hint="eastAsia" w:ascii="宋体" w:hAnsi="宋体" w:eastAsia="宋体" w:cs="Times New Roman"/>
          <w:kern w:val="0"/>
          <w:sz w:val="24"/>
          <w:szCs w:val="24"/>
          <w:lang w:val="zh-CN"/>
        </w:rPr>
        <w:t>（一）</w:t>
      </w:r>
      <w:r>
        <w:rPr>
          <w:rFonts w:hint="eastAsia" w:cs="Times New Roman" w:asciiTheme="minorEastAsia" w:hAnsiTheme="minorEastAsia"/>
          <w:kern w:val="0"/>
          <w:sz w:val="24"/>
          <w:szCs w:val="24"/>
          <w:lang w:val="zh-CN"/>
        </w:rPr>
        <w:t>交货时间：</w:t>
      </w:r>
      <w:r>
        <w:rPr>
          <w:rFonts w:hint="eastAsia" w:cs="Times New Roman" w:asciiTheme="minorEastAsia" w:hAnsiTheme="minorEastAsia"/>
          <w:kern w:val="0"/>
          <w:sz w:val="24"/>
          <w:szCs w:val="24"/>
          <w:u w:val="single"/>
        </w:rPr>
        <w:t>在采购合同签订后90个日历日</w:t>
      </w:r>
      <w:r>
        <w:rPr>
          <w:rFonts w:cs="Times New Roman" w:asciiTheme="minorEastAsia" w:hAnsiTheme="minorEastAsia"/>
          <w:kern w:val="0"/>
          <w:sz w:val="24"/>
          <w:szCs w:val="24"/>
          <w:u w:val="single"/>
        </w:rPr>
        <w:t>内</w:t>
      </w:r>
    </w:p>
    <w:p>
      <w:pPr>
        <w:adjustRightInd w:val="0"/>
        <w:snapToGrid w:val="0"/>
        <w:spacing w:line="440" w:lineRule="exact"/>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重庆市（指定地点）                    </w:t>
      </w:r>
    </w:p>
    <w:p>
      <w:pPr>
        <w:adjustRightInd w:val="0"/>
        <w:snapToGrid w:val="0"/>
        <w:spacing w:line="440" w:lineRule="exact"/>
        <w:ind w:firstLine="1141" w:firstLineChars="494"/>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rPr>
        <w:t>按计划送至需方指定地点且安装调试合格</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（二）售后服务</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 保修期：自验收合格之日起，整机免费保修期</w:t>
      </w:r>
      <w:r>
        <w:rPr>
          <w:rFonts w:hint="eastAsia" w:cs="Times New Roman" w:asciiTheme="minorEastAsia" w:hAnsiTheme="minorEastAsia"/>
          <w:kern w:val="0"/>
          <w:sz w:val="24"/>
          <w:szCs w:val="24"/>
          <w:u w:val="single"/>
          <w:lang w:val="zh-CN"/>
        </w:rPr>
        <w:t xml:space="preserve">  3  </w:t>
      </w:r>
      <w:r>
        <w:rPr>
          <w:rFonts w:hint="eastAsia" w:cs="Times New Roman" w:asciiTheme="minorEastAsia" w:hAnsiTheme="minorEastAsia"/>
          <w:kern w:val="0"/>
          <w:sz w:val="24"/>
          <w:szCs w:val="24"/>
          <w:lang w:val="zh-CN"/>
        </w:rPr>
        <w:t>年（报价供应商可提供更优免费保修年限）。</w:t>
      </w:r>
      <w:r>
        <w:rPr>
          <w:rFonts w:cs="Times New Roman" w:asciiTheme="minorEastAsia" w:hAnsiTheme="minorEastAsia"/>
          <w:kern w:val="0"/>
          <w:sz w:val="24"/>
          <w:szCs w:val="24"/>
        </w:rPr>
        <w:t>在</w:t>
      </w:r>
      <w:r>
        <w:rPr>
          <w:rFonts w:hint="eastAsia" w:cs="Times New Roman" w:asciiTheme="minorEastAsia" w:hAnsiTheme="minorEastAsia"/>
          <w:kern w:val="0"/>
          <w:sz w:val="24"/>
          <w:szCs w:val="24"/>
        </w:rPr>
        <w:t>保修期内，除消耗品和人为损坏外，一切均免费维修和维护。</w:t>
      </w:r>
      <w:r>
        <w:rPr>
          <w:rFonts w:hint="eastAsia" w:cs="Times New Roman" w:asciiTheme="minorEastAsia" w:hAnsiTheme="minorEastAsia"/>
          <w:kern w:val="0"/>
          <w:sz w:val="24"/>
          <w:szCs w:val="24"/>
          <w:lang w:val="zh-CN"/>
        </w:rPr>
        <w:t>整机免费保修期</w:t>
      </w:r>
      <w:r>
        <w:rPr>
          <w:rFonts w:hint="eastAsia" w:cs="Times New Roman" w:asciiTheme="minorEastAsia" w:hAnsiTheme="minorEastAsia"/>
          <w:kern w:val="0"/>
          <w:sz w:val="24"/>
          <w:szCs w:val="24"/>
        </w:rPr>
        <w:t>外，提供终身维修等技术服务保障承诺（因产品或配件停产等导致设备无法维修的原因除外）</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2.</w:t>
      </w:r>
      <w:r>
        <w:rPr>
          <w:rFonts w:hint="eastAsia" w:cs="Times New Roman" w:asciiTheme="minorEastAsia" w:hAnsiTheme="minorEastAsia"/>
          <w:kern w:val="0"/>
          <w:sz w:val="24"/>
          <w:szCs w:val="24"/>
        </w:rPr>
        <w:t>响应时间：接到用户报修通知响应时间：</w:t>
      </w:r>
      <w:r>
        <w:rPr>
          <w:rFonts w:hint="eastAsia" w:cs="Times New Roman" w:asciiTheme="minorEastAsia" w:hAnsiTheme="minorEastAsia"/>
          <w:kern w:val="0"/>
          <w:sz w:val="24"/>
          <w:szCs w:val="24"/>
          <w:u w:val="single"/>
        </w:rPr>
        <w:t xml:space="preserve"> 4 </w:t>
      </w:r>
      <w:r>
        <w:rPr>
          <w:rFonts w:hint="eastAsia" w:cs="Times New Roman" w:asciiTheme="minorEastAsia" w:hAnsiTheme="minorEastAsia"/>
          <w:kern w:val="0"/>
          <w:sz w:val="24"/>
          <w:szCs w:val="24"/>
        </w:rPr>
        <w:t>小时以内。本地到现场时间：</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节假日照常服务)。外地到现场时间：</w:t>
      </w:r>
      <w:r>
        <w:rPr>
          <w:rFonts w:hint="eastAsia" w:cs="Times New Roman" w:asciiTheme="minorEastAsia" w:hAnsiTheme="minorEastAsia"/>
          <w:kern w:val="0"/>
          <w:sz w:val="24"/>
          <w:szCs w:val="24"/>
          <w:u w:val="single"/>
        </w:rPr>
        <w:t xml:space="preserve"> 24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w:t>
      </w:r>
    </w:p>
    <w:p>
      <w:pPr>
        <w:adjustRightInd w:val="0"/>
        <w:snapToGrid w:val="0"/>
        <w:spacing w:line="440" w:lineRule="exact"/>
        <w:ind w:firstLine="462" w:firstLineChars="200"/>
        <w:rPr>
          <w:rFonts w:cs="Arial" w:asciiTheme="minorEastAsia" w:hAnsiTheme="minorEastAsia"/>
          <w:sz w:val="24"/>
          <w:szCs w:val="24"/>
        </w:rPr>
      </w:pPr>
      <w:r>
        <w:rPr>
          <w:rFonts w:hint="eastAsia" w:cs="Times New Roman" w:asciiTheme="minorEastAsia" w:hAnsiTheme="minorEastAsia"/>
          <w:kern w:val="0"/>
          <w:sz w:val="24"/>
          <w:szCs w:val="24"/>
          <w:lang w:val="zh-CN"/>
        </w:rPr>
        <w:t>3.</w:t>
      </w:r>
      <w:r>
        <w:rPr>
          <w:rFonts w:cs="Arial" w:asciiTheme="minorEastAsia" w:hAnsiTheme="minorEastAsia"/>
          <w:sz w:val="24"/>
          <w:szCs w:val="24"/>
        </w:rPr>
        <w:t>保修期内的开机率：保证开机率</w:t>
      </w:r>
      <w:r>
        <w:rPr>
          <w:rFonts w:cs="Arial" w:asciiTheme="minorEastAsia" w:hAnsiTheme="minorEastAsia"/>
          <w:sz w:val="24"/>
          <w:szCs w:val="24"/>
          <w:u w:val="single"/>
        </w:rPr>
        <w:t>95%</w:t>
      </w:r>
      <w:r>
        <w:rPr>
          <w:rFonts w:cs="Arial" w:asciiTheme="minorEastAsia" w:hAnsiTheme="minorEastAsia"/>
          <w:sz w:val="24"/>
          <w:szCs w:val="24"/>
        </w:rPr>
        <w:t>（按一年365天计算）</w:t>
      </w:r>
      <w:r>
        <w:rPr>
          <w:rFonts w:hint="eastAsia" w:cs="Arial" w:asciiTheme="minorEastAsia" w:hAnsiTheme="minorEastAsia"/>
          <w:sz w:val="24"/>
          <w:szCs w:val="24"/>
        </w:rPr>
        <w:t>。</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4.保外维修人工费免费（含交通、住宿、维修工时等）</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5.软件升级：终身免费升级</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6.凡涉及与我院HIS、LIS、PACS、电生理系统、病理信息系统等系统连接的设备，要求具有标准数字接口，若产品没有匹配的接口，由成交供应商负责改造并承担相应费用。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7.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hint="eastAsia" w:asciiTheme="minorEastAsia" w:hAnsiTheme="minorEastAsia"/>
          <w:sz w:val="24"/>
          <w:szCs w:val="24"/>
        </w:rPr>
        <w:t>按国际标准或经双方协商认可的标准、合同要求及技术协议执行。</w:t>
      </w:r>
      <w:r>
        <w:rPr>
          <w:rFonts w:hint="eastAsia" w:cs="Arial" w:asciiTheme="minorEastAsia" w:hAnsiTheme="minorEastAsia"/>
          <w:sz w:val="24"/>
          <w:szCs w:val="24"/>
        </w:rPr>
        <w:t>仪器技术指标经验收合格后，出具验收报告并正式交付用户使用。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8.</w:t>
      </w:r>
      <w:r>
        <w:rPr>
          <w:rFonts w:hint="eastAsia" w:asciiTheme="minorEastAsia" w:hAnsiTheme="minorEastAsia"/>
          <w:sz w:val="24"/>
          <w:szCs w:val="24"/>
        </w:rPr>
        <w:t xml:space="preserve"> 包装和运输：卖方负责设备的包装和运输。包装必须坚固，能适用远距离的海运、空运及气候的变化，并能适应中国境内铁路、公路运输。</w:t>
      </w:r>
    </w:p>
    <w:p>
      <w:pPr>
        <w:spacing w:line="440" w:lineRule="exact"/>
        <w:ind w:firstLine="462" w:firstLineChars="200"/>
        <w:rPr>
          <w:rFonts w:ascii="宋体" w:hAnsi="宋体" w:eastAsia="宋体" w:cs="Times New Roman"/>
          <w:kern w:val="0"/>
          <w:sz w:val="24"/>
          <w:szCs w:val="24"/>
          <w:lang w:val="zh-CN"/>
        </w:rPr>
      </w:pPr>
      <w:r>
        <w:rPr>
          <w:rFonts w:hint="eastAsia" w:cs="Arial" w:asciiTheme="minorEastAsia" w:hAnsiTheme="minorEastAsia"/>
          <w:sz w:val="24"/>
          <w:szCs w:val="24"/>
        </w:rPr>
        <w:t>9.若此次谈判设备需配套使用耗材（试剂），耗材（试剂）需要一并进行报价，视情纳入计算经济分</w:t>
      </w:r>
      <w:r>
        <w:rPr>
          <w:rFonts w:hint="eastAsia" w:ascii="宋体" w:hAnsi="宋体" w:eastAsia="宋体" w:cs="Times New Roman"/>
          <w:kern w:val="0"/>
          <w:sz w:val="24"/>
          <w:szCs w:val="24"/>
          <w:lang w:val="zh-CN"/>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★（三）</w:t>
      </w:r>
      <w:r>
        <w:rPr>
          <w:rFonts w:hint="eastAsia" w:ascii="宋体" w:hAnsi="宋体" w:eastAsia="宋体" w:cs="Times New Roman"/>
          <w:kern w:val="0"/>
          <w:sz w:val="24"/>
          <w:szCs w:val="24"/>
        </w:rPr>
        <w:t>专利权和保密要求</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报价方应保证使用方在使用该货物或其任何一部分时，不受第三方侵权指控。同时，报价方保证不向第三方泄露采购机构提供的技术文件等资料。</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（四）现场勘查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1.本项目不组织现场勘查。</w:t>
      </w:r>
    </w:p>
    <w:p>
      <w:pPr>
        <w:spacing w:line="440" w:lineRule="exact"/>
        <w:ind w:firstLine="462" w:firstLineChars="200"/>
        <w:rPr>
          <w:rFonts w:ascii="宋体" w:hAnsi="宋体" w:eastAsia="宋体" w:cs="Times New Roman"/>
          <w:kern w:val="0"/>
          <w:sz w:val="24"/>
          <w:szCs w:val="24"/>
          <w:lang w:val="zh-CN"/>
        </w:rPr>
      </w:pPr>
    </w:p>
    <w:p>
      <w:pPr>
        <w:spacing w:line="440" w:lineRule="exact"/>
        <w:ind w:firstLine="462" w:firstLineChars="200"/>
        <w:rPr>
          <w:rFonts w:ascii="宋体" w:hAnsi="宋体" w:eastAsia="宋体" w:cs="Times New Roman"/>
          <w:b/>
          <w:kern w:val="0"/>
          <w:sz w:val="24"/>
          <w:szCs w:val="24"/>
        </w:rPr>
        <w:sectPr>
          <w:headerReference r:id="rId5" w:type="default"/>
          <w:footerReference r:id="rId6" w:type="default"/>
          <w:pgSz w:w="11906" w:h="16838"/>
          <w:pgMar w:top="2098" w:right="1474" w:bottom="1985" w:left="1588" w:header="851" w:footer="851" w:gutter="0"/>
          <w:cols w:space="425" w:num="1"/>
          <w:docGrid w:type="linesAndChars" w:linePitch="579" w:charSpace="-1844"/>
        </w:sectPr>
      </w:pPr>
    </w:p>
    <w:p>
      <w:pPr>
        <w:pStyle w:val="2"/>
        <w:adjustRightInd w:val="0"/>
        <w:snapToGrid w:val="0"/>
        <w:spacing w:line="360" w:lineRule="atLeast"/>
        <w:jc w:val="center"/>
        <w:rPr>
          <w:rFonts w:ascii="黑体" w:hAnsi="黑体" w:eastAsia="黑体"/>
          <w:kern w:val="0"/>
          <w:sz w:val="32"/>
          <w:szCs w:val="32"/>
        </w:rPr>
      </w:pPr>
      <w:bookmarkStart w:id="9" w:name="_Toc285612601"/>
      <w:bookmarkStart w:id="10" w:name="_Toc37780285"/>
      <w:bookmarkStart w:id="11" w:name="_Toc240432230"/>
      <w:bookmarkStart w:id="12" w:name="_Toc390713968"/>
      <w:bookmarkStart w:id="13" w:name="_Toc435540980"/>
      <w:r>
        <w:rPr>
          <w:rFonts w:hint="eastAsia" w:ascii="黑体" w:hAnsi="黑体" w:eastAsia="黑体"/>
          <w:kern w:val="0"/>
          <w:sz w:val="32"/>
          <w:szCs w:val="32"/>
        </w:rPr>
        <w:t xml:space="preserve">第三部分  </w:t>
      </w:r>
      <w:r>
        <w:rPr>
          <w:rFonts w:hint="eastAsia" w:ascii="黑体" w:hAnsi="黑体" w:eastAsia="黑体"/>
          <w:kern w:val="0"/>
          <w:sz w:val="32"/>
          <w:szCs w:val="32"/>
          <w:lang w:val="zh-CN"/>
        </w:rPr>
        <w:t>报价方</w:t>
      </w:r>
      <w:r>
        <w:rPr>
          <w:rFonts w:hint="eastAsia" w:ascii="黑体" w:hAnsi="黑体" w:eastAsia="黑体"/>
          <w:kern w:val="0"/>
          <w:sz w:val="32"/>
          <w:szCs w:val="32"/>
        </w:rPr>
        <w:t>须知</w:t>
      </w:r>
      <w:bookmarkEnd w:id="9"/>
      <w:bookmarkEnd w:id="10"/>
      <w:bookmarkEnd w:id="11"/>
      <w:bookmarkEnd w:id="12"/>
      <w:bookmarkEnd w:id="13"/>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jc w:val="center"/>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说明</w:t>
      </w:r>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（一）概述</w:t>
      </w:r>
    </w:p>
    <w:p>
      <w:pPr>
        <w:autoSpaceDE w:val="0"/>
        <w:autoSpaceDN w:val="0"/>
        <w:spacing w:line="360" w:lineRule="atLeas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snapToGrid w:val="0"/>
          <w:kern w:val="0"/>
          <w:sz w:val="24"/>
          <w:szCs w:val="24"/>
          <w:lang w:val="zh-CN"/>
        </w:rPr>
        <w:t>本谈判文件仅适用于《采购公告》中所述采购项目的谈判采购；</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2.参与谈判的所有各方，对在参与谈判过程中获悉的国家和军队商业、技术秘密以及其它依法应当保密的内容，均负有保密义务，违者应对由此造成的后果承担全部法律责任。</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（二）定义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1.“采购项目”系指本谈判文件里描述的所需采购的货物和相关服务；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2.“采购机构”系指组织本次谈判的</w:t>
      </w:r>
      <w:r>
        <w:rPr>
          <w:rFonts w:hint="eastAsia" w:ascii="宋体" w:hAnsi="宋体" w:eastAsia="宋体" w:cs="Times New Roman"/>
          <w:snapToGrid w:val="0"/>
          <w:kern w:val="0"/>
          <w:sz w:val="24"/>
          <w:szCs w:val="24"/>
          <w:u w:val="single"/>
          <w:lang w:val="zh-CN"/>
        </w:rPr>
        <w:t xml:space="preserve">  物资采购中心  </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3.“报价方”系指从采购机构按规定获取谈判文件，并提交报价文件的供应商；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4.“成交供应商”系指经过谈判评审，确定成交的报价方；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5.“货物”系指成交供应商按谈判文件规定，所提供的各种形态和种类的物品，包括设备、产品、备品备件、工具、手册等；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6.“服务”系指成交供应商按谈判文件规定，必须承担的运输、安装、调试、技术协助、培训、维修、配件供应等义务。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（三）合格的报价方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1.能够遵守国家和军队的有关法律、法规和本次谈判的有关规定；</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2.符合《采购公告》所述报价人的资格要求和特定资格条件，并有供货能力的供应商；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3.能够承担谈判报价及合同履约中应承担的全部责任与义务。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（四）合格的货物和相关服务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2.报价方提供的货物必须是全新的、未使用过的，货物和相关服务应当符合谈判文件的要求，并且其质量完全符合国家标准、军用标准或行业标准。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（五）报价委托</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如报价方代表不是法定代表人，须持有《法定代表人授权书》（</w:t>
      </w:r>
      <w:r>
        <w:rPr>
          <w:rFonts w:hint="eastAsia" w:ascii="宋体" w:hAnsi="宋体" w:eastAsia="宋体" w:cs="Times New Roman"/>
          <w:kern w:val="0"/>
          <w:sz w:val="24"/>
          <w:szCs w:val="24"/>
          <w:lang w:val="zh-CN"/>
        </w:rPr>
        <w:t>附件13</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（六）付款及结算方式</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ascii="宋体" w:hAnsi="宋体" w:eastAsia="宋体" w:cs="Times New Roman"/>
          <w:kern w:val="0"/>
          <w:sz w:val="24"/>
          <w:szCs w:val="24"/>
          <w:lang w:val="zh-CN"/>
        </w:rPr>
        <w:t>1.</w:t>
      </w:r>
      <w:r>
        <w:rPr>
          <w:rFonts w:hint="eastAsia" w:cs="Times New Roman" w:asciiTheme="minorEastAsia" w:hAnsiTheme="minorEastAsia"/>
          <w:kern w:val="0"/>
          <w:sz w:val="24"/>
          <w:szCs w:val="24"/>
          <w:lang w:val="zh-CN"/>
        </w:rPr>
        <w:t xml:space="preserve"> 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cs="Times New Roman" w:asciiTheme="minorEastAsia" w:hAnsiTheme="minorEastAsia"/>
          <w:kern w:val="0"/>
          <w:sz w:val="24"/>
          <w:szCs w:val="24"/>
          <w:lang w:val="zh-CN"/>
        </w:rPr>
        <w:t>2.</w:t>
      </w:r>
      <w:r>
        <w:rPr>
          <w:rFonts w:hint="eastAsia" w:cs="Times New Roman" w:asciiTheme="minorEastAsia" w:hAnsiTheme="minorEastAsia"/>
          <w:kern w:val="0"/>
          <w:sz w:val="24"/>
          <w:szCs w:val="24"/>
        </w:rPr>
        <w:t>付款条件原则上为</w:t>
      </w:r>
      <w:r>
        <w:rPr>
          <w:rFonts w:hint="eastAsia" w:cs="Times New Roman" w:asciiTheme="minorEastAsia" w:hAnsiTheme="minorEastAsia"/>
          <w:kern w:val="0"/>
          <w:sz w:val="24"/>
          <w:szCs w:val="24"/>
          <w:u w:val="single"/>
        </w:rPr>
        <w:t xml:space="preserve"> 合同总金额5万元以下验收合格后付100%；合同总金额5万元（含）以上验收合格后付95%，验收合格满1年付5%  </w:t>
      </w:r>
      <w:r>
        <w:rPr>
          <w:rFonts w:hint="eastAsia" w:cs="Times New Roman" w:asciiTheme="minorEastAsia" w:hAnsiTheme="minorEastAsia"/>
          <w:kern w:val="0"/>
          <w:sz w:val="24"/>
          <w:szCs w:val="24"/>
        </w:rPr>
        <w:t>。报价供应商也可列出更优惠的付款方式</w:t>
      </w:r>
      <w:r>
        <w:rPr>
          <w:rFonts w:hint="eastAsia" w:ascii="宋体" w:hAnsi="宋体" w:eastAsia="宋体" w:cs="Times New Roman"/>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（七）谈判报价费用</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不论谈判报价结果如何，报价方均应自行承担与谈判报价有关的全部费用。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（八）信息发布</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本采购项目需要公开的有关信息，采购机构均</w:t>
      </w:r>
      <w:r>
        <w:rPr>
          <w:rFonts w:hint="eastAsia" w:cs="Times New Roman" w:asciiTheme="minorEastAsia" w:hAnsiTheme="minorEastAsia"/>
          <w:snapToGrid w:val="0"/>
          <w:kern w:val="0"/>
          <w:sz w:val="24"/>
          <w:szCs w:val="24"/>
          <w:lang w:val="zh-CN"/>
        </w:rPr>
        <w:t>通过中国政府采购网（www.ccgp.gov.cn）及我院官网</w:t>
      </w:r>
      <w:r>
        <w:rPr>
          <w:rFonts w:hint="eastAsia" w:cs="Times New Roman" w:asciiTheme="minorEastAsia" w:hAnsiTheme="minorEastAsia"/>
          <w:snapToGrid w:val="0"/>
          <w:kern w:val="0"/>
          <w:sz w:val="24"/>
          <w:szCs w:val="24"/>
        </w:rPr>
        <w:t>（www.xnyy.cn）</w:t>
      </w:r>
      <w:r>
        <w:rPr>
          <w:rFonts w:hint="eastAsia" w:cs="Times New Roman" w:asciiTheme="minorEastAsia" w:hAnsiTheme="minorEastAsia"/>
          <w:snapToGrid w:val="0"/>
          <w:kern w:val="0"/>
          <w:sz w:val="24"/>
          <w:szCs w:val="24"/>
          <w:lang w:val="zh-CN"/>
        </w:rPr>
        <w:t>公开发布</w:t>
      </w:r>
      <w:r>
        <w:rPr>
          <w:rFonts w:hint="eastAsia" w:ascii="宋体" w:hAnsi="宋体" w:eastAsia="宋体" w:cs="Times New Roman"/>
          <w:kern w:val="0"/>
          <w:sz w:val="24"/>
          <w:szCs w:val="24"/>
          <w:lang w:val="zh-CN"/>
        </w:rPr>
        <w:t>。报价方在参与本采购项目谈判报价活动期间，请及时关注以上媒体上的相关信息，报价方因没有及时关注而未能如期获取相关信息，将会增加报价风险，采购机构对此不承担任何责任。</w:t>
      </w:r>
    </w:p>
    <w:p>
      <w:pPr>
        <w:autoSpaceDE w:val="0"/>
        <w:autoSpaceDN w:val="0"/>
        <w:spacing w:line="440" w:lineRule="exact"/>
        <w:ind w:firstLine="462" w:firstLineChars="200"/>
        <w:rPr>
          <w:rFonts w:ascii="宋体" w:hAnsi="宋体" w:eastAsia="宋体" w:cs="Times New Roman"/>
          <w:kern w:val="0"/>
          <w:sz w:val="24"/>
          <w:szCs w:val="24"/>
          <w:lang w:val="zh-CN"/>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二、谈判</w:t>
      </w:r>
      <w:r>
        <w:rPr>
          <w:rFonts w:ascii="宋体" w:hAnsi="宋体" w:eastAsia="宋体" w:cs="Times New Roman"/>
          <w:kern w:val="0"/>
          <w:sz w:val="24"/>
          <w:szCs w:val="24"/>
        </w:rPr>
        <w:t>文件</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（一）谈判文件的内容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谈判文件由采购公告、采购项目技术和商务要求、报价方须知、合同样本、附件/报价文件格式等内容构成。</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谈判文件以中文编写。纸质谈判文件与电子版谈判文件具有同等法律效力，两者出现不一致时，以纸质谈判文件为准。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（二）谈判文件的澄清</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对谈判文件如有疑问要求澄清，应当在谈判开始3日前以书面形式通知采购机构，采购机构应当视情以适当方式予以澄清，或以书面形式答复。如有必要，在不标明问题查询来源的情况下，采购机构可将答复内容以书面形式通知所有报价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（三）谈判文件的修改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1.报价截止时间前，采购机构可对已发出的谈判文件进行修改。谈判文件修改内容是谈判文件的组成部分。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谈判文件的修改内容可能影响报价文件编制的，采购机构将在报价截止时间至少3日前，以书面形式通知所有购买谈判文件的报价方，并对报价方具有约束力。报价方在收到上述通知后，应立即以书面形式向采购机构确认。</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3.为使报价方有足够时间修改报价文件，采购机构可酌情推迟报价文件提交截止时间和谈判时间，并在报价文件提交截止时间3日前以书面形式通知所有报价方。</w:t>
      </w:r>
    </w:p>
    <w:p>
      <w:pPr>
        <w:spacing w:line="440" w:lineRule="exact"/>
        <w:ind w:firstLine="462" w:firstLineChars="200"/>
        <w:rPr>
          <w:rFonts w:ascii="宋体" w:hAnsi="宋体" w:eastAsia="宋体" w:cs="Times New Roman"/>
          <w:snapToGrid w:val="0"/>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报价文件编制</w:t>
      </w:r>
    </w:p>
    <w:p>
      <w:pPr>
        <w:spacing w:line="440" w:lineRule="exact"/>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（一）注意事项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报价方应仔细阅读谈判文件，在完全了解全部内容后，依法真实编制报价文件。如果没有按照谈判文件要求提交全部报价文件或者资料，没有对谈判文件实质性响应，可能导致报价被拒绝。</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（二）报价文件的语言及计量单位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1.报价文件和来往信函均以中文书写。确有需要时，相关内容可以使用其他语言书写，但必须同时提供中文译文，以中文译文为准。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2.报价文件中所使用的计量单位，除谈判文件中有特殊要求外，均采用国家法定计量单位。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（三）报价文件组成：</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(1)报价函（附件1）</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(2)报价一览表（附件2）</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hint="eastAsia" w:cs="Times New Roman" w:asciiTheme="minorEastAsia" w:hAnsiTheme="minorEastAsia"/>
          <w:snapToGrid w:val="0"/>
          <w:kern w:val="0"/>
          <w:sz w:val="24"/>
          <w:szCs w:val="24"/>
        </w:rPr>
        <w:t>分项报价表</w:t>
      </w:r>
      <w:r>
        <w:rPr>
          <w:rFonts w:hint="eastAsia" w:ascii="宋体" w:hAnsi="宋体" w:eastAsia="宋体" w:cs="Times New Roman"/>
          <w:kern w:val="0"/>
          <w:sz w:val="24"/>
          <w:szCs w:val="24"/>
        </w:rPr>
        <w:t>（附件3）</w:t>
      </w:r>
    </w:p>
    <w:p>
      <w:pPr>
        <w:spacing w:line="440" w:lineRule="exact"/>
        <w:ind w:firstLine="339" w:firstLineChars="147"/>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 xml:space="preserve"> (4)主要技术性能参数表（附件4）</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(5)技术指标参数响应偏离表（附件5）</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(6)主要商务条款响应偏离表（附件6）</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(7)交货清单（附件7）</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(8)</w:t>
      </w:r>
      <w:r>
        <w:rPr>
          <w:rFonts w:hint="eastAsia" w:ascii="宋体" w:hAnsi="宋体" w:eastAsia="宋体" w:cs="Times New Roman"/>
          <w:kern w:val="0"/>
          <w:sz w:val="24"/>
          <w:szCs w:val="24"/>
        </w:rPr>
        <w:t>易损易耗件清单（附件8）</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w:t>
      </w:r>
      <w:r>
        <w:rPr>
          <w:rFonts w:hint="eastAsia" w:cs="Times New Roman" w:asciiTheme="minorEastAsia" w:hAnsiTheme="minorEastAsia"/>
          <w:kern w:val="0"/>
          <w:sz w:val="24"/>
          <w:szCs w:val="24"/>
        </w:rPr>
        <w:t>专机配套耗材（试剂）明细表（附件9）</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w:t>
      </w:r>
      <w:r>
        <w:rPr>
          <w:rFonts w:hint="eastAsia" w:cs="Times New Roman" w:asciiTheme="minorEastAsia" w:hAnsiTheme="minorEastAsia"/>
          <w:kern w:val="0"/>
          <w:sz w:val="24"/>
          <w:szCs w:val="24"/>
        </w:rPr>
        <w:t>报价方售后服务承诺</w:t>
      </w:r>
      <w:r>
        <w:rPr>
          <w:rFonts w:hint="eastAsia" w:ascii="宋体" w:hAnsi="宋体" w:eastAsia="宋体" w:cs="Times New Roman"/>
          <w:kern w:val="0"/>
          <w:sz w:val="24"/>
          <w:szCs w:val="24"/>
        </w:rPr>
        <w:t>（附件10）</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w:t>
      </w:r>
      <w:r>
        <w:rPr>
          <w:rFonts w:hint="eastAsia" w:cs="Times New Roman" w:asciiTheme="minorEastAsia" w:hAnsiTheme="minorEastAsia"/>
          <w:snapToGrid w:val="0"/>
          <w:kern w:val="0"/>
          <w:sz w:val="24"/>
          <w:szCs w:val="24"/>
          <w:lang w:val="zh-CN"/>
        </w:rPr>
        <w:t>近3年成交案例及同类项目案例</w:t>
      </w:r>
      <w:r>
        <w:rPr>
          <w:rFonts w:hint="eastAsia" w:ascii="宋体" w:hAnsi="宋体" w:eastAsia="宋体" w:cs="Times New Roman"/>
          <w:kern w:val="0"/>
          <w:sz w:val="24"/>
          <w:szCs w:val="24"/>
        </w:rPr>
        <w:t>（附件11）</w:t>
      </w:r>
    </w:p>
    <w:p>
      <w:pPr>
        <w:spacing w:line="440" w:lineRule="exact"/>
        <w:ind w:firstLine="339" w:firstLineChars="147"/>
        <w:rPr>
          <w:rFonts w:cs="Times New Roman" w:asciiTheme="minorEastAsia" w:hAnsiTheme="minorEastAsia"/>
          <w:kern w:val="0"/>
          <w:sz w:val="24"/>
          <w:szCs w:val="24"/>
        </w:rPr>
      </w:pPr>
      <w:r>
        <w:rPr>
          <w:rFonts w:hint="eastAsia" w:ascii="宋体" w:hAnsi="宋体" w:eastAsia="宋体" w:cs="Times New Roman"/>
          <w:kern w:val="0"/>
          <w:sz w:val="24"/>
          <w:szCs w:val="24"/>
        </w:rPr>
        <w:t xml:space="preserve"> (12)</w:t>
      </w:r>
      <w:r>
        <w:rPr>
          <w:rFonts w:hint="eastAsia" w:cs="Times New Roman" w:asciiTheme="minorEastAsia" w:hAnsiTheme="minorEastAsia"/>
          <w:kern w:val="0"/>
          <w:sz w:val="24"/>
          <w:szCs w:val="24"/>
        </w:rPr>
        <w:t xml:space="preserve"> 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 法定代表人资格证明书（含法定代表人身份证复印件）（原件，附件12）</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 法定代表人授权书（含被授权人身份证复印件）（原件，如法定代表人未到现场需提供，附件13）</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 保密承诺书（附件14）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w:t>
      </w:r>
      <w:r>
        <w:rPr>
          <w:rFonts w:hint="eastAsia" w:cs="Times New Roman" w:asciiTheme="minorEastAsia" w:hAnsiTheme="minorEastAsia"/>
          <w:snapToGrid w:val="0"/>
          <w:kern w:val="0"/>
          <w:sz w:val="24"/>
          <w:szCs w:val="24"/>
          <w:lang w:val="zh-CN"/>
        </w:rPr>
        <w:t xml:space="preserve"> 廉洁诚信承诺书</w:t>
      </w:r>
      <w:r>
        <w:rPr>
          <w:rFonts w:hint="eastAsia" w:cs="Times New Roman" w:asciiTheme="minorEastAsia" w:hAnsiTheme="minorEastAsia"/>
          <w:kern w:val="0"/>
          <w:sz w:val="24"/>
          <w:szCs w:val="24"/>
        </w:rPr>
        <w:t>（附件15）</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(17)</w:t>
      </w:r>
      <w:r>
        <w:rPr>
          <w:rFonts w:hint="eastAsia" w:cs="Times New Roman" w:asciiTheme="minorEastAsia" w:hAnsiTheme="minorEastAsia"/>
          <w:kern w:val="0"/>
          <w:sz w:val="24"/>
          <w:szCs w:val="24"/>
        </w:rPr>
        <w:t xml:space="preserve"> 相关声明书（包含但不限于以下内容）：①非外资企业或外资控股企业的书面声明；②参加本次采购活动前3年内在经营活动中没有重大违法记录的书面声明；</w:t>
      </w:r>
      <w:r>
        <w:rPr>
          <w:rFonts w:hint="eastAsia" w:ascii="宋体" w:hAnsi="宋体" w:eastAsia="宋体" w:cs="Times New Roman"/>
          <w:kern w:val="0"/>
          <w:sz w:val="24"/>
          <w:szCs w:val="24"/>
        </w:rPr>
        <w:t>③具有独立承担民事责任的能力；④具有良好的商业信誉和健全的财务会计制度；⑤具有履行合同所必需的设备和专业技术能力；⑥有依法缴纳税收和社会保障资金的良好记录</w:t>
      </w:r>
      <w:r>
        <w:rPr>
          <w:rFonts w:hint="eastAsia" w:cs="Times New Roman" w:asciiTheme="minorEastAsia" w:hAnsiTheme="minorEastAsia"/>
          <w:kern w:val="0"/>
          <w:sz w:val="24"/>
          <w:szCs w:val="24"/>
        </w:rPr>
        <w:t>。（附件16）</w:t>
      </w:r>
    </w:p>
    <w:p>
      <w:pPr>
        <w:adjustRightInd w:val="0"/>
        <w:snapToGrid w:val="0"/>
        <w:spacing w:line="440" w:lineRule="exact"/>
        <w:ind w:firstLine="339" w:firstLineChars="147"/>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(18) 医疗器械经营许可证或二类备案凭证（需具备相应产品经营资格)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(19)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(20) 生产企业《医疗器械生产许可证》（需具备相应产品生产资格，进口产品提供国内总代理相关经营许可证）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(21) 产品《医疗器械产品注册证》（产品不属于医疗器械的无需提供）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(22) 生产企业对代理公司参与报价的授权书（进口产品需提供原产厂家对中国总代的中英文授权书复印件或同步翻译件。附件17）</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(23) 报价方认为需要加以说明的其他内容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(24)</w:t>
      </w:r>
      <w:r>
        <w:rPr>
          <w:rFonts w:hint="eastAsia" w:ascii="宋体" w:hAnsi="宋体" w:eastAsia="宋体" w:cs="Times New Roman"/>
          <w:kern w:val="0"/>
          <w:sz w:val="24"/>
          <w:szCs w:val="24"/>
        </w:rPr>
        <w:t>报价方</w:t>
      </w:r>
      <w:r>
        <w:rPr>
          <w:rFonts w:hint="eastAsia" w:cs="Times New Roman" w:asciiTheme="minorEastAsia" w:hAnsiTheme="minorEastAsia"/>
          <w:kern w:val="0"/>
          <w:sz w:val="24"/>
          <w:szCs w:val="24"/>
        </w:rPr>
        <w:t>可以选择性提供其他材料，包括但不限于产品相关检测报告、质量管理制度、质量检测机构、质量检测设备（提供设备清单和图片），以及第三方质量检测报告等与质量控制相关的证明材料及报价方拟用于履行本项目所必需的设施设备（提供图片、说明和购置发票或租赁协议）、专业技术能力、质量管理体系认证证书、环境管理体系认证证书、职业健康管理体系认证证书、3C认证、</w:t>
      </w:r>
      <w:r>
        <w:rPr>
          <w:rFonts w:hint="eastAsia" w:asciiTheme="majorEastAsia" w:hAnsiTheme="majorEastAsia" w:eastAsiaTheme="majorEastAsia"/>
          <w:sz w:val="24"/>
          <w:szCs w:val="24"/>
        </w:rPr>
        <w:t>计量器具许可证、消毒产品生产企业卫生许可和消毒卫生产品安全评价报告</w:t>
      </w:r>
      <w:r>
        <w:rPr>
          <w:rFonts w:hint="eastAsia" w:cs="Times New Roman" w:asciiTheme="minorEastAsia" w:hAnsiTheme="minorEastAsia"/>
          <w:kern w:val="0"/>
          <w:sz w:val="24"/>
          <w:szCs w:val="24"/>
        </w:rPr>
        <w:t>等相关证明材料，仅作为商务、技术评审依据，不作为资格性和符合性审查要素</w:t>
      </w:r>
    </w:p>
    <w:p>
      <w:pPr>
        <w:spacing w:line="440" w:lineRule="exact"/>
        <w:ind w:firstLine="339" w:firstLineChars="147"/>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（四）报价文件的格式规定和签署</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报价文件应当工整、规范、统一、清晰，</w:t>
      </w:r>
      <w:r>
        <w:rPr>
          <w:rFonts w:hint="eastAsia" w:ascii="宋体" w:hAnsi="宋体" w:eastAsia="宋体" w:cs="Times New Roman"/>
          <w:b/>
          <w:kern w:val="0"/>
          <w:sz w:val="24"/>
          <w:szCs w:val="24"/>
        </w:rPr>
        <w:t>采用A4幅面纸胶装成册、标注页码</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2.</w:t>
      </w:r>
      <w:r>
        <w:rPr>
          <w:rFonts w:hint="eastAsia" w:ascii="宋体" w:hAnsi="宋体" w:eastAsia="宋体" w:cs="Times New Roman"/>
          <w:kern w:val="0"/>
          <w:sz w:val="24"/>
          <w:szCs w:val="24"/>
        </w:rPr>
        <w:t>报价方应当按照谈判文件规定的统一格式填写报价文件，报价文件开始部分应当有目录，以及方便评审委员会评审使用的项目索引。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3.报价方名称应当填写全称，同时加盖公章</w:t>
      </w:r>
      <w:r>
        <w:rPr>
          <w:rFonts w:hint="eastAsia" w:ascii="宋体" w:hAnsi="宋体" w:eastAsia="宋体" w:cs="Times New Roman"/>
          <w:snapToGrid w:val="0"/>
          <w:kern w:val="0"/>
          <w:sz w:val="24"/>
          <w:szCs w:val="24"/>
        </w:rPr>
        <w:t>，</w:t>
      </w:r>
      <w:r>
        <w:rPr>
          <w:rFonts w:hint="eastAsia" w:ascii="宋体" w:hAnsi="宋体" w:eastAsia="宋体" w:cs="Times New Roman"/>
          <w:kern w:val="0"/>
          <w:sz w:val="24"/>
          <w:szCs w:val="24"/>
          <w:lang w:val="zh-CN"/>
        </w:rPr>
        <w:t>公章与</w:t>
      </w:r>
      <w:r>
        <w:rPr>
          <w:rFonts w:hint="eastAsia" w:ascii="宋体" w:hAnsi="宋体" w:eastAsia="宋体" w:cs="Times New Roman"/>
          <w:snapToGrid w:val="0"/>
          <w:kern w:val="0"/>
          <w:sz w:val="24"/>
          <w:szCs w:val="24"/>
        </w:rPr>
        <w:t>全称</w:t>
      </w:r>
      <w:r>
        <w:rPr>
          <w:rFonts w:hint="eastAsia" w:ascii="宋体" w:hAnsi="宋体" w:eastAsia="宋体" w:cs="Times New Roman"/>
          <w:kern w:val="0"/>
          <w:sz w:val="24"/>
          <w:szCs w:val="24"/>
          <w:lang w:val="zh-CN"/>
        </w:rPr>
        <w:t>相符</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4.报价文件一式</w:t>
      </w:r>
      <w:r>
        <w:rPr>
          <w:rFonts w:hint="eastAsia" w:ascii="宋体" w:hAnsi="宋体" w:eastAsia="宋体" w:cs="Times New Roman"/>
          <w:kern w:val="0"/>
          <w:sz w:val="24"/>
          <w:szCs w:val="24"/>
          <w:u w:val="single"/>
        </w:rPr>
        <w:t xml:space="preserve"> 7 </w:t>
      </w:r>
      <w:r>
        <w:rPr>
          <w:rFonts w:hint="eastAsia" w:ascii="宋体" w:hAnsi="宋体" w:eastAsia="宋体" w:cs="Times New Roman"/>
          <w:kern w:val="0"/>
          <w:sz w:val="24"/>
          <w:szCs w:val="24"/>
        </w:rPr>
        <w:t>份，其中正本1份，副本</w:t>
      </w:r>
      <w:r>
        <w:rPr>
          <w:rFonts w:hint="eastAsia" w:ascii="宋体" w:hAnsi="宋体" w:eastAsia="宋体" w:cs="Times New Roman"/>
          <w:kern w:val="0"/>
          <w:sz w:val="24"/>
          <w:szCs w:val="24"/>
          <w:u w:val="single"/>
        </w:rPr>
        <w:t xml:space="preserve"> 6 </w:t>
      </w:r>
      <w:r>
        <w:rPr>
          <w:rFonts w:hint="eastAsia" w:ascii="宋体" w:hAnsi="宋体" w:eastAsia="宋体" w:cs="Times New Roman"/>
          <w:kern w:val="0"/>
          <w:sz w:val="24"/>
          <w:szCs w:val="24"/>
        </w:rPr>
        <w:t>份。在每一份文件上要注明 “正本”或“副本”字样。</w:t>
      </w:r>
      <w:r>
        <w:rPr>
          <w:rFonts w:hint="eastAsia" w:cs="Times New Roman" w:asciiTheme="minorEastAsia" w:hAnsiTheme="minorEastAsia"/>
          <w:kern w:val="0"/>
          <w:sz w:val="24"/>
          <w:szCs w:val="24"/>
        </w:rPr>
        <w:t>如果正本与副本不符，以正本为准。</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5.报价文件必须打印或用黑色、蓝黑色墨水填写。</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6.报价文件必须由法定代表人或授权代表签署。</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7.报价文件不得随意涂改和增删。如有修改错漏之处，必须由法定代表人或授权代表签字、盖章。法定代表人签字或签章均视为有效。</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8.报价文件</w:t>
      </w:r>
      <w:r>
        <w:rPr>
          <w:rFonts w:hint="eastAsia" w:ascii="宋体" w:hAnsi="宋体" w:eastAsia="宋体" w:cs="Times New Roman"/>
          <w:kern w:val="0"/>
          <w:sz w:val="24"/>
          <w:szCs w:val="24"/>
          <w:lang w:val="zh-CN"/>
        </w:rPr>
        <w:t>因字迹潦草或表述不清以及复印件不清所引起的后果由报价方自行负责</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（五）</w:t>
      </w:r>
      <w:r>
        <w:rPr>
          <w:rFonts w:hint="eastAsia" w:ascii="宋体" w:hAnsi="宋体" w:eastAsia="宋体" w:cs="Times New Roman"/>
          <w:snapToGrid w:val="0"/>
          <w:kern w:val="0"/>
          <w:sz w:val="24"/>
          <w:szCs w:val="24"/>
        </w:rPr>
        <w:t>报价文件有效期</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报价文件自提交截止之日起</w:t>
      </w:r>
      <w:r>
        <w:rPr>
          <w:rFonts w:hint="eastAsia" w:ascii="宋体" w:hAnsi="宋体" w:eastAsia="宋体" w:cs="宋体"/>
          <w:snapToGrid w:val="0"/>
          <w:kern w:val="0"/>
          <w:sz w:val="24"/>
          <w:szCs w:val="24"/>
          <w:lang w:val="zh-CN"/>
        </w:rPr>
        <w:t>180</w:t>
      </w:r>
      <w:r>
        <w:rPr>
          <w:rFonts w:hint="eastAsia" w:ascii="宋体" w:hAnsi="宋体" w:eastAsia="宋体" w:cs="Times New Roman"/>
          <w:kern w:val="0"/>
          <w:sz w:val="24"/>
          <w:szCs w:val="24"/>
          <w:lang w:val="zh-CN"/>
        </w:rPr>
        <w:t>日内保持有效。</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2.报价文件有效期需要延长的，采购机构可与报价方进行协商，并以书面形式予以确认。同意延长有效期的报价方不能修改报价文件。</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3.在采购过程中</w:t>
      </w:r>
      <w:r>
        <w:rPr>
          <w:rFonts w:hint="eastAsia" w:ascii="宋体" w:hAnsi="宋体" w:eastAsia="宋体" w:cs="Times New Roman"/>
          <w:kern w:val="0"/>
          <w:sz w:val="24"/>
          <w:szCs w:val="24"/>
        </w:rPr>
        <w:t>，报价方发生合并、分立、破产等重大变化时，应当及时书面告知采购机构。</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（六）谈判</w:t>
      </w:r>
      <w:r>
        <w:rPr>
          <w:rFonts w:hint="eastAsia" w:ascii="宋体" w:hAnsi="宋体" w:eastAsia="宋体" w:cs="Times New Roman"/>
          <w:snapToGrid w:val="0"/>
          <w:kern w:val="0"/>
          <w:sz w:val="24"/>
          <w:szCs w:val="24"/>
        </w:rPr>
        <w:t>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所有报价均以人民币为货币单位</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所有单价和总价按照报价一览表和合同格式要求填报。</w:t>
      </w:r>
      <w:r>
        <w:rPr>
          <w:rFonts w:hint="eastAsia" w:ascii="宋体" w:hAnsi="宋体" w:eastAsia="宋体" w:cs="宋体"/>
          <w:snapToGrid w:val="0"/>
          <w:kern w:val="0"/>
          <w:sz w:val="24"/>
          <w:szCs w:val="24"/>
          <w:lang w:val="zh-CN"/>
        </w:rPr>
        <w:t>报价应包括货款、标准附件、备品备件、专用工具、包装、安装、调试、培训、保修等费用和税金。</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宋体"/>
          <w:snapToGrid w:val="0"/>
          <w:kern w:val="0"/>
          <w:sz w:val="24"/>
          <w:szCs w:val="24"/>
          <w:lang w:val="zh-CN"/>
        </w:rPr>
        <w:t>3.</w:t>
      </w:r>
      <w:r>
        <w:rPr>
          <w:rFonts w:hint="eastAsia" w:ascii="宋体" w:hAnsi="宋体" w:eastAsia="宋体" w:cs="Times New Roman"/>
          <w:kern w:val="0"/>
          <w:sz w:val="24"/>
          <w:szCs w:val="24"/>
          <w:lang w:val="zh-CN"/>
        </w:rPr>
        <w:t>报价文件的大写金额与小写金额不一致的，以大写金额为准，</w:t>
      </w:r>
      <w:r>
        <w:rPr>
          <w:rFonts w:hint="eastAsia" w:cs="Times New Roman" w:asciiTheme="minorEastAsia" w:hAnsiTheme="minor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w:t>
      </w:r>
      <w:r>
        <w:rPr>
          <w:rFonts w:hint="eastAsia" w:ascii="宋体" w:hAnsi="宋体" w:eastAsia="宋体" w:cs="Times New Roman"/>
          <w:kern w:val="0"/>
          <w:sz w:val="24"/>
          <w:szCs w:val="24"/>
          <w:lang w:val="zh-CN"/>
        </w:rPr>
        <w:t>。报价方不同意以上修正，其报价将被拒绝。</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4.报价方</w:t>
      </w:r>
      <w:r>
        <w:rPr>
          <w:rFonts w:hint="eastAsia" w:ascii="宋体" w:hAnsi="宋体" w:eastAsia="宋体" w:cs="Times New Roman"/>
          <w:kern w:val="0"/>
          <w:sz w:val="24"/>
          <w:szCs w:val="24"/>
        </w:rPr>
        <w:t>对同一种货物每次报价只允许有一种报价，采购机构不接受任何有选择的报价。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委员会对报价方每个项目各品种物资最终报价进行评定。若五分之四以上评委认定最低报价或者重要分项报价明显不合理或者低于成本，有可能影响产品质量和不能诚信履约的，评审委员会应当要求其在规定期限内提供书面文件予以解释说明，并提交相关证明材料，否则评审委员会有权视其为低价恶意竞争，否决其报价。</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四、</w:t>
      </w:r>
      <w:r>
        <w:rPr>
          <w:rFonts w:ascii="宋体" w:hAnsi="宋体" w:eastAsia="宋体" w:cs="Times New Roman"/>
          <w:kern w:val="0"/>
          <w:sz w:val="24"/>
          <w:szCs w:val="24"/>
        </w:rPr>
        <w:t>报价文件</w:t>
      </w:r>
      <w:r>
        <w:rPr>
          <w:rFonts w:hint="eastAsia" w:ascii="宋体" w:hAnsi="宋体" w:eastAsia="宋体" w:cs="Times New Roman"/>
          <w:kern w:val="0"/>
          <w:sz w:val="24"/>
          <w:szCs w:val="24"/>
        </w:rPr>
        <w:t>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（一）报价文件密封及标记</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bCs/>
          <w:kern w:val="0"/>
          <w:sz w:val="24"/>
          <w:szCs w:val="24"/>
        </w:rPr>
        <w:t>1.报价方应当将报价</w:t>
      </w:r>
      <w:r>
        <w:rPr>
          <w:rFonts w:hint="eastAsia" w:ascii="宋体" w:hAnsi="宋体" w:eastAsia="宋体" w:cs="Times New Roman"/>
          <w:kern w:val="0"/>
          <w:sz w:val="24"/>
          <w:szCs w:val="24"/>
          <w:lang w:val="zh-CN"/>
        </w:rPr>
        <w:t>文件的正本和副本统一装入密封袋内，封口处应当有报价方单位公章，封面</w:t>
      </w:r>
      <w:r>
        <w:rPr>
          <w:rFonts w:hint="eastAsia" w:ascii="宋体" w:hAnsi="宋体" w:eastAsia="宋体" w:cs="Times New Roman"/>
          <w:kern w:val="0"/>
          <w:sz w:val="24"/>
          <w:szCs w:val="24"/>
        </w:rPr>
        <w:t>上注明“报价文件、谈判项目名称、项目编号、包号、</w:t>
      </w:r>
      <w:r>
        <w:rPr>
          <w:rFonts w:hint="eastAsia" w:ascii="宋体" w:hAnsi="宋体" w:eastAsia="宋体" w:cs="Times New Roman"/>
          <w:kern w:val="0"/>
          <w:sz w:val="24"/>
          <w:szCs w:val="24"/>
          <w:lang w:val="zh-CN"/>
        </w:rPr>
        <w:t>报价方</w:t>
      </w:r>
      <w:r>
        <w:rPr>
          <w:rFonts w:hint="eastAsia" w:ascii="宋体" w:hAnsi="宋体" w:eastAsia="宋体" w:cs="Times New Roman"/>
          <w:kern w:val="0"/>
          <w:sz w:val="24"/>
          <w:szCs w:val="24"/>
        </w:rPr>
        <w:t>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2.报价方应当在谈判文件明确的提交报价文件截止时间前，由谈判全权代表将报价文件送达采购机构指定地点。逾期提交的报价文件，采购机构将拒收。</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3.电报、电话、电传、邮寄等形式的报价文件概不接受。</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4.报价文件未按要求密封、标记的，采购机构将拒绝接收。</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lang w:val="zh-CN"/>
        </w:rPr>
        <w:t>（二）</w:t>
      </w:r>
      <w:r>
        <w:rPr>
          <w:rFonts w:hint="eastAsia" w:ascii="宋体" w:hAnsi="宋体" w:eastAsia="宋体" w:cs="Times New Roman"/>
          <w:snapToGrid w:val="0"/>
          <w:kern w:val="0"/>
          <w:sz w:val="24"/>
          <w:szCs w:val="24"/>
        </w:rPr>
        <w:t>报价文件的修改和撤回</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1.报价方在报价文件提交截止时间前，可以对所提交的报价文件进行补充、修改或者撤回。补充、修改的内容应当以书面形式通知采购机构，并按照谈判文件要求签署、盖章，作为报价文件的组成部分。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2.报价方修改补充报价文件的书面材料，须密封送达采购机构指定地点，并在封面上注明“报价修改文件、项目名称、项目编号、报价方名称”和“谈判时启封”字样。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4.谈判开始后，报价方不得撤回报价文件。</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五、谈判报价与评审</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（一）评审委员会</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采购机构根据规定组建评审委员会。其成员由经济、技术等方面的专家和采购机构代表组成，其中技术、经济类专家不少于三分之二。</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（二）谈判方式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本次谈判采取2轮谈判3次报价的方式。确需增加谈判报价轮次的，在谈判过程中经评审委员会（五分之四以上评委）认定可以增加，但应当在评审报告中注明理由。</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（三）评审要求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(1)严格遵守公平、公正、择优的原则；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(2)对所有响应谈判文件实质性要求的报价方一视同仁；</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(3)</w:t>
      </w:r>
      <w:r>
        <w:rPr>
          <w:rFonts w:hint="eastAsia" w:ascii="宋体" w:hAnsi="宋体" w:eastAsia="宋体" w:cs="宋体"/>
          <w:snapToGrid w:val="0"/>
          <w:kern w:val="0"/>
          <w:sz w:val="24"/>
          <w:szCs w:val="24"/>
          <w:lang w:val="zh-CN"/>
        </w:rPr>
        <w:t>综合比较货物性能、质量、价格、交货期、售后服务等因素，确定评审排序结果；</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(4)报价最低不作为成交的保证。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2.评审有关要求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(1)评审委员会应当公平、公正、客观，不带任何倾向性和启发性，评审委员会及有关工作人员不得私下与报价方接触。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(2)评审过程严格保密。凡是属于审查、澄清、评价和比较有关的资料以及成交建议等，所有知情人均不得向报价方或其他无关的人员透露。</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(3)任何单位和个人都不得干扰、影响谈判活动的正常进行。报价方在谈判过程中所进行的试图影响成交结果的一切不符合法律或谈判规定的活动，都可能导致其报价被拒绝。</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（四）评审方法</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综合评分法。技术和商务评审总得分由高到低顺序排列，最高的报价方作为预成交供应商；得分相同的，按照报价由低到高顺序排列；得分且报价相同的，按照技术评审得分由高到低顺序排列。</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成员技术、商务（不含价格因素）最终评分偏离</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全体成员评分均值±20%的，该成员的评分将被剔除，以其他评委的评分均值计算，作为该成员的评分计入总分值；</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所有成员评分均超出±20%时，直接以全体成员评分均值计算，不再剔除。</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报价方报价高于采购预算的，不得推荐为预成交供应商（经采购管理部门批准同意的除外）。</w:t>
      </w:r>
    </w:p>
    <w:p>
      <w:pPr>
        <w:spacing w:line="440" w:lineRule="exact"/>
        <w:rPr>
          <w:rFonts w:ascii="宋体" w:hAnsi="宋体" w:eastAsia="宋体" w:cs="Times New Roman"/>
          <w:kern w:val="0"/>
          <w:sz w:val="24"/>
          <w:szCs w:val="24"/>
        </w:rPr>
      </w:pPr>
      <w:r>
        <w:rPr>
          <w:rFonts w:ascii="宋体" w:hAnsi="宋体" w:eastAsia="宋体" w:cs="Times New Roman"/>
          <w:color w:val="3366FF"/>
          <w:kern w:val="0"/>
          <w:sz w:val="24"/>
          <w:szCs w:val="24"/>
        </w:rPr>
        <w:br w:type="page"/>
      </w:r>
      <w:r>
        <w:rPr>
          <w:rFonts w:hint="eastAsia" w:ascii="宋体" w:hAnsi="宋体" w:eastAsia="宋体" w:cs="Times New Roman"/>
          <w:kern w:val="0"/>
          <w:sz w:val="24"/>
          <w:szCs w:val="24"/>
        </w:rPr>
        <w:t>表1</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spacing w:line="440" w:lineRule="exact"/>
        <w:rPr>
          <w:rFonts w:ascii="宋体" w:hAnsi="宋体" w:eastAsia="宋体" w:cs="Times New Roman"/>
          <w:kern w:val="0"/>
          <w:sz w:val="24"/>
          <w:szCs w:val="24"/>
        </w:rPr>
      </w:pPr>
      <w:r>
        <w:rPr>
          <w:rFonts w:ascii="宋体" w:hAnsi="宋体" w:eastAsia="宋体" w:cs="Times New Roman"/>
          <w:kern w:val="0"/>
          <w:sz w:val="24"/>
          <w:szCs w:val="24"/>
        </w:rPr>
        <w:t>项目名称：                   项目编号：                            包号：</w:t>
      </w:r>
    </w:p>
    <w:tbl>
      <w:tblPr>
        <w:tblStyle w:val="17"/>
        <w:tblW w:w="5248" w:type="pct"/>
        <w:jc w:val="center"/>
        <w:tblLayout w:type="fixed"/>
        <w:tblCellMar>
          <w:top w:w="0" w:type="dxa"/>
          <w:left w:w="108" w:type="dxa"/>
          <w:bottom w:w="0" w:type="dxa"/>
          <w:right w:w="108" w:type="dxa"/>
        </w:tblCellMar>
      </w:tblPr>
      <w:tblGrid>
        <w:gridCol w:w="9509"/>
      </w:tblGrid>
      <w:tr>
        <w:tblPrEx>
          <w:tblCellMar>
            <w:top w:w="0" w:type="dxa"/>
            <w:left w:w="108" w:type="dxa"/>
            <w:bottom w:w="0" w:type="dxa"/>
            <w:right w:w="108" w:type="dxa"/>
          </w:tblCellMar>
        </w:tblPrEx>
        <w:trPr>
          <w:trHeight w:val="454" w:hRule="exact"/>
          <w:jc w:val="center"/>
        </w:trPr>
        <w:tc>
          <w:tcPr>
            <w:tcW w:w="95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黑体" w:hAnsi="黑体" w:eastAsia="黑体" w:cs="宋体"/>
                <w:kern w:val="0"/>
                <w:szCs w:val="21"/>
              </w:rPr>
            </w:pPr>
            <w:r>
              <w:rPr>
                <w:rFonts w:hint="eastAsia" w:ascii="黑体" w:hAnsi="黑体" w:eastAsia="黑体" w:cs="宋体"/>
                <w:kern w:val="0"/>
                <w:szCs w:val="21"/>
              </w:rPr>
              <w:t>审查项目</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黑体" w:hAnsi="宋体" w:eastAsia="黑体" w:cs="宋体"/>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2.法定代表人资格证明书和授权书（含法定代表人身份证复印件）</w:t>
            </w:r>
          </w:p>
        </w:tc>
      </w:tr>
      <w:tr>
        <w:tblPrEx>
          <w:tblCellMar>
            <w:top w:w="0" w:type="dxa"/>
            <w:left w:w="108" w:type="dxa"/>
            <w:bottom w:w="0" w:type="dxa"/>
            <w:right w:w="108" w:type="dxa"/>
          </w:tblCellMar>
        </w:tblPrEx>
        <w:trPr>
          <w:trHeight w:val="97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eastAsia="宋体" w:cs="宋体"/>
                <w:kern w:val="0"/>
                <w:szCs w:val="21"/>
              </w:rPr>
            </w:pPr>
            <w:r>
              <w:rPr>
                <w:rFonts w:hint="eastAsia" w:ascii="宋体" w:hAnsi="宋体" w:eastAsia="宋体" w:cs="宋体"/>
                <w:kern w:val="0"/>
                <w:szCs w:val="21"/>
              </w:rPr>
              <w:t>3.</w:t>
            </w:r>
            <w:r>
              <w:rPr>
                <w:rFonts w:hint="eastAsia"/>
              </w:rPr>
              <w:t xml:space="preserve"> 相关声明书：</w:t>
            </w:r>
            <w:r>
              <w:rPr>
                <w:rFonts w:hint="eastAsia" w:ascii="宋体" w:hAnsi="宋体" w:eastAsia="宋体" w:cs="宋体"/>
                <w:kern w:val="0"/>
                <w:szCs w:val="21"/>
              </w:rPr>
              <w:t>①非外资企业或外资控股企业的书面声明；②参加本次采购活动前3年内在经营活动中没有重大违法记录的书面声明；③具有独立承担民事责任的能力；④具有良好的商业信誉和健全的财务会计制度；⑤具有履行合同所必需的设备和专业技术能力；⑥有依法缴纳税收和社会保障资金的良好记录</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4.医疗器械经营许可证或二类备案凭证（需具备相应产品经营资格；所投产品不属于医疗器械的无需提供)</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5.生产企业营业执照（进口产品需提供国内总代理营业执照）</w:t>
            </w:r>
          </w:p>
        </w:tc>
      </w:tr>
      <w:tr>
        <w:tblPrEx>
          <w:tblCellMar>
            <w:top w:w="0" w:type="dxa"/>
            <w:left w:w="108" w:type="dxa"/>
            <w:bottom w:w="0" w:type="dxa"/>
            <w:right w:w="108" w:type="dxa"/>
          </w:tblCellMar>
        </w:tblPrEx>
        <w:trPr>
          <w:trHeight w:val="683"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6.生产企业《医疗器械生产许可证》（需具备相应产品生产资格，进口产品提供国内总代理相关经营许可证；</w:t>
            </w:r>
            <w:r>
              <w:rPr>
                <w:rFonts w:hint="eastAsia" w:cs="Times New Roman" w:asciiTheme="minorEastAsia" w:hAnsiTheme="minorEastAsia"/>
                <w:kern w:val="0"/>
                <w:szCs w:val="21"/>
              </w:rPr>
              <w:t>所投产品不属于医疗器械的无需提供</w:t>
            </w:r>
            <w:r>
              <w:rPr>
                <w:rFonts w:hint="eastAsia" w:ascii="宋体" w:hAnsi="宋体" w:eastAsia="宋体" w:cs="宋体"/>
                <w:kern w:val="0"/>
                <w:szCs w:val="21"/>
              </w:rPr>
              <w:t>）</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7.产品《医疗器械产品注册证》（产品不属于医疗器械的无需提供）</w:t>
            </w:r>
          </w:p>
        </w:tc>
      </w:tr>
      <w:tr>
        <w:tblPrEx>
          <w:tblCellMar>
            <w:top w:w="0" w:type="dxa"/>
            <w:left w:w="108" w:type="dxa"/>
            <w:bottom w:w="0" w:type="dxa"/>
            <w:right w:w="108" w:type="dxa"/>
          </w:tblCellMar>
        </w:tblPrEx>
        <w:trPr>
          <w:trHeight w:val="671"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8.生产企业对代理公司参与报价的授权书（进口产品需提供原产厂家对中国总代的中英文授权书复印件或同步翻译件）</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9.保密承诺书及廉洁诚信承诺书</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二、符合性审查内容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1.报价书、资格证明文件密封完好</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2.报价文件签署、盖章齐全完整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3.报价文件组成齐全完整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4.报价文件有效期满足谈判文件要求</w:t>
            </w:r>
          </w:p>
        </w:tc>
      </w:tr>
      <w:tr>
        <w:tblPrEx>
          <w:tblCellMar>
            <w:top w:w="0" w:type="dxa"/>
            <w:left w:w="108" w:type="dxa"/>
            <w:bottom w:w="0" w:type="dxa"/>
            <w:right w:w="108" w:type="dxa"/>
          </w:tblCellMar>
        </w:tblPrEx>
        <w:trPr>
          <w:trHeight w:val="504" w:hRule="exact"/>
          <w:jc w:val="center"/>
        </w:trPr>
        <w:tc>
          <w:tcPr>
            <w:tcW w:w="9509"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440" w:lineRule="exact"/>
              <w:rPr>
                <w:rFonts w:ascii="宋体" w:hAnsi="宋体" w:eastAsia="宋体" w:cs="宋体"/>
                <w:b/>
                <w:kern w:val="0"/>
                <w:szCs w:val="21"/>
              </w:rPr>
            </w:pPr>
            <w:r>
              <w:rPr>
                <w:rFonts w:hint="eastAsia" w:ascii="宋体" w:hAnsi="宋体" w:eastAsia="宋体" w:cs="宋体"/>
                <w:b/>
                <w:kern w:val="0"/>
                <w:szCs w:val="21"/>
              </w:rPr>
              <w:t>说明：以上资格性和符合性要求均需满足，若有一条不满足，则为无效报价。</w:t>
            </w:r>
          </w:p>
        </w:tc>
      </w:tr>
    </w:tbl>
    <w:p>
      <w:pPr>
        <w:adjustRightInd w:val="0"/>
        <w:snapToGrid w:val="0"/>
        <w:spacing w:line="440" w:lineRule="exac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adjustRightInd w:val="0"/>
        <w:snapToGrid w:val="0"/>
        <w:spacing w:line="440" w:lineRule="exact"/>
        <w:rPr>
          <w:rFonts w:ascii="黑体" w:hAnsi="黑体" w:eastAsia="黑体" w:cs="Times New Roman"/>
          <w:kern w:val="0"/>
          <w:sz w:val="32"/>
          <w:szCs w:val="32"/>
        </w:rPr>
      </w:pPr>
      <w:r>
        <w:rPr>
          <w:rFonts w:hint="eastAsia" w:ascii="黑体" w:hAnsi="黑体" w:eastAsia="黑体" w:cs="Times New Roman"/>
          <w:kern w:val="0"/>
          <w:sz w:val="32"/>
          <w:szCs w:val="32"/>
        </w:rPr>
        <w:t xml:space="preserve">表2                </w:t>
      </w:r>
      <w:r>
        <w:rPr>
          <w:rFonts w:hint="eastAsia" w:ascii="方正小标宋简体" w:hAnsi="Times New Roman" w:eastAsia="方正小标宋简体" w:cs="Times New Roman"/>
          <w:kern w:val="0"/>
          <w:sz w:val="36"/>
          <w:szCs w:val="36"/>
        </w:rPr>
        <w:t>评审标准表</w:t>
      </w:r>
    </w:p>
    <w:tbl>
      <w:tblPr>
        <w:tblStyle w:val="17"/>
        <w:tblW w:w="9782" w:type="dxa"/>
        <w:tblInd w:w="-176" w:type="dxa"/>
        <w:tblLayout w:type="fixed"/>
        <w:tblCellMar>
          <w:top w:w="0" w:type="dxa"/>
          <w:left w:w="108" w:type="dxa"/>
          <w:bottom w:w="0" w:type="dxa"/>
          <w:right w:w="108" w:type="dxa"/>
        </w:tblCellMar>
      </w:tblPr>
      <w:tblGrid>
        <w:gridCol w:w="520"/>
        <w:gridCol w:w="1040"/>
        <w:gridCol w:w="851"/>
        <w:gridCol w:w="7371"/>
      </w:tblGrid>
      <w:tr>
        <w:tblPrEx>
          <w:tblCellMar>
            <w:top w:w="0" w:type="dxa"/>
            <w:left w:w="108" w:type="dxa"/>
            <w:bottom w:w="0" w:type="dxa"/>
            <w:right w:w="108" w:type="dxa"/>
          </w:tblCellMar>
        </w:tblPrEx>
        <w:trPr>
          <w:trHeight w:val="570" w:hRule="atLeast"/>
        </w:trPr>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序号</w:t>
            </w:r>
          </w:p>
        </w:tc>
        <w:tc>
          <w:tcPr>
            <w:tcW w:w="104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评分因素及权重</w:t>
            </w:r>
          </w:p>
        </w:tc>
        <w:tc>
          <w:tcPr>
            <w:tcW w:w="85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初始</w:t>
            </w:r>
          </w:p>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分值</w:t>
            </w:r>
          </w:p>
        </w:tc>
        <w:tc>
          <w:tcPr>
            <w:tcW w:w="737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评分标准</w:t>
            </w:r>
          </w:p>
        </w:tc>
      </w:tr>
      <w:tr>
        <w:tblPrEx>
          <w:tblCellMar>
            <w:top w:w="0" w:type="dxa"/>
            <w:left w:w="108" w:type="dxa"/>
            <w:bottom w:w="0" w:type="dxa"/>
            <w:right w:w="108" w:type="dxa"/>
          </w:tblCellMar>
        </w:tblPrEx>
        <w:trPr>
          <w:trHeight w:val="693" w:hRule="atLeast"/>
        </w:trPr>
        <w:tc>
          <w:tcPr>
            <w:tcW w:w="520"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w:t>
            </w:r>
          </w:p>
        </w:tc>
        <w:tc>
          <w:tcPr>
            <w:tcW w:w="1040"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经济30%</w:t>
            </w:r>
          </w:p>
        </w:tc>
        <w:tc>
          <w:tcPr>
            <w:tcW w:w="85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100分</w:t>
            </w:r>
          </w:p>
        </w:tc>
        <w:tc>
          <w:tcPr>
            <w:tcW w:w="737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rPr>
                <w:rFonts w:ascii="宋体" w:hAnsi="宋体" w:eastAsia="宋体" w:cs="Times New Roman"/>
                <w:kern w:val="0"/>
                <w:szCs w:val="21"/>
              </w:rPr>
            </w:pPr>
            <w:r>
              <w:rPr>
                <w:rFonts w:hint="eastAsia" w:ascii="宋体" w:hAnsi="宋体" w:eastAsia="宋体" w:cs="Times New Roman"/>
                <w:kern w:val="0"/>
                <w:szCs w:val="21"/>
              </w:rPr>
              <w:t>报价最低者为基准价并计为满分；然后以基准价为基点计算报价供应商的经济得分，推算公式：投标商经济得分</w:t>
            </w:r>
            <w:r>
              <w:rPr>
                <w:rFonts w:hint="eastAsia" w:ascii="宋体" w:hAnsi="宋体" w:eastAsia="宋体" w:cs="Times New Roman"/>
                <w:b/>
                <w:bCs/>
                <w:kern w:val="0"/>
                <w:szCs w:val="21"/>
              </w:rPr>
              <w:t>=</w:t>
            </w:r>
            <w:r>
              <w:rPr>
                <w:rFonts w:hint="eastAsia" w:ascii="宋体" w:hAnsi="宋体" w:eastAsia="宋体" w:cs="Times New Roman"/>
                <w:kern w:val="0"/>
                <w:szCs w:val="21"/>
              </w:rPr>
              <w:t>基准价</w:t>
            </w:r>
            <w:r>
              <w:rPr>
                <w:rFonts w:hint="eastAsia" w:ascii="宋体" w:hAnsi="宋体" w:eastAsia="宋体" w:cs="Times New Roman"/>
                <w:b/>
                <w:bCs/>
                <w:kern w:val="0"/>
                <w:szCs w:val="21"/>
              </w:rPr>
              <w:t>÷</w:t>
            </w:r>
            <w:r>
              <w:rPr>
                <w:rFonts w:hint="eastAsia" w:ascii="宋体" w:hAnsi="宋体" w:eastAsia="宋体" w:cs="Times New Roman"/>
                <w:kern w:val="0"/>
                <w:szCs w:val="21"/>
              </w:rPr>
              <w:t>投标商的最终报价</w:t>
            </w:r>
            <w:r>
              <w:rPr>
                <w:rFonts w:hint="eastAsia" w:ascii="宋体" w:hAnsi="宋体" w:eastAsia="宋体" w:cs="Times New Roman"/>
                <w:b/>
                <w:bCs/>
                <w:kern w:val="0"/>
                <w:szCs w:val="21"/>
              </w:rPr>
              <w:t>×</w:t>
            </w:r>
            <w:r>
              <w:rPr>
                <w:rFonts w:hint="eastAsia" w:ascii="宋体" w:hAnsi="宋体" w:eastAsia="宋体" w:cs="Times New Roman"/>
                <w:kern w:val="0"/>
                <w:szCs w:val="21"/>
              </w:rPr>
              <w:t>权重。</w:t>
            </w:r>
          </w:p>
        </w:tc>
      </w:tr>
      <w:tr>
        <w:tblPrEx>
          <w:tblCellMar>
            <w:top w:w="0" w:type="dxa"/>
            <w:left w:w="108" w:type="dxa"/>
            <w:bottom w:w="0" w:type="dxa"/>
            <w:right w:w="108" w:type="dxa"/>
          </w:tblCellMar>
        </w:tblPrEx>
        <w:trPr>
          <w:trHeight w:val="3976" w:hRule="atLeast"/>
        </w:trPr>
        <w:tc>
          <w:tcPr>
            <w:tcW w:w="520" w:type="dxa"/>
            <w:tcBorders>
              <w:top w:val="nil"/>
              <w:left w:val="single" w:color="auto" w:sz="4" w:space="0"/>
              <w:bottom w:val="nil"/>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2</w:t>
            </w:r>
          </w:p>
        </w:tc>
        <w:tc>
          <w:tcPr>
            <w:tcW w:w="1040" w:type="dxa"/>
            <w:tcBorders>
              <w:top w:val="nil"/>
              <w:left w:val="nil"/>
              <w:bottom w:val="nil"/>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技术指标和配置60%</w:t>
            </w:r>
          </w:p>
        </w:tc>
        <w:tc>
          <w:tcPr>
            <w:tcW w:w="851" w:type="dxa"/>
            <w:tcBorders>
              <w:top w:val="nil"/>
              <w:left w:val="nil"/>
              <w:bottom w:val="nil"/>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100分</w:t>
            </w:r>
          </w:p>
        </w:tc>
        <w:tc>
          <w:tcPr>
            <w:tcW w:w="737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rPr>
                <w:rFonts w:ascii="宋体" w:hAnsi="宋体" w:eastAsia="宋体" w:cs="Times New Roman"/>
                <w:b/>
                <w:bCs/>
                <w:kern w:val="0"/>
                <w:szCs w:val="21"/>
              </w:rPr>
            </w:pPr>
            <w:r>
              <w:rPr>
                <w:rFonts w:hint="eastAsia" w:ascii="宋体" w:hAnsi="宋体" w:eastAsia="宋体" w:cs="Times New Roman"/>
                <w:b/>
                <w:bCs/>
                <w:kern w:val="0"/>
                <w:szCs w:val="21"/>
              </w:rPr>
              <w:t xml:space="preserve"> 1.基础分（50分）：</w:t>
            </w:r>
            <w:r>
              <w:rPr>
                <w:rFonts w:hint="eastAsia" w:ascii="宋体" w:hAnsi="宋体" w:eastAsia="宋体" w:cs="Times New Roman"/>
                <w:kern w:val="0"/>
                <w:szCs w:val="21"/>
              </w:rPr>
              <w:t>完全符合采购文件要求没有实质性负偏离得基础分50分。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2.</w:t>
            </w:r>
            <w:r>
              <w:rPr>
                <w:rFonts w:hint="eastAsia" w:ascii="宋体" w:hAnsi="宋体" w:eastAsia="宋体" w:cs="Times New Roman"/>
                <w:b/>
                <w:bCs/>
                <w:kern w:val="0"/>
                <w:szCs w:val="21"/>
              </w:rPr>
              <w:t>加分项（最多加50分）</w:t>
            </w:r>
            <w:r>
              <w:rPr>
                <w:rFonts w:hint="eastAsia" w:ascii="宋体" w:hAnsi="宋体" w:eastAsia="宋体" w:cs="Times New Roman"/>
                <w:kern w:val="0"/>
                <w:szCs w:val="21"/>
              </w:rPr>
              <w:t>：</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①技术指标和配置高于采购要求并体现出产品的质量更优的，每项加5-10分，最多加20分。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②投标产品技术的先进性：可加5-10分，最多加10分。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③投标产品性能的安全性：可加5-10分，最多加10分。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④投标产品性能稳定性：可加5-10分，最多加10分。                               </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 xml:space="preserve"> 3.扣分项（最多扣50分）</w:t>
            </w:r>
            <w:r>
              <w:rPr>
                <w:rFonts w:hint="eastAsia" w:ascii="宋体" w:hAnsi="宋体" w:eastAsia="宋体" w:cs="Times New Roman"/>
                <w:kern w:val="0"/>
                <w:szCs w:val="21"/>
              </w:rPr>
              <w:t>：</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①与采购要求有非实质性负偏离的，一项扣5-10分，最多扣30分；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②有严重负偏离，每项扣分10-15分，直至扣完为止。                      </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 xml:space="preserve"> 4.有下列情况之一者，技术得零分：基本配置有遗漏（含不全）或故意分开作为其他配件（含耗材）或设置陷阱等。</w:t>
            </w:r>
          </w:p>
          <w:p>
            <w:pPr>
              <w:adjustRightInd w:val="0"/>
              <w:snapToGrid w:val="0"/>
              <w:spacing w:line="320" w:lineRule="exact"/>
              <w:rPr>
                <w:rFonts w:ascii="宋体" w:hAnsi="宋体" w:eastAsia="宋体" w:cs="Times New Roman"/>
                <w:kern w:val="0"/>
                <w:szCs w:val="21"/>
              </w:rPr>
            </w:pPr>
            <w:r>
              <w:rPr>
                <w:rFonts w:hint="eastAsia" w:ascii="宋体" w:hAnsi="宋体" w:eastAsia="宋体" w:cs="Times New Roman"/>
                <w:b/>
                <w:bCs/>
                <w:kern w:val="0"/>
                <w:szCs w:val="21"/>
              </w:rPr>
              <w:t>5.技术项目带“★”条款不满足，按无效报价处理。</w:t>
            </w:r>
          </w:p>
        </w:tc>
      </w:tr>
      <w:tr>
        <w:tblPrEx>
          <w:tblCellMar>
            <w:top w:w="0" w:type="dxa"/>
            <w:left w:w="108" w:type="dxa"/>
            <w:bottom w:w="0" w:type="dxa"/>
            <w:right w:w="108" w:type="dxa"/>
          </w:tblCellMar>
        </w:tblPrEx>
        <w:trPr>
          <w:trHeight w:val="5933" w:hRule="atLeast"/>
        </w:trPr>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3</w:t>
            </w:r>
          </w:p>
        </w:tc>
        <w:tc>
          <w:tcPr>
            <w:tcW w:w="104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商务10%</w:t>
            </w:r>
          </w:p>
        </w:tc>
        <w:tc>
          <w:tcPr>
            <w:tcW w:w="85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100分</w:t>
            </w:r>
          </w:p>
        </w:tc>
        <w:tc>
          <w:tcPr>
            <w:tcW w:w="737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rPr>
                <w:rFonts w:ascii="宋体" w:hAnsi="宋体" w:eastAsia="宋体" w:cs="Times New Roman"/>
                <w:kern w:val="0"/>
                <w:szCs w:val="21"/>
              </w:rPr>
            </w:pPr>
            <w:r>
              <w:rPr>
                <w:rFonts w:hint="eastAsia" w:ascii="宋体" w:hAnsi="宋体" w:eastAsia="宋体" w:cs="Times New Roman"/>
                <w:b/>
                <w:bCs/>
                <w:kern w:val="0"/>
                <w:szCs w:val="21"/>
              </w:rPr>
              <w:t xml:space="preserve">  1.得分条件：</w:t>
            </w:r>
            <w:r>
              <w:rPr>
                <w:rFonts w:hint="eastAsia" w:ascii="宋体" w:hAnsi="宋体" w:eastAsia="宋体" w:cs="Times New Roman"/>
                <w:kern w:val="0"/>
                <w:szCs w:val="21"/>
              </w:rPr>
              <w:t>有下列情况者，予以得分：</w:t>
            </w:r>
            <w:r>
              <w:rPr>
                <w:rFonts w:hint="eastAsia" w:ascii="宋体" w:hAnsi="宋体" w:eastAsia="宋体" w:cs="Times New Roman"/>
                <w:b/>
                <w:bCs/>
                <w:kern w:val="0"/>
                <w:szCs w:val="21"/>
              </w:rPr>
              <w:br w:type="textWrapping"/>
            </w:r>
            <w:r>
              <w:rPr>
                <w:rFonts w:hint="eastAsia" w:ascii="宋体" w:hAnsi="宋体" w:eastAsia="宋体" w:cs="Times New Roman"/>
                <w:kern w:val="0"/>
                <w:szCs w:val="21"/>
              </w:rPr>
              <w:t>①</w:t>
            </w:r>
            <w:r>
              <w:rPr>
                <w:rFonts w:hint="eastAsia" w:ascii="宋体" w:hAnsi="宋体" w:eastAsia="宋体" w:cs="Times New Roman"/>
                <w:b/>
                <w:bCs/>
                <w:kern w:val="0"/>
                <w:szCs w:val="21"/>
              </w:rPr>
              <w:t>免费质保期：</w:t>
            </w:r>
            <w:r>
              <w:rPr>
                <w:rFonts w:hint="eastAsia" w:ascii="宋体" w:hAnsi="宋体" w:eastAsia="宋体" w:cs="Times New Roman"/>
                <w:kern w:val="0"/>
                <w:szCs w:val="21"/>
              </w:rPr>
              <w:t>≥5年的得20分，≥4年的得18分，达到三年的得15分。不足三年扣分（见下述）。</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w:t>
            </w:r>
            <w:r>
              <w:rPr>
                <w:rFonts w:hint="eastAsia" w:ascii="宋体" w:hAnsi="宋体" w:eastAsia="宋体" w:cs="Times New Roman"/>
                <w:b/>
                <w:bCs/>
                <w:kern w:val="0"/>
                <w:szCs w:val="21"/>
              </w:rPr>
              <w:t>质保期满后的承诺：</w:t>
            </w:r>
            <w:r>
              <w:rPr>
                <w:rFonts w:hint="eastAsia" w:ascii="宋体" w:hAnsi="宋体" w:eastAsia="宋体" w:cs="Times New Roman"/>
                <w:kern w:val="0"/>
                <w:szCs w:val="21"/>
              </w:rPr>
              <w:t>影像诊断类、实验诊断类以及使用频率高的科研与医疗设备，全保费用最低得15-20分；较低得8-14分；其他得0-7分。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③</w:t>
            </w:r>
            <w:r>
              <w:rPr>
                <w:rFonts w:hint="eastAsia" w:ascii="宋体" w:hAnsi="宋体" w:eastAsia="宋体" w:cs="Times New Roman"/>
                <w:b/>
                <w:bCs/>
                <w:kern w:val="0"/>
                <w:szCs w:val="21"/>
              </w:rPr>
              <w:t>零配件及耗品综合报价：</w:t>
            </w:r>
            <w:r>
              <w:rPr>
                <w:rFonts w:hint="eastAsia" w:ascii="宋体" w:hAnsi="宋体" w:eastAsia="宋体" w:cs="Times New Roman"/>
                <w:kern w:val="0"/>
                <w:szCs w:val="21"/>
              </w:rPr>
              <w:t>最低得20分，较低得15分，其他得0-10分。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④</w:t>
            </w:r>
            <w:r>
              <w:rPr>
                <w:rFonts w:hint="eastAsia" w:ascii="宋体" w:hAnsi="宋体" w:eastAsia="宋体" w:cs="Times New Roman"/>
                <w:b/>
                <w:bCs/>
                <w:kern w:val="0"/>
                <w:szCs w:val="21"/>
              </w:rPr>
              <w:t>既往维修保障信誉：</w:t>
            </w:r>
            <w:r>
              <w:rPr>
                <w:rFonts w:hint="eastAsia" w:ascii="宋体" w:hAnsi="宋体" w:eastAsia="宋体" w:cs="Times New Roman"/>
                <w:kern w:val="0"/>
                <w:szCs w:val="21"/>
              </w:rPr>
              <w:t>既往</w:t>
            </w:r>
            <w:r>
              <w:rPr>
                <w:rFonts w:hint="eastAsia" w:ascii="宋体" w:hAnsi="宋体" w:eastAsia="宋体" w:cs="Times New Roman"/>
                <w:bCs/>
                <w:kern w:val="0"/>
                <w:szCs w:val="21"/>
              </w:rPr>
              <w:t>（不论对我院还是其他同级别大型单位）</w:t>
            </w:r>
            <w:r>
              <w:rPr>
                <w:rFonts w:hint="eastAsia" w:ascii="宋体" w:hAnsi="宋体" w:eastAsia="宋体" w:cs="Times New Roman"/>
                <w:kern w:val="0"/>
                <w:szCs w:val="21"/>
              </w:rPr>
              <w:t>维修保障及时、配件充足的得8-10分，较好得5-7分，无不良记录的得0-4分。有不良记录的扣分（见下述）。</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⑤</w:t>
            </w:r>
            <w:r>
              <w:rPr>
                <w:rFonts w:hint="eastAsia" w:ascii="宋体" w:hAnsi="宋体" w:eastAsia="宋体" w:cs="Times New Roman"/>
                <w:b/>
                <w:bCs/>
                <w:kern w:val="0"/>
                <w:szCs w:val="21"/>
              </w:rPr>
              <w:t>维修保障措施：</w:t>
            </w:r>
            <w:r>
              <w:rPr>
                <w:rFonts w:hint="eastAsia" w:ascii="宋体" w:hAnsi="宋体" w:eastAsia="宋体" w:cs="Times New Roman"/>
                <w:kern w:val="0"/>
                <w:szCs w:val="21"/>
              </w:rPr>
              <w:t>在重庆有维修站的(或≥3名常驻工程师)得8-10分；有1-2名常驻工程师得5-7分；无常驻工程师但承诺能维修及时响应的得1-4分；无常驻工程师且承诺模糊的不得分。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⑥</w:t>
            </w:r>
            <w:r>
              <w:rPr>
                <w:rFonts w:hint="eastAsia" w:ascii="宋体" w:hAnsi="宋体" w:eastAsia="宋体" w:cs="Times New Roman"/>
                <w:b/>
                <w:bCs/>
                <w:kern w:val="0"/>
                <w:szCs w:val="21"/>
              </w:rPr>
              <w:t>销售业绩：</w:t>
            </w:r>
            <w:r>
              <w:rPr>
                <w:rFonts w:hint="eastAsia" w:ascii="宋体" w:hAnsi="宋体" w:eastAsia="宋体" w:cs="Times New Roman"/>
                <w:kern w:val="0"/>
                <w:szCs w:val="21"/>
              </w:rPr>
              <w:t>最高10分，根据报价产品具体情况打分。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⑦</w:t>
            </w:r>
            <w:r>
              <w:rPr>
                <w:rFonts w:hint="eastAsia" w:ascii="宋体" w:hAnsi="宋体" w:eastAsia="宋体" w:cs="Times New Roman"/>
                <w:b/>
                <w:bCs/>
                <w:kern w:val="0"/>
                <w:szCs w:val="21"/>
              </w:rPr>
              <w:t>培训：</w:t>
            </w:r>
            <w:r>
              <w:rPr>
                <w:rFonts w:hint="eastAsia" w:ascii="宋体" w:hAnsi="宋体" w:eastAsia="宋体" w:cs="Times New Roman"/>
                <w:kern w:val="0"/>
                <w:szCs w:val="21"/>
              </w:rPr>
              <w:t>提供国外和国内培训的得8-10分，提供国内培训的得5-7分，来院现场培训的1-4分，没有培训的不得分。</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 xml:space="preserve"> 2.扣分条件：</w:t>
            </w:r>
            <w:r>
              <w:rPr>
                <w:rFonts w:hint="eastAsia" w:ascii="宋体" w:hAnsi="宋体" w:eastAsia="宋体" w:cs="Times New Roman"/>
                <w:b/>
                <w:bCs/>
                <w:kern w:val="0"/>
                <w:szCs w:val="21"/>
              </w:rPr>
              <w:br w:type="textWrapping"/>
            </w:r>
            <w:r>
              <w:rPr>
                <w:rFonts w:hint="eastAsia" w:ascii="宋体" w:hAnsi="宋体" w:eastAsia="宋体" w:cs="Times New Roman"/>
                <w:kern w:val="0"/>
                <w:szCs w:val="21"/>
              </w:rPr>
              <w:t>①质保年限只有2年的扣30分，一年的扣50分。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②近五年既往维修保障信誉（不论对我院还是其他同级别大型单位）有以下不良记录的扣分为：≥3次的商务分为零，1-2次者扣分30-50分。                                                                     </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3.服务项目带“★”</w:t>
            </w:r>
            <w:r>
              <w:rPr>
                <w:rFonts w:hint="eastAsia" w:ascii="宋体" w:hAnsi="宋体" w:eastAsia="宋体" w:cs="Times New Roman"/>
                <w:bCs/>
                <w:kern w:val="0"/>
                <w:szCs w:val="21"/>
              </w:rPr>
              <w:t>条款不满足采购文件要求，按无效报价处理。</w:t>
            </w:r>
          </w:p>
        </w:tc>
      </w:tr>
    </w:tbl>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（五）谈判程序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2.由监督人员或采购机构检查报价文件的密封情况，确认无误后，由工作人员统一拆封。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资格性和符合性审查。依据谈判文件规定，评审委员会对报价文件中的资格证明进行审查，以确定报价方是否具备谈判资格；从报价文件的有效性、完整性和对谈判文件的响应程度进行审查，以确定报价方是否对谈判文件做出实质性响应。具体审查项目见表1。评审委员会填写《资格性和符合性审查表》，确定有资格进入谈判的报价方名单。资格性和符合性审查不合格的报价方，不再参加后续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评审委员会对报价文件密封、签署、盖章等进行审查过程中，有下列情形，但其他方面符合要求，应当评定为不影响整个报价文件有效性和采购活动公平竞争，并通过报价文件的符合性审查：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(1)密封时未加盖、少加盖公章或者密封章，但是密封完好、完整标明了报价方名称且得到报价方（法定代表人或者授权代表）现场认可的；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(2)正副本数量齐全、密封完好，只是未按照谈判文件要求进行分装或者统装的；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(3)存在个别地方（总数不超过2个且占应签字地方的比例不超过20%）没有法定代表人签字，但有法定代表人的私人印章或者授权代表有效签字的；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(4)除谈判文件明确要求加盖供应商（法人）公章的以外，其他地方以相关专用章加盖的。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第一轮谈判。评审委员会所有成员集中与单一报价方分别进行谈判，报价方派代表参加（法定代表人或授权代表及技术人员必须参加）。报价方每次出场顺序，可根据现场抽签顺序确定，也可按照递交报价文件的倒序进行。</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介绍单位概况、技术方案、价格构成、服务承诺等事项，解答、澄清承诺评审委员会提出的质疑。评审委员会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谈判过程中，报价方可以根据谈判情况变更其技术、商务响应内容，并将变更内容形成书面材料，作为报价文件的一部分送评审委员会。供应商书面变更材料应当由其法定代表人或者授权代表签字确认。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评审委员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第二轮谈判。评审委员会根据第一轮谈判情况、第二次报价和澄清承诺，集中与单一报价方进一步谈判。评审委员会经过第二轮谈判后，供应商响应内容仍然不能满足谈判文件规定的采购项目最低要求的，或者谈判过程中评审委员会发现或者知晓供应商存在违法、违纪行为的，评审委员会应当将该供应商淘汰，不允许其参加最后报价。评审委员会淘汰供应商的，应当书面通知该供应商，并说明理由。</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8.最终报价。报价方在第二轮谈判基础上填写《最终报价表》和新的澄清承诺（若没有可不填写），在规定时间内递交评审委员会，并以此报价和所有澄清承诺作为最终评审依据。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报价方提交最终报价时，应将报价和其他承诺分开填写、单独递交，否则将被视为无效报价。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文件能够详细列明采购项目技术、商务要求的，评审委员会应当要求所有参加谈判的供应商在规定时间内提交最后报价；谈判文件不能详细列明采购项目技术、商务要求，需要经过谈判由供应商提供最终设计方案或者解决方案的，最后一轮谈判结束后，评审委员会应当按照少数服从多数的原则投票推荐3家以上供应商的设计方案或者解决方案，并要求其在规定时间内提交最后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最终报价是供应商报价文件的有效组成部分。供应商在提交最后报价之前，可以根据谈判情况退出谈判。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询问与答疑。对报价文件中含义不明确、同类问题表述不一致或者有明显文字和计算错误的内容，评审委员会可以要求报价方以书面形式做出澄清、说明或者补正。报价方可以根据谈判情况变更其技术、商务响应内容，并将变更内容形成书面材料送评审委员会。变更内容应作为报价文件的一部分，并由法定代表人或授权的全权代表签字或加盖公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评审委员会认为谈判文件有关事项表述不明确或者需要说明的，可以要求采购机构书面解释。采购机构应当给予书面解释，但不得改变谈判文件的原义或者影响公平、公正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10.商务、技术评审。按照谈判文件中规定的评审方法和标准，对资格性审查和符合性审查合格的报价方进行技术评审和商务评审（不含价格因素）。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技术、商务评委应当独立评分。其中，技术评委只能按照技术评审标准作技术评审，商务评委只能按照商务评审标准作商务评审。独立评分前，评审委员会不得集体商议、沟通、协调，技术、商务评审方面存有歧义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价格评审。待技术、商务评审结束后，工作人员再将最终报价交评审委员会评审。存在低价恶意竞争的，由评审委员会全体成员按前款（六）谈判报价有关要求认定；不存在低价恶意竞争的，由商务评委依据评审方法和评审标准对最终报价进行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12.复核评审情况。评审结束后，评审委员会应当对评审过程资料和文件逐一进行复核。对排名前3名的预成交供应商、报价最高且预成交的、报价最低未预成交的、采购超预算的，以及报价文件被认定为无效的和终止评审等情形，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13.评审委员会依据经过复核的评审结果，对报价方进行排序并推荐预成交供应商。</w:t>
      </w:r>
    </w:p>
    <w:p>
      <w:pPr>
        <w:spacing w:line="440" w:lineRule="exact"/>
        <w:rPr>
          <w:rFonts w:ascii="宋体" w:hAnsi="宋体" w:eastAsia="宋体" w:cs="Times New Roman"/>
          <w:kern w:val="0"/>
          <w:sz w:val="24"/>
          <w:szCs w:val="24"/>
        </w:rPr>
      </w:pPr>
      <w:r>
        <w:rPr>
          <w:rFonts w:hint="eastAsia" w:cs="Times New Roman" w:asciiTheme="minorEastAsia" w:hAnsiTheme="minorEastAsia"/>
          <w:kern w:val="0"/>
          <w:sz w:val="24"/>
          <w:szCs w:val="24"/>
        </w:rPr>
        <w:t>本项目只确认一家成交供应商。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14.出具评审报告。评审委员会根据全体成员签字的原始评审记录和评审结果编写评审报告。评审报告主要内容由评审委员会全体成员逐页签字确认。评审委员会成员对需要共同认定的事项存在争议的，按照少数服从多数的原则做出结论。持不同意见的评审委员会成员应当在评审报告上签署不同意见并说明理由；只签字未写明不同意见或者只写明不同意见未说明理由的，视为无意见；不签字的，不影响评审报告的有效性。评审报告应当包括下列主要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(1)谈判日期和地点；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(2)获取谈判文件供应商名单、报价供应商名单和评审委员会成员名单；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(3)评审方法；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(4)谈判记录和评审情况及说明，包括无效报价供应商名称及原因；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评审委员会应当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(6)评审委员会成交建议。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15.宣布评审结果。评审结果由评审委员会组长在谈判现场向参与采购活动的报价方当场公布，且不得更改。公布的内容至少应包含预成交供应商名称和排序，以及无效报价供应商名称和无效报价理由。报价方对评审结果有疑义的，评审委员会应当现场予以解答。</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（六）对下列情况，采购机构以及评审委员会按照《军队物资采购评审管理办法》及相关规定处理。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开始后，经评审满足谈判文件要求的报价供应商只有2家的，评审委员会应当分析原因。评审委员会（五分之四以上评委）认定报价供应商报价客观合理的，应当在评审报告中注明，采购机构报采购管理部门审批同意后，可直接比照竞争性谈判方式，按照至少2轮谈判、供应商3次报价程序，采用原评审方法及评审标准组织评审；经评审满足谈判文件要求的报价供应商只有1家时，评审委员会（五分之四以上评委）认定报价供应商满足单一来源条件的，应当在评审报告中注明；采购机构应当将该项目在网上公示1周（涉密项目除外），无其他供应商响应时，报采购管理部门申请变更采购方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五分之四以上评委）认定采购项目技术指标参数、采购预算编制等方面存在问题，或者认定采购竞争不够充分的，应当予以终止采购，并在评审报告中注明；采购机构应当报采购管理部门处理或者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供应商报价均超采购预算的，评审委员会应当分析原因；一般情况下视为需求部门（单位）不能支付，应当予以终止采购。评审委员会（五分之四以上评委）认定供应商报价客观合理的，可以继续评审，并出具评审报告。</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部分供应商报价超采购预算的，应当继续进行评审。第一预成交供应商报价未超采购预算的，评审结果有效；第一预成交供应商超采购预算的，报采购管理部门处理。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同一需求部门（单位）同一经费来源的同类物资，部分产品单价或者金额超采购预算，但成交总金额未超采购预算的，不视为需求部门（单位）不能支付。</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3.报价方及其报价文件有下列情形之一的，在符合性审查时按照无效报价处理：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(1)未按照谈判文件规定要求密封、签署、盖章的（符合资格性和符合性审查要求的除外）；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(2)报价文件组成明显不符合谈判文件的规定要求，影响评审委员会评判的；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 报价有效期不符合谈判文件要求的；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 其他未满足对报价文件有效性、完整性和对谈判文件响应程度要求的情形。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4.报价方及其报价文件有下列情形之一的，在资格性审查时按照无效报价处理：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(1)不具备谈判文件中规定的资格性要求的；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(2)法人代表授权不符合要求的；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(3)属于禁止参加报价的供应商的；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(4)不符合法律、法规、规章规定的资格性要求的；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(5)供应商授权代理人参加我院采购活动，致使该供应商受到处罚期间，该代理人代理其他供应商参加我院采购活动的；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(6)代理人同期（180天以内）代理2家以上供应商参加我院采购活动的。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5.在商务评审过程中，有下列情形之一的，其报价将被否决：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(1)报价方或其制造商与采购机构有利害关系可能影响谈判公正性的；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(2)报价方参与项目前期咨询或谈判文件编制的；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(3)不同报价方单位负责人为同一人或者存在控股、管理关系的；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(4)报价文件未按谈判文件的要求签署的；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(5)报价方的报价书、资格证明材料未提供，或不符合国家规定或者谈判文件要求的；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(6)同一报价方提交两个以上不同的报价方案或者报价的（但谈判文件要求提交备选方案的除外）；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(7)报价文件不满足谈判文件加注星号（“★”）的重要商务条款要求的；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(8)报价高于谈判文件设定的最高报价限价的（若有）；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(9)报价方有串通报价、弄虚作假、行贿等违法行为的；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(10)存在谈判文件中规定的否决报价的其他商务条款的。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6.技术评审过程中，有下列情形之一的，其报价将被否决：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(1)报价文件不满足谈判文件技术规格中加注星号（“★”）的重要条款（参数）要求，或加注星号（“★”）的重要条款（参数）无符合谈判文件要求的技术资料支持的；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(2)报价文件技术要求中一般参数超出允许偏离的最大范围或最多项数的；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(3)报价文件技术要求中的响应与事实不符或虚假报价的；</w:t>
      </w:r>
    </w:p>
    <w:p>
      <w:pPr>
        <w:spacing w:line="440" w:lineRule="exact"/>
        <w:ind w:firstLine="462" w:firstLineChars="200"/>
        <w:rPr>
          <w:rFonts w:ascii="宋体" w:hAnsi="宋体" w:eastAsia="宋体" w:cs="Times New Roman"/>
          <w:b/>
          <w:kern w:val="0"/>
          <w:sz w:val="24"/>
          <w:szCs w:val="24"/>
        </w:rPr>
      </w:pPr>
      <w:r>
        <w:rPr>
          <w:rFonts w:hint="eastAsia" w:ascii="宋体" w:hAnsi="宋体" w:eastAsia="宋体" w:cs="Times New Roman"/>
          <w:b/>
          <w:kern w:val="0"/>
          <w:sz w:val="24"/>
          <w:szCs w:val="24"/>
        </w:rPr>
        <w:t>(4)复制谈判文件的技术规格相关部分内容作为报价文件中一部分的；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(5)存在谈判文件中规定的否决报价的其他技术条款的。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7.有下列情形之一的，属于报价方相互串通报价，评审委员会应当对串通报价方按照无效报价处理：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(1)报价方之间协商报价等报价文件的实质性内容的；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(2)报价方之间约定成交供应商的；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(3)报价方之间约定部分报价方放弃报价或者成交的；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(4)属于同一集团、协会、商会等组织成员的报价方按照该组织要求协同报价的；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(5)报价方之间为谋取成交或者排斥特定报价方而采取其他联合行动的。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8.有下列情形之一的，视为报价方相互串通报价，评审委员会应当对串通报价方按照无效报价处理：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(1)不同报价方的报价文件由同一单位或者个人编制的；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(2)不同报价方委托同一单位或者个人办理谈判事宜的；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(3)不同报价方的报价文件载明的项目管理成员为同一人的；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(4)不同报价方的报价文件异常一致或者报价呈规律性差异的；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(5)不同报价方的报价文件相互混装的；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9.有下列情形之一的，属于采购机构与报价方串通报价，评审委员会应当对串通报价方按照无效报价处理：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(1)采购机构在谈判开始前开启报价文件并将有关信息泄露给其他报价方的;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(2)采购机构直接或者间接向报价方泄露采购预算、评审委员会成员等信息的；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(3)采购机构明示或者暗示报价方压低或者抬高报价的；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(4)采购机构授意报价方撤换、修改报价文件的；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(5)采购机构明示或者暗示报价方为特定报价方成交提供方便的；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(6)采购机构与报价方为谋求特定报价方成交而采取其他串通行为的。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10.有下列情形之一的，属于虚假报价，评审委员会应当对报价方按照无效报价处理：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(1)使用通过受让或者租借等方式获取资格、资质证书报价的；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(2)使用伪造、变造的许可证件的；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(3)提供虚假的财务状况或者业绩的；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(4)提供虚假的项目负责人或者主要技术人员简历、劳动关系证明的；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(5)提供虚假信用状况的；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(6)提供虚假样品或借用、冒用其他供应商样品的；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(7)其他弄虚作假行为的。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11.有下列情形之一的，应当终止谈判：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(1)参加谈判的供应商均被淘汰的；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(2)谈判结束后，供应商报价文件均不能满足谈判文件最低要求的；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(3)其他无法继续开展谈判或者无法成交的情形；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(4)因重大变故，取消采购任务的。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（七）经评审委员会评审，认为所有报价都不符合谈判文件要求的，评审委员会可否决所有报价，采购机构有权重新组织采购。</w:t>
      </w:r>
    </w:p>
    <w:p>
      <w:pPr>
        <w:tabs>
          <w:tab w:val="left" w:pos="1608"/>
        </w:tabs>
        <w:spacing w:line="440" w:lineRule="exact"/>
        <w:ind w:firstLine="462" w:firstLineChars="200"/>
        <w:rPr>
          <w:rFonts w:ascii="宋体" w:hAnsi="宋体" w:eastAsia="宋体" w:cs="Times New Roman"/>
          <w:kern w:val="0"/>
          <w:sz w:val="24"/>
          <w:szCs w:val="24"/>
        </w:rPr>
      </w:pPr>
      <w:r>
        <w:rPr>
          <w:rFonts w:ascii="宋体" w:hAnsi="宋体" w:eastAsia="宋体" w:cs="Times New Roman"/>
          <w:kern w:val="0"/>
          <w:sz w:val="24"/>
          <w:szCs w:val="24"/>
        </w:rPr>
        <w:tab/>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质疑与投诉</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w:t>
      </w:r>
      <w:r>
        <w:rPr>
          <w:rFonts w:hint="eastAsia" w:cs="Times New Roman" w:asciiTheme="minorEastAsia" w:hAnsiTheme="minorEastAsia"/>
          <w:kern w:val="0"/>
          <w:sz w:val="24"/>
          <w:szCs w:val="24"/>
        </w:rPr>
        <w:t>质疑由我院物资采购中心受理，投诉由我院采购领导小组办公室受理。供应商投诉事项应当是经过质疑的事项，未质疑的事项，投诉不予受理</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质疑</w:t>
      </w:r>
      <w:r>
        <w:rPr>
          <w:rFonts w:hint="eastAsia" w:ascii="宋体" w:hAnsi="宋体" w:eastAsia="宋体" w:cs="Times New Roman"/>
          <w:kern w:val="0"/>
          <w:sz w:val="24"/>
          <w:szCs w:val="24"/>
        </w:rPr>
        <w:t>处理机构</w:t>
      </w:r>
      <w:r>
        <w:rPr>
          <w:rFonts w:ascii="宋体" w:hAnsi="宋体" w:eastAsia="宋体" w:cs="Times New Roman"/>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ascii="宋体" w:hAnsi="宋体" w:eastAsia="宋体" w:cs="Times New Roman"/>
          <w:kern w:val="0"/>
          <w:sz w:val="24"/>
          <w:szCs w:val="24"/>
        </w:rPr>
        <w:t>1.</w:t>
      </w:r>
      <w:r>
        <w:rPr>
          <w:rFonts w:cs="Times New Roman" w:asciiTheme="minorEastAsia" w:hAnsiTheme="minorEastAsia"/>
          <w:kern w:val="0"/>
          <w:sz w:val="24"/>
          <w:szCs w:val="24"/>
        </w:rPr>
        <w:t>联系人：</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电话：</w:t>
      </w:r>
      <w:r>
        <w:rPr>
          <w:rFonts w:hint="eastAsia" w:cs="Times New Roman" w:asciiTheme="minorEastAsia" w:hAnsiTheme="minorEastAsia"/>
          <w:kern w:val="0"/>
          <w:sz w:val="24"/>
          <w:szCs w:val="24"/>
          <w:u w:val="single"/>
        </w:rPr>
        <w:t xml:space="preserve">023-68766148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地址：</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hint="eastAsia" w:cs="Times New Roman" w:asciiTheme="minorEastAsia" w:hAnsiTheme="minorEastAsia"/>
          <w:kern w:val="0"/>
          <w:sz w:val="24"/>
          <w:szCs w:val="24"/>
          <w:u w:val="single"/>
        </w:rPr>
        <w:t xml:space="preserve">   400038                     </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（五）供应商</w:t>
      </w:r>
      <w:r>
        <w:rPr>
          <w:rFonts w:ascii="宋体" w:hAnsi="宋体" w:eastAsia="宋体" w:cs="Times New Roman"/>
          <w:kern w:val="0"/>
          <w:sz w:val="24"/>
          <w:szCs w:val="24"/>
        </w:rPr>
        <w:t>认为下列事项使自己权益受到损害的，</w:t>
      </w:r>
      <w:r>
        <w:rPr>
          <w:rFonts w:hint="eastAsia" w:ascii="宋体" w:hAnsi="宋体" w:eastAsia="宋体" w:cs="Times New Roman"/>
          <w:kern w:val="0"/>
          <w:sz w:val="24"/>
          <w:szCs w:val="24"/>
        </w:rPr>
        <w:t>可以</w:t>
      </w:r>
      <w:r>
        <w:rPr>
          <w:rFonts w:ascii="宋体" w:hAnsi="宋体" w:eastAsia="宋体" w:cs="Times New Roman"/>
          <w:kern w:val="0"/>
          <w:sz w:val="24"/>
          <w:szCs w:val="24"/>
        </w:rPr>
        <w:t>在评审结果公示期内，向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提出书面质疑</w:t>
      </w:r>
      <w:r>
        <w:rPr>
          <w:rFonts w:hint="eastAsia" w:ascii="宋体" w:hAnsi="宋体" w:eastAsia="宋体" w:cs="Times New Roman"/>
          <w:kern w:val="0"/>
          <w:sz w:val="24"/>
          <w:szCs w:val="24"/>
        </w:rPr>
        <w:t>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w:t>
      </w:r>
      <w:r>
        <w:rPr>
          <w:rFonts w:ascii="宋体" w:hAnsi="宋体" w:eastAsia="宋体" w:cs="Times New Roman"/>
          <w:kern w:val="0"/>
          <w:sz w:val="24"/>
          <w:szCs w:val="24"/>
        </w:rPr>
        <w:t>或者相关人员与供应商有利害关系，应当回避而没有回避的；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采购程序违反军队采购相关规定的；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3.供应商</w:t>
      </w:r>
      <w:r>
        <w:rPr>
          <w:rFonts w:ascii="宋体" w:hAnsi="宋体" w:eastAsia="宋体" w:cs="Times New Roman"/>
          <w:kern w:val="0"/>
          <w:sz w:val="24"/>
          <w:szCs w:val="24"/>
        </w:rPr>
        <w:t>之间</w:t>
      </w:r>
      <w:r>
        <w:rPr>
          <w:rFonts w:hint="eastAsia" w:ascii="宋体" w:hAnsi="宋体" w:eastAsia="宋体" w:cs="Times New Roman"/>
          <w:kern w:val="0"/>
          <w:sz w:val="24"/>
          <w:szCs w:val="24"/>
        </w:rPr>
        <w:t>或者采购机构与供应商之间</w:t>
      </w:r>
      <w:r>
        <w:rPr>
          <w:rFonts w:ascii="宋体" w:hAnsi="宋体" w:eastAsia="宋体" w:cs="Times New Roman"/>
          <w:kern w:val="0"/>
          <w:sz w:val="24"/>
          <w:szCs w:val="24"/>
        </w:rPr>
        <w:t>存在串通行为的；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提供虚假资料</w:t>
      </w:r>
      <w:r>
        <w:rPr>
          <w:rFonts w:hint="eastAsia" w:ascii="宋体" w:hAnsi="宋体" w:eastAsia="宋体" w:cs="Times New Roman"/>
          <w:kern w:val="0"/>
          <w:sz w:val="24"/>
          <w:szCs w:val="24"/>
        </w:rPr>
        <w:t>骗取成交</w:t>
      </w:r>
      <w:r>
        <w:rPr>
          <w:rFonts w:ascii="宋体" w:hAnsi="宋体" w:eastAsia="宋体" w:cs="Times New Roman"/>
          <w:kern w:val="0"/>
          <w:sz w:val="24"/>
          <w:szCs w:val="24"/>
        </w:rPr>
        <w:t>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违反采购相关法律法规使自己权益受到损害的其他事项。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书面质疑</w:t>
      </w:r>
      <w:r>
        <w:rPr>
          <w:rFonts w:hint="eastAsia" w:ascii="宋体" w:hAnsi="宋体" w:eastAsia="宋体" w:cs="Times New Roman"/>
          <w:kern w:val="0"/>
          <w:sz w:val="24"/>
          <w:szCs w:val="24"/>
        </w:rPr>
        <w:t>应</w:t>
      </w:r>
      <w:r>
        <w:rPr>
          <w:rFonts w:ascii="宋体" w:hAnsi="宋体" w:eastAsia="宋体" w:cs="Times New Roman"/>
          <w:kern w:val="0"/>
          <w:sz w:val="24"/>
          <w:szCs w:val="24"/>
        </w:rPr>
        <w:t>由法定代表人签字</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加盖单位公章，同时出具法定代表人资格证明书</w:t>
      </w:r>
      <w:r>
        <w:rPr>
          <w:rFonts w:hint="eastAsia" w:ascii="宋体" w:hAnsi="宋体" w:eastAsia="宋体" w:cs="Times New Roman"/>
          <w:kern w:val="0"/>
          <w:sz w:val="24"/>
          <w:szCs w:val="24"/>
        </w:rPr>
        <w:t>。</w:t>
      </w:r>
      <w:r>
        <w:rPr>
          <w:rFonts w:ascii="宋体" w:hAnsi="宋体" w:eastAsia="宋体" w:cs="Times New Roman"/>
          <w:kern w:val="0"/>
          <w:sz w:val="24"/>
          <w:szCs w:val="24"/>
        </w:rPr>
        <w:t>由</w:t>
      </w:r>
      <w:r>
        <w:rPr>
          <w:rFonts w:hint="eastAsia" w:ascii="宋体" w:hAnsi="宋体" w:eastAsia="宋体" w:cs="Times New Roman"/>
          <w:kern w:val="0"/>
          <w:sz w:val="24"/>
          <w:szCs w:val="24"/>
        </w:rPr>
        <w:t>全权代表</w:t>
      </w:r>
      <w:r>
        <w:rPr>
          <w:rFonts w:ascii="宋体" w:hAnsi="宋体" w:eastAsia="宋体" w:cs="Times New Roman"/>
          <w:kern w:val="0"/>
          <w:sz w:val="24"/>
          <w:szCs w:val="24"/>
        </w:rPr>
        <w:t>签字的，必须有法定代表人授权</w:t>
      </w:r>
      <w:r>
        <w:rPr>
          <w:rFonts w:hint="eastAsia" w:ascii="宋体" w:hAnsi="宋体" w:eastAsia="宋体" w:cs="Times New Roman"/>
          <w:kern w:val="0"/>
          <w:sz w:val="24"/>
          <w:szCs w:val="24"/>
        </w:rPr>
        <w:t>书和</w:t>
      </w:r>
      <w:r>
        <w:rPr>
          <w:rFonts w:ascii="宋体" w:hAnsi="宋体" w:eastAsia="宋体" w:cs="Times New Roman"/>
          <w:kern w:val="0"/>
          <w:sz w:val="24"/>
          <w:szCs w:val="24"/>
        </w:rPr>
        <w:t>法定代表人资格证明书</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w:t>
      </w:r>
      <w:r>
        <w:rPr>
          <w:rFonts w:hint="eastAsia" w:ascii="宋体" w:hAnsi="宋体" w:eastAsia="宋体" w:cs="Times New Roman"/>
          <w:kern w:val="0"/>
          <w:sz w:val="24"/>
          <w:szCs w:val="24"/>
        </w:rPr>
        <w:t>。书面</w:t>
      </w:r>
      <w:r>
        <w:rPr>
          <w:rFonts w:ascii="宋体" w:hAnsi="宋体" w:eastAsia="宋体" w:cs="Times New Roman"/>
          <w:kern w:val="0"/>
          <w:sz w:val="24"/>
          <w:szCs w:val="24"/>
        </w:rPr>
        <w:t>质疑主要包括下列内容：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1.质疑的采购项目名称和项目编号；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w:t>
      </w:r>
      <w:r>
        <w:rPr>
          <w:rFonts w:hint="eastAsia" w:ascii="宋体" w:hAnsi="宋体" w:eastAsia="宋体" w:cs="Times New Roman"/>
          <w:kern w:val="0"/>
          <w:sz w:val="24"/>
          <w:szCs w:val="24"/>
        </w:rPr>
        <w:t>人</w:t>
      </w:r>
      <w:r>
        <w:rPr>
          <w:rFonts w:ascii="宋体" w:hAnsi="宋体" w:eastAsia="宋体" w:cs="Times New Roman"/>
          <w:kern w:val="0"/>
          <w:sz w:val="24"/>
          <w:szCs w:val="24"/>
        </w:rPr>
        <w:t>和被质疑人的名称，质疑人的地址、联系方式等；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具体的质疑事项、事实依据及相关证明材料；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提起质疑的日期。</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ascii="宋体" w:hAnsi="宋体" w:eastAsia="宋体" w:cs="Times New Roman"/>
          <w:kern w:val="0"/>
          <w:sz w:val="24"/>
          <w:szCs w:val="24"/>
        </w:rPr>
        <w:t>质疑有以下情形之一的，</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不予受理：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1.未按规定程序和渠道提出质疑的；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超</w:t>
      </w:r>
      <w:r>
        <w:rPr>
          <w:rFonts w:hint="eastAsia" w:ascii="宋体" w:hAnsi="宋体" w:eastAsia="宋体" w:cs="Times New Roman"/>
          <w:kern w:val="0"/>
          <w:sz w:val="24"/>
          <w:szCs w:val="24"/>
        </w:rPr>
        <w:t>过</w:t>
      </w:r>
      <w:r>
        <w:rPr>
          <w:rFonts w:ascii="宋体" w:hAnsi="宋体" w:eastAsia="宋体" w:cs="Times New Roman"/>
          <w:kern w:val="0"/>
          <w:sz w:val="24"/>
          <w:szCs w:val="24"/>
        </w:rPr>
        <w:t>质疑限期</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3.书面</w:t>
      </w:r>
      <w:r>
        <w:rPr>
          <w:rFonts w:ascii="宋体" w:hAnsi="宋体" w:eastAsia="宋体" w:cs="Times New Roman"/>
          <w:kern w:val="0"/>
          <w:sz w:val="24"/>
          <w:szCs w:val="24"/>
        </w:rPr>
        <w:t>质疑的形式和内容不符合</w:t>
      </w:r>
      <w:r>
        <w:rPr>
          <w:rFonts w:hint="eastAsia" w:ascii="宋体" w:hAnsi="宋体" w:eastAsia="宋体" w:cs="Times New Roman"/>
          <w:kern w:val="0"/>
          <w:sz w:val="24"/>
          <w:szCs w:val="24"/>
        </w:rPr>
        <w:t>上述要求的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提出的质疑事项已经明确答复的；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法律法规规定的其他不予受理的条件。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（八）质疑处理机构</w:t>
      </w:r>
      <w:r>
        <w:rPr>
          <w:rFonts w:ascii="宋体" w:hAnsi="宋体" w:eastAsia="宋体" w:cs="Times New Roman"/>
          <w:kern w:val="0"/>
          <w:sz w:val="24"/>
          <w:szCs w:val="24"/>
        </w:rPr>
        <w:t>应当自质疑签收之日起</w:t>
      </w:r>
      <w:r>
        <w:rPr>
          <w:rFonts w:hint="eastAsia" w:ascii="宋体" w:hAnsi="宋体" w:eastAsia="宋体" w:cs="Times New Roman"/>
          <w:kern w:val="0"/>
          <w:sz w:val="24"/>
          <w:szCs w:val="24"/>
        </w:rPr>
        <w:t>7</w:t>
      </w:r>
      <w:r>
        <w:rPr>
          <w:rFonts w:ascii="宋体" w:hAnsi="宋体" w:eastAsia="宋体" w:cs="Times New Roman"/>
          <w:kern w:val="0"/>
          <w:sz w:val="24"/>
          <w:szCs w:val="24"/>
        </w:rPr>
        <w:t>个工作日内做出书面答复。答复内容同时通知与处理结果有关的供应商，但答复内容不得涉及供应商的商业秘密。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在作出书面答复之前，可以采取现场解答的方式向</w:t>
      </w:r>
      <w:r>
        <w:rPr>
          <w:rFonts w:hint="eastAsia" w:ascii="宋体" w:hAnsi="宋体" w:eastAsia="宋体" w:cs="Times New Roman"/>
          <w:kern w:val="0"/>
          <w:sz w:val="24"/>
          <w:szCs w:val="24"/>
        </w:rPr>
        <w:t>质疑人</w:t>
      </w:r>
      <w:r>
        <w:rPr>
          <w:rFonts w:ascii="宋体" w:hAnsi="宋体" w:eastAsia="宋体" w:cs="Times New Roman"/>
          <w:kern w:val="0"/>
          <w:sz w:val="24"/>
          <w:szCs w:val="24"/>
        </w:rPr>
        <w:t>通报初步处理结果。供应商认可处理结果的，可在出具书面申请后撤回质疑或者放弃质疑，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不再进行书面答复。</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（九）供应商</w:t>
      </w:r>
      <w:r>
        <w:rPr>
          <w:rFonts w:ascii="宋体" w:hAnsi="宋体" w:eastAsia="宋体" w:cs="Times New Roman"/>
          <w:kern w:val="0"/>
          <w:sz w:val="24"/>
          <w:szCs w:val="24"/>
        </w:rPr>
        <w:t>质疑有下列情形之一的，视为无效质疑，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应当驳回质疑：</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w:t>
      </w:r>
      <w:r>
        <w:rPr>
          <w:rFonts w:ascii="宋体" w:hAnsi="宋体" w:eastAsia="宋体" w:cs="Times New Roman"/>
          <w:kern w:val="0"/>
          <w:sz w:val="24"/>
          <w:szCs w:val="24"/>
        </w:rPr>
        <w:t>无具体的质疑事项，或者质疑事项缺乏事实和法律依据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质疑内容涉及评审工作细节、其他供应商</w:t>
      </w:r>
      <w:r>
        <w:rPr>
          <w:rFonts w:hint="eastAsia" w:ascii="宋体" w:hAnsi="宋体" w:eastAsia="宋体" w:cs="Times New Roman"/>
          <w:kern w:val="0"/>
          <w:sz w:val="24"/>
          <w:szCs w:val="24"/>
        </w:rPr>
        <w:t>报价</w:t>
      </w:r>
      <w:r>
        <w:rPr>
          <w:rFonts w:ascii="宋体" w:hAnsi="宋体" w:eastAsia="宋体" w:cs="Times New Roman"/>
          <w:kern w:val="0"/>
          <w:sz w:val="24"/>
          <w:szCs w:val="24"/>
        </w:rPr>
        <w:t>资料等保密事项且无法提供信息的合法来源</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质疑已经处理并明确答复后，质疑人就同一事项再次提起质疑且未提供新的有效证据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应当对供应商无效质疑情况记录存档</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（十）供应商</w:t>
      </w:r>
      <w:r>
        <w:rPr>
          <w:rFonts w:ascii="宋体" w:hAnsi="宋体" w:eastAsia="宋体" w:cs="Times New Roman"/>
          <w:kern w:val="0"/>
          <w:sz w:val="24"/>
          <w:szCs w:val="24"/>
        </w:rPr>
        <w:t>进行虚假和恶意质疑，干扰</w:t>
      </w:r>
      <w:r>
        <w:rPr>
          <w:rFonts w:hint="eastAsia" w:ascii="宋体" w:hAnsi="宋体" w:eastAsia="宋体" w:cs="Times New Roman"/>
          <w:kern w:val="0"/>
          <w:sz w:val="24"/>
          <w:szCs w:val="24"/>
        </w:rPr>
        <w:t>军队</w:t>
      </w:r>
      <w:r>
        <w:rPr>
          <w:rFonts w:ascii="宋体" w:hAnsi="宋体" w:eastAsia="宋体" w:cs="Times New Roman"/>
          <w:kern w:val="0"/>
          <w:sz w:val="24"/>
          <w:szCs w:val="24"/>
        </w:rPr>
        <w:t>采购活动的，</w:t>
      </w:r>
      <w:r>
        <w:rPr>
          <w:rFonts w:hint="eastAsia" w:ascii="宋体" w:hAnsi="宋体" w:eastAsia="宋体" w:cs="Times New Roman"/>
          <w:kern w:val="0"/>
          <w:sz w:val="24"/>
          <w:szCs w:val="24"/>
        </w:rPr>
        <w:t>质疑处理机构可以申请上级采购管理部门作出处罚。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（十一）</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r>
        <w:rPr>
          <w:rFonts w:ascii="宋体" w:hAnsi="宋体" w:eastAsia="宋体" w:cs="Times New Roman"/>
          <w:kern w:val="0"/>
          <w:sz w:val="24"/>
          <w:szCs w:val="24"/>
        </w:rPr>
        <w:t>。</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七、确定成交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（一）确定成交供应商</w:t>
      </w:r>
    </w:p>
    <w:p>
      <w:pPr>
        <w:spacing w:line="440" w:lineRule="exact"/>
        <w:ind w:firstLine="462" w:firstLineChars="200"/>
        <w:rPr>
          <w:rFonts w:ascii="宋体" w:hAnsi="宋体" w:eastAsia="宋体" w:cs="宋体"/>
          <w:snapToGrid w:val="0"/>
          <w:kern w:val="0"/>
          <w:sz w:val="24"/>
          <w:szCs w:val="24"/>
        </w:rPr>
      </w:pPr>
      <w:r>
        <w:rPr>
          <w:rFonts w:hint="eastAsia" w:ascii="宋体" w:hAnsi="宋体" w:eastAsia="宋体" w:cs="宋体"/>
          <w:snapToGrid w:val="0"/>
          <w:kern w:val="0"/>
          <w:sz w:val="24"/>
          <w:szCs w:val="24"/>
        </w:rPr>
        <w:t>1.评审结束后3个工作日内，采购机构根据评审委员会提出的书面评审报告，在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w:t>
      </w:r>
      <w:r>
        <w:rPr>
          <w:rFonts w:hint="eastAsia" w:ascii="宋体" w:hAnsi="宋体" w:eastAsia="宋体" w:cs="宋体"/>
          <w:snapToGrid w:val="0"/>
          <w:kern w:val="0"/>
          <w:sz w:val="24"/>
          <w:szCs w:val="24"/>
        </w:rPr>
        <w:t>，公示期为3个工作日。在公示期内无异议的，确定排名第一的供应商为采购项目成交供应商。公示期内有异议的，按照本须知“质疑与投诉”规定的程序处理。</w:t>
      </w:r>
    </w:p>
    <w:p>
      <w:pPr>
        <w:spacing w:line="440" w:lineRule="exact"/>
        <w:ind w:firstLine="462" w:firstLineChars="200"/>
        <w:rPr>
          <w:rFonts w:ascii="宋体" w:hAnsi="宋体" w:eastAsia="宋体" w:cs="Times New Roman"/>
          <w:bCs/>
          <w:kern w:val="0"/>
          <w:sz w:val="24"/>
          <w:szCs w:val="24"/>
        </w:rPr>
      </w:pPr>
      <w:r>
        <w:rPr>
          <w:rFonts w:hint="eastAsia" w:ascii="宋体" w:hAnsi="宋体" w:eastAsia="宋体" w:cs="Times New Roman"/>
          <w:bCs/>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候选供应商为成交供应商，也可以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2.采购机构有权根据采购任务变更等实际情况调整成交数量。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（二）</w:t>
      </w:r>
      <w:r>
        <w:rPr>
          <w:rFonts w:hint="eastAsia" w:ascii="宋体" w:hAnsi="宋体" w:eastAsia="宋体" w:cs="Times New Roman"/>
          <w:snapToGrid w:val="0"/>
          <w:kern w:val="0"/>
          <w:sz w:val="24"/>
          <w:szCs w:val="24"/>
        </w:rPr>
        <w:t>成交通知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采购机构在确定成交供应商后3个工作日内，以书面形式向成交供应商发出《成交通知书》。</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《成交通知书》是签订合同草案的依据。若合同草案未获批准，采购机构有权取消合同草案。</w:t>
      </w:r>
      <w:r>
        <w:rPr>
          <w:rFonts w:hint="eastAsia" w:ascii="宋体" w:hAnsi="宋体" w:eastAsia="宋体" w:cs="宋体"/>
          <w:snapToGrid w:val="0"/>
          <w:kern w:val="0"/>
          <w:sz w:val="24"/>
          <w:szCs w:val="24"/>
        </w:rPr>
        <w:t>《成交通知书》及签订的合同草案不能作为成交供应商启动生产或备货的依据，应待正式合同签订后再启动生产备货，否则，由此造成的后果由成交供应商自行承担。</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八、签订</w:t>
      </w:r>
      <w:r>
        <w:rPr>
          <w:rFonts w:ascii="宋体" w:hAnsi="宋体" w:eastAsia="宋体" w:cs="Times New Roman"/>
          <w:kern w:val="0"/>
          <w:sz w:val="24"/>
          <w:szCs w:val="24"/>
        </w:rPr>
        <w:t>合同</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（一）成交供应商在采购机构发出《成交通知书》之日起，按照采购机构规定的时间、地点签订合同。未经采购机构同意逾期不签订合同的，将取消成交供应商成交资格。</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（二）谈判文件、成交供应商的报价文件、补充报价文件、澄清承诺、说明、补正和《成交通知书》等，均为签订合同的依据。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（三）成交供应商应当按照合同约定履行义务，完成采购项目。成交供应商不得向他人转让采购项目，也不得将采购项目分包向他人转让或委托加工。</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（四）</w:t>
      </w:r>
      <w:r>
        <w:rPr>
          <w:rFonts w:hint="eastAsia" w:cs="Times New Roman" w:asciiTheme="minorEastAsia" w:hAnsiTheme="minorEastAsia"/>
          <w:kern w:val="0"/>
          <w:sz w:val="24"/>
          <w:szCs w:val="24"/>
        </w:rPr>
        <w:t>受到禁止参加军队、大学、医院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r>
        <w:rPr>
          <w:rFonts w:hint="eastAsia" w:ascii="宋体" w:hAnsi="宋体" w:eastAsia="宋体" w:cs="宋体"/>
          <w:snapToGrid w:val="0"/>
          <w:kern w:val="0"/>
          <w:sz w:val="24"/>
          <w:szCs w:val="24"/>
          <w:lang w:val="zh-CN"/>
        </w:rPr>
        <w:t>。</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九、</w:t>
      </w:r>
      <w:r>
        <w:rPr>
          <w:rFonts w:ascii="宋体" w:hAnsi="宋体" w:eastAsia="宋体" w:cs="Times New Roman"/>
          <w:kern w:val="0"/>
          <w:sz w:val="24"/>
          <w:szCs w:val="24"/>
        </w:rPr>
        <w:t>产品</w:t>
      </w:r>
      <w:r>
        <w:rPr>
          <w:rFonts w:hint="eastAsia" w:ascii="宋体" w:hAnsi="宋体" w:eastAsia="宋体" w:cs="Times New Roman"/>
          <w:kern w:val="0"/>
          <w:sz w:val="24"/>
          <w:szCs w:val="24"/>
        </w:rPr>
        <w:t>质量</w:t>
      </w:r>
      <w:r>
        <w:rPr>
          <w:rFonts w:ascii="宋体" w:hAnsi="宋体" w:eastAsia="宋体" w:cs="Times New Roman"/>
          <w:kern w:val="0"/>
          <w:sz w:val="24"/>
          <w:szCs w:val="24"/>
        </w:rPr>
        <w:t>检验验收</w:t>
      </w:r>
    </w:p>
    <w:p>
      <w:pPr>
        <w:spacing w:line="440" w:lineRule="exact"/>
        <w:ind w:firstLine="462" w:firstLineChars="200"/>
        <w:rPr>
          <w:rFonts w:ascii="宋体" w:hAnsi="宋体" w:eastAsia="宋体" w:cs="宋体"/>
          <w:snapToGrid w:val="0"/>
          <w:color w:val="0000FF"/>
          <w:kern w:val="0"/>
          <w:sz w:val="24"/>
          <w:szCs w:val="24"/>
          <w:lang w:val="zh-CN"/>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产品质量验收由合同甲方或者其指定（委托）的质检机构组织实施，成交供应商应予以积极配合。</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（二）验收方式</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2.产品</w:t>
      </w:r>
      <w:r>
        <w:rPr>
          <w:rFonts w:hint="eastAsia" w:ascii="宋体" w:hAnsi="宋体" w:eastAsia="宋体" w:cs="Times New Roman"/>
          <w:kern w:val="0"/>
          <w:sz w:val="24"/>
          <w:szCs w:val="24"/>
        </w:rPr>
        <w:t>安装、调试并正常使用后</w:t>
      </w:r>
      <w:r>
        <w:rPr>
          <w:rFonts w:hint="eastAsia" w:cs="Times New Roman" w:asciiTheme="minorEastAsia" w:hAnsiTheme="minorEastAsia"/>
          <w:kern w:val="0"/>
          <w:sz w:val="24"/>
          <w:szCs w:val="24"/>
        </w:rPr>
        <w:t>，由合同甲方或者其指定（委托）的质检机构出具验收合格证明。</w:t>
      </w:r>
    </w:p>
    <w:p>
      <w:pPr>
        <w:adjustRightInd w:val="0"/>
        <w:snapToGrid w:val="0"/>
        <w:spacing w:line="440" w:lineRule="exact"/>
        <w:ind w:firstLine="575" w:firstLineChars="249"/>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.验收依据：</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1）</w:t>
      </w:r>
      <w:r>
        <w:rPr>
          <w:rFonts w:hint="eastAsia" w:ascii="宋体" w:hAnsi="宋体" w:eastAsia="宋体" w:cs="Times New Roman"/>
          <w:kern w:val="0"/>
          <w:sz w:val="24"/>
          <w:szCs w:val="24"/>
        </w:rPr>
        <w:t>谈判文件、报价文件</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2）</w:t>
      </w:r>
      <w:r>
        <w:rPr>
          <w:rFonts w:hint="eastAsia" w:ascii="宋体" w:hAnsi="宋体" w:eastAsia="宋体" w:cs="Times New Roman"/>
          <w:kern w:val="0"/>
          <w:sz w:val="24"/>
          <w:szCs w:val="24"/>
        </w:rPr>
        <w:t>采购合同及附件文本</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国家、行业的相应标准、规范</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成交供应商应将所提供货物的装箱清单、配件、随机工具、用户使用手册、维修手册、原厂保修卡等资料交付给合同甲方。</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（四）如货物经验收不能达到谈判约定的技术要求或质量标准，合同甲方有权退换货，并视作成交供应商不能交付货物而须支付违约赔偿金给合同甲方，合同甲方还可依法追究成交供应商的违约责任。</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十、</w:t>
      </w:r>
      <w:r>
        <w:rPr>
          <w:rFonts w:ascii="宋体" w:hAnsi="宋体" w:eastAsia="宋体" w:cs="Times New Roman"/>
          <w:kern w:val="0"/>
          <w:sz w:val="24"/>
          <w:szCs w:val="24"/>
        </w:rPr>
        <w:t>解释权限</w:t>
      </w:r>
    </w:p>
    <w:p>
      <w:pPr>
        <w:spacing w:line="440" w:lineRule="exact"/>
        <w:ind w:firstLine="462" w:firstLineChars="200"/>
        <w:rPr>
          <w:rFonts w:ascii="宋体" w:hAnsi="宋体" w:eastAsia="宋体" w:cs="Times New Roman"/>
          <w:kern w:val="0"/>
          <w:sz w:val="24"/>
          <w:szCs w:val="24"/>
        </w:rPr>
      </w:pPr>
    </w:p>
    <w:p>
      <w:pPr>
        <w:spacing w:line="440" w:lineRule="exact"/>
        <w:ind w:firstLine="462" w:firstLineChars="200"/>
        <w:rPr>
          <w:rFonts w:ascii="仿宋_GB2312" w:hAnsi="宋体" w:eastAsia="仿宋_GB2312" w:cs="Times New Roman"/>
          <w:kern w:val="0"/>
          <w:sz w:val="32"/>
          <w:szCs w:val="32"/>
        </w:rPr>
        <w:sectPr>
          <w:headerReference r:id="rId7" w:type="default"/>
          <w:pgSz w:w="11906" w:h="16838"/>
          <w:pgMar w:top="2098" w:right="1474" w:bottom="1985" w:left="1588" w:header="851" w:footer="964" w:gutter="0"/>
          <w:cols w:space="425" w:num="1"/>
          <w:docGrid w:type="linesAndChars" w:linePitch="579" w:charSpace="-1844"/>
        </w:sectPr>
      </w:pPr>
      <w:r>
        <w:rPr>
          <w:rFonts w:hint="eastAsia" w:ascii="宋体" w:hAnsi="宋体" w:eastAsia="宋体" w:cs="Times New Roman"/>
          <w:kern w:val="0"/>
          <w:sz w:val="24"/>
          <w:szCs w:val="24"/>
        </w:rPr>
        <w:t>本谈判文件由采购机构负责解释。</w:t>
      </w:r>
    </w:p>
    <w:p>
      <w:pPr>
        <w:jc w:val="center"/>
        <w:outlineLvl w:val="0"/>
        <w:rPr>
          <w:rFonts w:ascii="黑体" w:hAnsi="黑体" w:eastAsia="黑体" w:cs="Times New Roman"/>
          <w:bCs/>
          <w:kern w:val="0"/>
          <w:sz w:val="32"/>
          <w:szCs w:val="32"/>
        </w:rPr>
      </w:pPr>
      <w:bookmarkStart w:id="14" w:name="_Toc435540981"/>
      <w:bookmarkStart w:id="15" w:name="_Toc37780286"/>
      <w:bookmarkStart w:id="16" w:name="_Toc37172690"/>
      <w:bookmarkStart w:id="17" w:name="_Toc390713969"/>
      <w:bookmarkStart w:id="18" w:name="_Toc285612603"/>
      <w:r>
        <w:rPr>
          <w:rFonts w:hint="eastAsia" w:ascii="黑体" w:hAnsi="黑体" w:eastAsia="黑体" w:cs="Times New Roman"/>
          <w:bCs/>
          <w:kern w:val="0"/>
          <w:sz w:val="32"/>
          <w:szCs w:val="32"/>
        </w:rPr>
        <w:t>第四部分合同样本</w:t>
      </w:r>
      <w:bookmarkEnd w:id="14"/>
      <w:bookmarkEnd w:id="15"/>
      <w:bookmarkEnd w:id="16"/>
      <w:bookmarkEnd w:id="17"/>
      <w:bookmarkEnd w:id="18"/>
    </w:p>
    <w:p>
      <w:pPr>
        <w:adjustRightInd w:val="0"/>
        <w:snapToGrid w:val="0"/>
        <w:jc w:val="center"/>
        <w:rPr>
          <w:rFonts w:ascii="黑体" w:hAnsi="黑体" w:eastAsia="黑体" w:cs="Times New Roman"/>
          <w:bCs/>
          <w:sz w:val="32"/>
          <w:szCs w:val="32"/>
        </w:rPr>
      </w:pPr>
      <w:r>
        <w:rPr>
          <w:rFonts w:hint="eastAsia" w:ascii="黑体" w:hAnsi="黑体" w:eastAsia="黑体" w:cs="Times New Roman"/>
          <w:bCs/>
          <w:sz w:val="32"/>
          <w:szCs w:val="32"/>
        </w:rPr>
        <w:t>采购合同</w:t>
      </w:r>
    </w:p>
    <w:p>
      <w:pPr>
        <w:adjustRightInd w:val="0"/>
        <w:snapToGrid w:val="0"/>
        <w:jc w:val="center"/>
        <w:rPr>
          <w:rFonts w:ascii="Times New Roman" w:hAnsi="Times New Roman" w:eastAsia="方正小标宋简体" w:cs="Times New Roman"/>
          <w:bCs/>
          <w:sz w:val="48"/>
        </w:rPr>
      </w:pPr>
    </w:p>
    <w:p>
      <w:pPr>
        <w:adjustRightInd w:val="0"/>
        <w:snapToGrid w:val="0"/>
        <w:rPr>
          <w:rFonts w:ascii="Times New Roman" w:hAnsi="Times New Roman" w:eastAsia="华文中宋" w:cs="Times New Roman"/>
          <w:bCs/>
          <w:szCs w:val="21"/>
        </w:rPr>
      </w:pPr>
      <w:r>
        <w:rPr>
          <w:rFonts w:hint="eastAsia" w:ascii="Times New Roman" w:hAnsi="Times New Roman" w:eastAsia="宋体" w:cs="Times New Roman"/>
          <w:bCs/>
        </w:rPr>
        <w:t>签订地点：重庆市</w:t>
      </w:r>
      <w:r>
        <w:rPr>
          <w:rFonts w:hint="eastAsia" w:ascii="Times New Roman" w:hAnsi="Times New Roman" w:eastAsia="宋体" w:cs="Times New Roman"/>
        </w:rPr>
        <w:t>　　</w:t>
      </w:r>
      <w:r>
        <w:rPr>
          <w:rFonts w:hint="eastAsia" w:ascii="Times New Roman" w:hAnsi="Times New Roman" w:eastAsia="宋体" w:cs="Times New Roman"/>
          <w:bCs/>
        </w:rPr>
        <w:t>签订日期</w:t>
      </w:r>
      <w:r>
        <w:rPr>
          <w:rFonts w:hint="eastAsia" w:ascii="Times New Roman" w:hAnsi="Times New Roman" w:eastAsia="宋体" w:cs="Times New Roman"/>
        </w:rPr>
        <w:t>：</w:t>
      </w:r>
      <w:r>
        <w:rPr>
          <w:rFonts w:hint="eastAsia" w:ascii="Times New Roman" w:hAnsi="Times New Roman" w:eastAsia="宋体" w:cs="Times New Roman"/>
          <w:bCs/>
        </w:rPr>
        <w:t>年月日</w:t>
      </w:r>
      <w:r>
        <w:rPr>
          <w:rFonts w:hint="eastAsia" w:ascii="Times New Roman" w:hAnsi="Times New Roman" w:eastAsia="宋体" w:cs="Times New Roman"/>
        </w:rPr>
        <w:t>　　　</w:t>
      </w:r>
      <w:r>
        <w:rPr>
          <w:rFonts w:hint="eastAsia" w:ascii="Times New Roman" w:hAnsi="Times New Roman" w:eastAsia="宋体" w:cs="Times New Roman"/>
          <w:bCs/>
        </w:rPr>
        <w:t>合同编号</w:t>
      </w:r>
      <w:r>
        <w:rPr>
          <w:rFonts w:hint="eastAsia" w:ascii="Times New Roman" w:hAnsi="Times New Roman" w:eastAsia="宋体" w:cs="Times New Roman"/>
        </w:rPr>
        <w:t>：</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83"/>
        <w:gridCol w:w="656"/>
        <w:gridCol w:w="151"/>
        <w:gridCol w:w="1269"/>
        <w:gridCol w:w="1555"/>
        <w:gridCol w:w="3188"/>
        <w:gridCol w:w="358"/>
        <w:gridCol w:w="707"/>
        <w:gridCol w:w="423"/>
        <w:gridCol w:w="568"/>
        <w:gridCol w:w="1558"/>
        <w:gridCol w:w="1555"/>
        <w:gridCol w:w="1697"/>
        <w:gridCol w:w="51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03" w:type="pct"/>
            <w:gridSpan w:val="6"/>
            <w:tcBorders>
              <w:top w:val="single" w:color="auto" w:sz="1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甲　　方</w:t>
            </w:r>
          </w:p>
        </w:tc>
        <w:tc>
          <w:tcPr>
            <w:tcW w:w="2496" w:type="pct"/>
            <w:gridSpan w:val="8"/>
            <w:tcBorders>
              <w:top w:val="single" w:color="auto" w:sz="12" w:space="0"/>
              <w:left w:val="single" w:color="auto" w:sz="2" w:space="0"/>
              <w:bottom w:val="single" w:color="auto" w:sz="2" w:space="0"/>
              <w:right w:val="single" w:color="auto" w:sz="1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乙　　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48"/>
                <w:kern w:val="0"/>
                <w:szCs w:val="21"/>
                <w:fitText w:val="1170" w:id="0"/>
              </w:rPr>
              <w:t>单位名</w:t>
            </w:r>
            <w:r>
              <w:rPr>
                <w:rFonts w:hint="eastAsia" w:ascii="宋体" w:hAnsi="宋体" w:eastAsia="宋体" w:cs="Times New Roman"/>
                <w:bCs/>
                <w:spacing w:val="6"/>
                <w:kern w:val="0"/>
                <w:szCs w:val="21"/>
                <w:fitText w:val="1170" w:id="0"/>
              </w:rPr>
              <w:t>称</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pacing w:val="20"/>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
              </w:rPr>
              <w:t>单位名</w:t>
            </w:r>
            <w:r>
              <w:rPr>
                <w:rFonts w:hint="eastAsia" w:ascii="宋体" w:hAnsi="宋体" w:eastAsia="宋体" w:cs="Times New Roman"/>
                <w:bCs/>
                <w:spacing w:val="30"/>
                <w:kern w:val="0"/>
                <w:szCs w:val="21"/>
                <w:fitText w:val="1170" w:id="1"/>
              </w:rPr>
              <w:t>称</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2"/>
              </w:rPr>
              <w:t>法定代表</w:t>
            </w:r>
            <w:r>
              <w:rPr>
                <w:rFonts w:hint="eastAsia" w:ascii="宋体" w:hAnsi="宋体" w:eastAsia="宋体" w:cs="Times New Roman"/>
                <w:bCs/>
                <w:kern w:val="0"/>
                <w:szCs w:val="21"/>
                <w:fitText w:val="1170" w:id="2"/>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3"/>
              </w:rPr>
              <w:t>法定代表</w:t>
            </w:r>
            <w:r>
              <w:rPr>
                <w:rFonts w:hint="eastAsia" w:ascii="宋体" w:hAnsi="宋体" w:eastAsia="宋体" w:cs="Times New Roman"/>
                <w:bCs/>
                <w:kern w:val="0"/>
                <w:szCs w:val="21"/>
                <w:fitText w:val="1170" w:id="3"/>
              </w:rPr>
              <w:t>人</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4"/>
              </w:rPr>
              <w:t>委托代理</w:t>
            </w:r>
            <w:r>
              <w:rPr>
                <w:rFonts w:hint="eastAsia" w:ascii="宋体" w:hAnsi="宋体" w:eastAsia="宋体" w:cs="Times New Roman"/>
                <w:bCs/>
                <w:kern w:val="0"/>
                <w:szCs w:val="21"/>
                <w:fitText w:val="1170" w:id="4"/>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5"/>
              </w:rPr>
              <w:t>委托代理</w:t>
            </w:r>
            <w:r>
              <w:rPr>
                <w:rFonts w:hint="eastAsia" w:ascii="宋体" w:hAnsi="宋体" w:eastAsia="宋体" w:cs="Times New Roman"/>
                <w:bCs/>
                <w:kern w:val="0"/>
                <w:szCs w:val="21"/>
                <w:fitText w:val="1170" w:id="5"/>
              </w:rPr>
              <w:t>人</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35"/>
                <w:kern w:val="0"/>
                <w:szCs w:val="21"/>
                <w:fitText w:val="1170" w:id="6"/>
              </w:rPr>
              <w:t>联系</w:t>
            </w:r>
            <w:r>
              <w:rPr>
                <w:rFonts w:hint="eastAsia" w:ascii="宋体" w:hAnsi="宋体" w:eastAsia="宋体" w:cs="Times New Roman"/>
                <w:bCs/>
                <w:kern w:val="0"/>
                <w:szCs w:val="21"/>
                <w:fitText w:val="1170" w:id="6"/>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35"/>
                <w:kern w:val="0"/>
                <w:szCs w:val="21"/>
                <w:fitText w:val="1170" w:id="7"/>
              </w:rPr>
              <w:t>联系</w:t>
            </w:r>
            <w:r>
              <w:rPr>
                <w:rFonts w:hint="eastAsia" w:ascii="宋体" w:hAnsi="宋体" w:eastAsia="宋体" w:cs="Times New Roman"/>
                <w:bCs/>
                <w:kern w:val="0"/>
                <w:szCs w:val="21"/>
                <w:fitText w:val="1170" w:id="7"/>
              </w:rPr>
              <w:t>人</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8"/>
              </w:rPr>
              <w:t>联系电</w:t>
            </w:r>
            <w:r>
              <w:rPr>
                <w:rFonts w:hint="eastAsia" w:ascii="宋体" w:hAnsi="宋体" w:eastAsia="宋体" w:cs="Times New Roman"/>
                <w:bCs/>
                <w:spacing w:val="30"/>
                <w:kern w:val="0"/>
                <w:szCs w:val="21"/>
                <w:fitText w:val="1170" w:id="8"/>
              </w:rPr>
              <w:t>话</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9"/>
              </w:rPr>
              <w:t>联系电</w:t>
            </w:r>
            <w:r>
              <w:rPr>
                <w:rFonts w:hint="eastAsia" w:ascii="宋体" w:hAnsi="宋体" w:eastAsia="宋体" w:cs="Times New Roman"/>
                <w:bCs/>
                <w:spacing w:val="30"/>
                <w:kern w:val="0"/>
                <w:szCs w:val="21"/>
                <w:fitText w:val="1170" w:id="9"/>
              </w:rPr>
              <w:t>话</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0"/>
              </w:rPr>
              <w:t>通讯地</w:t>
            </w:r>
            <w:r>
              <w:rPr>
                <w:rFonts w:hint="eastAsia" w:ascii="宋体" w:hAnsi="宋体" w:eastAsia="宋体" w:cs="Times New Roman"/>
                <w:bCs/>
                <w:spacing w:val="30"/>
                <w:kern w:val="0"/>
                <w:szCs w:val="21"/>
                <w:fitText w:val="1170" w:id="10"/>
              </w:rPr>
              <w:t>址</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1"/>
              </w:rPr>
              <w:t>通讯地</w:t>
            </w:r>
            <w:r>
              <w:rPr>
                <w:rFonts w:hint="eastAsia" w:ascii="宋体" w:hAnsi="宋体" w:eastAsia="宋体" w:cs="Times New Roman"/>
                <w:bCs/>
                <w:spacing w:val="30"/>
                <w:kern w:val="0"/>
                <w:szCs w:val="21"/>
                <w:fitText w:val="1170" w:id="11"/>
              </w:rPr>
              <w:t>址</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2"/>
              </w:rPr>
              <w:t>邮政编</w:t>
            </w:r>
            <w:r>
              <w:rPr>
                <w:rFonts w:hint="eastAsia" w:ascii="宋体" w:hAnsi="宋体" w:eastAsia="宋体" w:cs="Times New Roman"/>
                <w:bCs/>
                <w:spacing w:val="30"/>
                <w:kern w:val="0"/>
                <w:szCs w:val="21"/>
                <w:fitText w:val="1170" w:id="12"/>
              </w:rPr>
              <w:t>码</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3"/>
              </w:rPr>
              <w:t>邮政编</w:t>
            </w:r>
            <w:r>
              <w:rPr>
                <w:rFonts w:hint="eastAsia" w:ascii="宋体" w:hAnsi="宋体" w:eastAsia="宋体" w:cs="Times New Roman"/>
                <w:bCs/>
                <w:spacing w:val="30"/>
                <w:kern w:val="0"/>
                <w:szCs w:val="21"/>
                <w:fitText w:val="1170" w:id="13"/>
              </w:rPr>
              <w:t>码</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4"/>
              </w:rPr>
              <w:t>付款单</w:t>
            </w:r>
            <w:r>
              <w:rPr>
                <w:rFonts w:hint="eastAsia" w:ascii="宋体" w:hAnsi="宋体" w:eastAsia="宋体" w:cs="Times New Roman"/>
                <w:bCs/>
                <w:spacing w:val="30"/>
                <w:kern w:val="0"/>
                <w:szCs w:val="21"/>
                <w:fitText w:val="1170" w:id="14"/>
              </w:rPr>
              <w:t>位</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5"/>
              </w:rPr>
              <w:t>开户名</w:t>
            </w:r>
            <w:r>
              <w:rPr>
                <w:rFonts w:hint="eastAsia" w:ascii="宋体" w:hAnsi="宋体" w:eastAsia="宋体" w:cs="Times New Roman"/>
                <w:bCs/>
                <w:spacing w:val="30"/>
                <w:kern w:val="0"/>
                <w:szCs w:val="21"/>
                <w:fitText w:val="1170" w:id="15"/>
              </w:rPr>
              <w:t>称</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6"/>
              </w:rPr>
              <w:t>开户银</w:t>
            </w:r>
            <w:r>
              <w:rPr>
                <w:rFonts w:hint="eastAsia" w:ascii="宋体" w:hAnsi="宋体" w:eastAsia="宋体" w:cs="Times New Roman"/>
                <w:bCs/>
                <w:spacing w:val="30"/>
                <w:kern w:val="0"/>
                <w:szCs w:val="21"/>
                <w:fitText w:val="1170" w:id="16"/>
              </w:rPr>
              <w:t>行</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7"/>
              </w:rPr>
              <w:t>开户银</w:t>
            </w:r>
            <w:r>
              <w:rPr>
                <w:rFonts w:hint="eastAsia" w:ascii="宋体" w:hAnsi="宋体" w:eastAsia="宋体" w:cs="Times New Roman"/>
                <w:bCs/>
                <w:spacing w:val="30"/>
                <w:kern w:val="0"/>
                <w:szCs w:val="21"/>
                <w:fitText w:val="1170" w:id="17"/>
              </w:rPr>
              <w:t>行</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8"/>
              </w:rPr>
              <w:t>银行账</w:t>
            </w:r>
            <w:r>
              <w:rPr>
                <w:rFonts w:hint="eastAsia" w:ascii="宋体" w:hAnsi="宋体" w:eastAsia="宋体" w:cs="Times New Roman"/>
                <w:bCs/>
                <w:spacing w:val="30"/>
                <w:kern w:val="0"/>
                <w:szCs w:val="21"/>
                <w:fitText w:val="1170" w:id="18"/>
              </w:rPr>
              <w:t>号</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9"/>
              </w:rPr>
              <w:t>银行账</w:t>
            </w:r>
            <w:r>
              <w:rPr>
                <w:rFonts w:hint="eastAsia" w:ascii="宋体" w:hAnsi="宋体" w:eastAsia="宋体" w:cs="Times New Roman"/>
                <w:bCs/>
                <w:spacing w:val="30"/>
                <w:kern w:val="0"/>
                <w:szCs w:val="21"/>
                <w:fitText w:val="1170" w:id="19"/>
              </w:rPr>
              <w:t>号</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5000" w:type="pct"/>
            <w:gridSpan w:val="14"/>
            <w:tcBorders>
              <w:top w:val="single" w:color="auto" w:sz="2" w:space="0"/>
              <w:left w:val="single" w:color="auto" w:sz="12" w:space="0"/>
              <w:bottom w:val="single" w:color="auto" w:sz="2" w:space="0"/>
              <w:right w:val="single" w:color="auto" w:sz="12" w:space="0"/>
            </w:tcBorders>
            <w:vAlign w:val="center"/>
          </w:tcPr>
          <w:p>
            <w:pPr>
              <w:adjustRightInd w:val="0"/>
              <w:snapToGrid w:val="0"/>
              <w:rPr>
                <w:rFonts w:ascii="Times New Roman" w:hAnsi="Times New Roman" w:eastAsia="宋体" w:cs="Times New Roman"/>
                <w:bCs/>
                <w:snapToGrid w:val="0"/>
                <w:spacing w:val="-10"/>
                <w:szCs w:val="21"/>
              </w:rPr>
            </w:pPr>
            <w:r>
              <w:rPr>
                <w:rFonts w:hint="eastAsia" w:ascii="Times New Roman" w:hAnsi="Times New Roman" w:eastAsia="宋体" w:cs="Times New Roman"/>
                <w:bCs/>
                <w:snapToGrid w:val="0"/>
                <w:spacing w:val="-10"/>
                <w:szCs w:val="21"/>
              </w:rPr>
              <w:t>一、项目编号：                               项目名称：</w:t>
            </w:r>
          </w:p>
          <w:p>
            <w:pPr>
              <w:adjustRightInd w:val="0"/>
              <w:snapToGrid w:val="0"/>
              <w:rPr>
                <w:rFonts w:ascii="Times New Roman" w:hAnsi="Times New Roman" w:eastAsia="宋体" w:cs="Times New Roman"/>
                <w:bCs/>
                <w:snapToGrid w:val="0"/>
                <w:spacing w:val="-10"/>
                <w:sz w:val="18"/>
              </w:rPr>
            </w:pPr>
            <w:r>
              <w:rPr>
                <w:rFonts w:hint="eastAsia" w:ascii="Times New Roman" w:hAnsi="Times New Roman" w:eastAsia="宋体" w:cs="Times New Roman"/>
                <w:bCs/>
                <w:snapToGrid w:val="0"/>
                <w:spacing w:val="-10"/>
                <w:szCs w:val="21"/>
              </w:rPr>
              <w:t>二、合同标的</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bCs/>
                <w:sz w:val="18"/>
              </w:rPr>
            </w:pPr>
            <w:r>
              <w:rPr>
                <w:rFonts w:hint="eastAsia" w:ascii="Times New Roman" w:hAnsi="Times New Roman" w:eastAsia="宋体" w:cs="Times New Roman"/>
                <w:bCs/>
                <w:sz w:val="18"/>
              </w:rPr>
              <w:t>序号</w:t>
            </w:r>
          </w:p>
        </w:tc>
        <w:tc>
          <w:tcPr>
            <w:tcW w:w="222"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1" w:leftChars="-52"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编码</w:t>
            </w: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物资名称</w:t>
            </w:r>
          </w:p>
        </w:tc>
        <w:tc>
          <w:tcPr>
            <w:tcW w:w="526"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生产厂家</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（品牌）</w:t>
            </w: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规格型号</w:t>
            </w: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计量</w:t>
            </w:r>
          </w:p>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单位</w:t>
            </w: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数量</w:t>
            </w: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单价</w:t>
            </w:r>
          </w:p>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26" w:type="pct"/>
            <w:tcBorders>
              <w:top w:val="single" w:color="auto" w:sz="2" w:space="0"/>
              <w:left w:val="single" w:color="auto" w:sz="2" w:space="0"/>
              <w:bottom w:val="single" w:color="auto" w:sz="2" w:space="0"/>
              <w:right w:val="single" w:color="auto" w:sz="2" w:space="0"/>
            </w:tcBorders>
            <w:vAlign w:val="center"/>
          </w:tcPr>
          <w:p>
            <w:pPr>
              <w:widowControl/>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合计金额</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74"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交付时间</w:t>
            </w: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00"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2"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526"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right="-113" w:rightChars="-58"/>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6"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4"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6" w:hRule="atLeast"/>
          <w:jc w:val="center"/>
        </w:trPr>
        <w:tc>
          <w:tcPr>
            <w:tcW w:w="5000" w:type="pct"/>
            <w:gridSpan w:val="14"/>
            <w:tcBorders>
              <w:top w:val="nil"/>
              <w:left w:val="single" w:color="auto" w:sz="12" w:space="0"/>
              <w:bottom w:val="single" w:color="auto" w:sz="12" w:space="0"/>
              <w:right w:val="single" w:color="auto" w:sz="12" w:space="0"/>
            </w:tcBorders>
            <w:vAlign w:val="center"/>
          </w:tcPr>
          <w:p>
            <w:pPr>
              <w:adjustRightInd w:val="0"/>
              <w:snapToGrid w:val="0"/>
              <w:ind w:firstLine="98" w:firstLineChars="50"/>
              <w:rPr>
                <w:rFonts w:ascii="Times New Roman" w:hAnsi="Times New Roman" w:eastAsia="宋体" w:cs="Times New Roman"/>
                <w:bCs/>
              </w:rPr>
            </w:pPr>
            <w:r>
              <w:rPr>
                <w:rFonts w:hint="eastAsia" w:ascii="Times New Roman" w:hAnsi="Times New Roman" w:eastAsia="宋体" w:cs="Times New Roman"/>
                <w:bCs/>
              </w:rPr>
              <w:t>合计：人民币（）金额（大写）亿仟佰拾万仟佰拾元角分（小写）</w:t>
            </w:r>
            <w:r>
              <w:rPr>
                <w:rFonts w:ascii="Times New Roman" w:hAnsi="Times New Roman" w:eastAsia="宋体" w:cs="Times New Roman"/>
                <w:bCs/>
              </w:rPr>
              <w:t>¥</w:t>
            </w:r>
            <w:r>
              <w:rPr>
                <w:rFonts w:hint="eastAsia" w:ascii="Times New Roman" w:hAnsi="Times New Roman" w:eastAsia="宋体" w:cs="Times New Roman"/>
                <w:bCs/>
              </w:rPr>
              <w:t>：</w:t>
            </w:r>
          </w:p>
        </w:tc>
      </w:tr>
    </w:tbl>
    <w:p>
      <w:pPr>
        <w:adjustRightInd w:val="0"/>
        <w:snapToGrid w:val="0"/>
        <w:rPr>
          <w:rFonts w:ascii="Times New Roman" w:hAnsi="Times New Roman" w:eastAsia="华文中宋" w:cs="Times New Roman"/>
          <w:bCs/>
          <w:szCs w:val="21"/>
        </w:rPr>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78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20" w:hRule="atLeast"/>
          <w:jc w:val="center"/>
        </w:trPr>
        <w:tc>
          <w:tcPr>
            <w:tcW w:w="0" w:type="auto"/>
            <w:tcBorders>
              <w:top w:val="single" w:color="auto" w:sz="12" w:space="0"/>
              <w:left w:val="single" w:color="auto" w:sz="12" w:space="0"/>
              <w:bottom w:val="single" w:color="auto" w:sz="4" w:space="0"/>
              <w:right w:val="single" w:color="auto" w:sz="12" w:space="0"/>
            </w:tcBorders>
            <w:vAlign w:val="center"/>
          </w:tcPr>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三、质量标准</w:t>
            </w:r>
            <w:r>
              <w:rPr>
                <w:rFonts w:hint="eastAsia" w:ascii="宋体" w:hAnsi="宋体" w:eastAsia="宋体" w:cs="Times New Roman"/>
                <w:snapToGrid w:val="0"/>
                <w:sz w:val="18"/>
              </w:rPr>
              <w:t xml:space="preserve">  乙方提供的货物必须是全新的、未使用过的，物资质量应符合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投标书或报价文件承</w:t>
            </w:r>
          </w:p>
          <w:p>
            <w:pPr>
              <w:adjustRightInd w:val="0"/>
              <w:snapToGrid w:val="0"/>
              <w:ind w:firstLine="1239" w:firstLineChars="751"/>
              <w:rPr>
                <w:rFonts w:ascii="宋体" w:hAnsi="宋体" w:eastAsia="宋体" w:cs="Times New Roman"/>
                <w:snapToGrid w:val="0"/>
                <w:sz w:val="18"/>
                <w:u w:val="single"/>
              </w:rPr>
            </w:pPr>
            <w:r>
              <w:rPr>
                <w:rFonts w:hint="eastAsia" w:ascii="宋体" w:hAnsi="宋体" w:eastAsia="宋体" w:cs="Times New Roman"/>
                <w:snapToGrid w:val="0"/>
                <w:sz w:val="18"/>
              </w:rPr>
              <w:t xml:space="preserve">诺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宋体" w:hAnsi="宋体" w:eastAsia="宋体" w:cs="Times New Roman"/>
                <w:b/>
                <w:bCs/>
                <w:snapToGrid w:val="0"/>
                <w:sz w:val="18"/>
              </w:rPr>
            </w:pPr>
            <w:r>
              <w:rPr>
                <w:rFonts w:hint="eastAsia" w:ascii="黑体" w:hAnsi="黑体" w:eastAsia="黑体" w:cs="Times New Roman"/>
                <w:bCs/>
                <w:snapToGrid w:val="0"/>
                <w:sz w:val="18"/>
              </w:rPr>
              <w:t>四、包装及资料</w:t>
            </w:r>
            <w:r>
              <w:rPr>
                <w:rFonts w:hint="eastAsia" w:ascii="宋体" w:hAnsi="宋体" w:eastAsia="宋体" w:cs="Times New Roman"/>
                <w:snapToGrid w:val="0"/>
                <w:sz w:val="18"/>
              </w:rPr>
              <w:t xml:space="preserve">  物资包装应符合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 xml:space="preserve">投标书或报价文件承诺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ind w:firstLine="1404" w:firstLineChars="851"/>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bCs/>
                <w:snapToGrid w:val="0"/>
                <w:sz w:val="18"/>
              </w:rPr>
              <w:t>物资出厂资料</w:t>
            </w:r>
            <w:r>
              <w:rPr>
                <w:rFonts w:ascii="宋体" w:hAnsi="宋体" w:eastAsia="宋体" w:cs="Times New Roman"/>
                <w:snapToGrid w:val="0"/>
                <w:sz w:val="18"/>
              </w:rPr>
              <w:t>□</w:t>
            </w:r>
            <w:r>
              <w:rPr>
                <w:rFonts w:hint="eastAsia" w:ascii="宋体" w:hAnsi="宋体" w:eastAsia="宋体" w:cs="Times New Roman"/>
                <w:snapToGrid w:val="0"/>
                <w:sz w:val="18"/>
              </w:rPr>
              <w:t xml:space="preserve">中文使用操作说明书（套）  </w:t>
            </w:r>
            <w:r>
              <w:rPr>
                <w:rFonts w:ascii="宋体" w:hAnsi="宋体" w:eastAsia="宋体" w:cs="Times New Roman"/>
                <w:snapToGrid w:val="0"/>
                <w:sz w:val="18"/>
              </w:rPr>
              <w:t>□</w:t>
            </w:r>
            <w:r>
              <w:rPr>
                <w:rFonts w:hint="eastAsia" w:ascii="宋体" w:hAnsi="宋体" w:eastAsia="宋体" w:cs="Times New Roman"/>
                <w:snapToGrid w:val="0"/>
                <w:sz w:val="18"/>
              </w:rPr>
              <w:t xml:space="preserve">售后服务手册  </w:t>
            </w:r>
            <w:r>
              <w:rPr>
                <w:rFonts w:ascii="宋体" w:hAnsi="宋体" w:eastAsia="宋体" w:cs="Times New Roman"/>
                <w:snapToGrid w:val="0"/>
                <w:sz w:val="18"/>
              </w:rPr>
              <w:t>□</w:t>
            </w:r>
            <w:r>
              <w:rPr>
                <w:rFonts w:hint="eastAsia" w:ascii="宋体" w:hAnsi="宋体" w:eastAsia="宋体" w:cs="Times New Roman"/>
                <w:snapToGrid w:val="0"/>
                <w:sz w:val="18"/>
              </w:rPr>
              <w:t xml:space="preserve">操作维修光盘（套）  </w:t>
            </w:r>
            <w:r>
              <w:rPr>
                <w:rFonts w:ascii="宋体" w:hAnsi="宋体" w:eastAsia="宋体" w:cs="Times New Roman"/>
                <w:snapToGrid w:val="0"/>
                <w:sz w:val="18"/>
              </w:rPr>
              <w:t>□</w:t>
            </w:r>
            <w:r>
              <w:rPr>
                <w:rFonts w:hint="eastAsia" w:ascii="宋体" w:hAnsi="宋体" w:eastAsia="宋体" w:cs="Times New Roman"/>
                <w:snapToGrid w:val="0"/>
                <w:sz w:val="18"/>
              </w:rPr>
              <w:t xml:space="preserve">履历书  </w:t>
            </w:r>
            <w:r>
              <w:rPr>
                <w:rFonts w:ascii="宋体" w:hAnsi="宋体" w:eastAsia="宋体" w:cs="Times New Roman"/>
                <w:snapToGrid w:val="0"/>
                <w:sz w:val="18"/>
              </w:rPr>
              <w:t>□</w:t>
            </w:r>
            <w:r>
              <w:rPr>
                <w:rFonts w:hint="eastAsia" w:ascii="宋体" w:hAnsi="宋体" w:eastAsia="宋体" w:cs="Times New Roman"/>
                <w:snapToGrid w:val="0"/>
                <w:sz w:val="18"/>
              </w:rPr>
              <w:t xml:space="preserve">装箱清单  </w:t>
            </w:r>
            <w:r>
              <w:rPr>
                <w:rFonts w:ascii="宋体" w:hAnsi="宋体" w:eastAsia="宋体" w:cs="Times New Roman"/>
                <w:snapToGrid w:val="0"/>
                <w:sz w:val="18"/>
              </w:rPr>
              <w:t>□</w:t>
            </w:r>
            <w:r>
              <w:rPr>
                <w:rFonts w:hint="eastAsia" w:ascii="宋体" w:hAnsi="宋体" w:eastAsia="宋体" w:cs="Times New Roman"/>
                <w:snapToGrid w:val="0"/>
                <w:sz w:val="18"/>
              </w:rPr>
              <w:t xml:space="preserve">随装工具  </w:t>
            </w:r>
            <w:r>
              <w:rPr>
                <w:rFonts w:ascii="宋体" w:hAnsi="宋体" w:eastAsia="宋体" w:cs="Times New Roman"/>
                <w:snapToGrid w:val="0"/>
                <w:sz w:val="18"/>
              </w:rPr>
              <w:t>□</w:t>
            </w:r>
            <w:r>
              <w:rPr>
                <w:rFonts w:hint="eastAsia" w:ascii="宋体" w:hAnsi="宋体" w:eastAsia="宋体" w:cs="Times New Roman"/>
                <w:snapToGrid w:val="0"/>
                <w:sz w:val="18"/>
              </w:rPr>
              <w:t xml:space="preserve">随装备件  </w:t>
            </w:r>
          </w:p>
          <w:p>
            <w:pPr>
              <w:adjustRightInd w:val="0"/>
              <w:snapToGrid w:val="0"/>
              <w:ind w:firstLine="1404" w:firstLineChars="851"/>
              <w:rPr>
                <w:rFonts w:ascii="宋体" w:hAnsi="宋体" w:eastAsia="宋体" w:cs="Times New Roman"/>
                <w:b/>
                <w:bCs/>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质量检验证明</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产品合格证  </w:t>
            </w:r>
            <w:r>
              <w:rPr>
                <w:rFonts w:ascii="宋体" w:hAnsi="宋体" w:eastAsia="宋体" w:cs="Times New Roman"/>
                <w:snapToGrid w:val="0"/>
                <w:sz w:val="18"/>
              </w:rPr>
              <w:t>□</w:t>
            </w:r>
            <w:r>
              <w:rPr>
                <w:rFonts w:hint="eastAsia" w:ascii="宋体" w:hAnsi="宋体" w:eastAsia="宋体" w:cs="Times New Roman"/>
                <w:snapToGrid w:val="0"/>
                <w:sz w:val="18"/>
              </w:rPr>
              <w:t xml:space="preserve">军检合格证  </w:t>
            </w:r>
            <w:r>
              <w:rPr>
                <w:rFonts w:ascii="宋体" w:hAnsi="宋体" w:eastAsia="宋体" w:cs="Times New Roman"/>
                <w:snapToGrid w:val="0"/>
                <w:sz w:val="18"/>
              </w:rPr>
              <w:t>□</w:t>
            </w:r>
            <w:r>
              <w:rPr>
                <w:rFonts w:hint="eastAsia" w:ascii="宋体" w:hAnsi="宋体" w:eastAsia="宋体" w:cs="Times New Roman"/>
                <w:snapToGrid w:val="0"/>
                <w:sz w:val="18"/>
              </w:rPr>
              <w:t xml:space="preserve">装备铭牌（块数、式样、材质、安装位置供需双方商定）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五、检验验收</w:t>
            </w:r>
            <w:r>
              <w:rPr>
                <w:rFonts w:ascii="宋体" w:hAnsi="宋体" w:eastAsia="宋体" w:cs="Times New Roman"/>
                <w:snapToGrid w:val="0"/>
                <w:sz w:val="18"/>
              </w:rPr>
              <w:t>□</w:t>
            </w:r>
            <w:r>
              <w:rPr>
                <w:rFonts w:hint="eastAsia" w:ascii="宋体" w:hAnsi="宋体" w:eastAsia="宋体" w:cs="Times New Roman"/>
                <w:snapToGrid w:val="0"/>
                <w:sz w:val="18"/>
              </w:rPr>
              <w:t>出厂验收由组织，乙方配合。  □乙方详细生产地址。</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交货验收</w:t>
            </w:r>
            <w:r>
              <w:rPr>
                <w:rFonts w:ascii="宋体" w:hAnsi="宋体" w:eastAsia="宋体" w:cs="Times New Roman"/>
                <w:snapToGrid w:val="0"/>
                <w:sz w:val="18"/>
              </w:rPr>
              <w:t>□</w:t>
            </w:r>
            <w:r>
              <w:rPr>
                <w:rFonts w:hint="eastAsia" w:ascii="宋体" w:hAnsi="宋体" w:eastAsia="宋体" w:cs="Times New Roman"/>
                <w:snapToGrid w:val="0"/>
                <w:sz w:val="18"/>
              </w:rPr>
              <w:t>过程检验</w:t>
            </w:r>
            <w:r>
              <w:rPr>
                <w:rFonts w:ascii="宋体" w:hAnsi="宋体" w:eastAsia="宋体" w:cs="Times New Roman"/>
                <w:snapToGrid w:val="0"/>
                <w:sz w:val="18"/>
              </w:rPr>
              <w:t xml:space="preserve">  □</w:t>
            </w:r>
            <w:r>
              <w:rPr>
                <w:rFonts w:hint="eastAsia" w:ascii="宋体" w:hAnsi="宋体" w:eastAsia="宋体" w:cs="Times New Roman"/>
                <w:snapToGrid w:val="0"/>
                <w:sz w:val="18"/>
              </w:rPr>
              <w:t>其它。</w:t>
            </w:r>
          </w:p>
          <w:p>
            <w:pPr>
              <w:adjustRightInd w:val="0"/>
              <w:snapToGrid w:val="0"/>
              <w:rPr>
                <w:rFonts w:ascii="Times New Roman" w:hAnsi="Times New Roman" w:eastAsia="宋体" w:cs="Times New Roman"/>
                <w:b/>
                <w:bCs/>
                <w:snapToGrid w:val="0"/>
                <w:sz w:val="18"/>
              </w:rPr>
            </w:pPr>
            <w:r>
              <w:rPr>
                <w:rFonts w:hint="eastAsia" w:ascii="黑体" w:hAnsi="黑体" w:eastAsia="黑体" w:cs="Times New Roman"/>
                <w:bCs/>
                <w:snapToGrid w:val="0"/>
                <w:sz w:val="18"/>
              </w:rPr>
              <w:t>六、交货地点</w:t>
            </w:r>
            <w:r>
              <w:rPr>
                <w:rFonts w:ascii="宋体" w:hAnsi="宋体" w:eastAsia="宋体" w:cs="Times New Roman"/>
                <w:snapToGrid w:val="0"/>
                <w:sz w:val="18"/>
              </w:rPr>
              <w:t>□</w:t>
            </w:r>
            <w:r>
              <w:rPr>
                <w:rFonts w:hint="eastAsia" w:ascii="宋体" w:hAnsi="宋体" w:eastAsia="宋体" w:cs="Times New Roman"/>
                <w:snapToGrid w:val="0"/>
                <w:sz w:val="18"/>
              </w:rPr>
              <w:t>乙方</w:t>
            </w:r>
            <w:r>
              <w:rPr>
                <w:rFonts w:ascii="宋体" w:hAnsi="宋体" w:eastAsia="宋体" w:cs="Times New Roman"/>
                <w:snapToGrid w:val="0"/>
                <w:sz w:val="18"/>
              </w:rPr>
              <w:t>□</w:t>
            </w:r>
            <w:r>
              <w:rPr>
                <w:rFonts w:hint="eastAsia" w:ascii="宋体" w:hAnsi="宋体" w:eastAsia="宋体" w:cs="Times New Roman"/>
                <w:snapToGrid w:val="0"/>
                <w:sz w:val="18"/>
              </w:rPr>
              <w:t xml:space="preserve">甲方发运接收单指定地点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七、交货方式</w:t>
            </w:r>
            <w:r>
              <w:rPr>
                <w:rFonts w:ascii="宋体" w:hAnsi="宋体" w:eastAsia="宋体" w:cs="Times New Roman"/>
                <w:snapToGrid w:val="0"/>
                <w:sz w:val="18"/>
              </w:rPr>
              <w:t>□</w:t>
            </w:r>
            <w:r>
              <w:rPr>
                <w:rFonts w:hint="eastAsia" w:ascii="宋体" w:hAnsi="宋体" w:eastAsia="宋体" w:cs="Times New Roman"/>
                <w:snapToGrid w:val="0"/>
                <w:sz w:val="18"/>
              </w:rPr>
              <w:t>甲方自提　</w:t>
            </w:r>
            <w:r>
              <w:rPr>
                <w:rFonts w:ascii="宋体" w:hAnsi="宋体" w:eastAsia="宋体" w:cs="Times New Roman"/>
                <w:snapToGrid w:val="0"/>
                <w:sz w:val="18"/>
              </w:rPr>
              <w:t>□</w:t>
            </w:r>
            <w:r>
              <w:rPr>
                <w:rFonts w:hint="eastAsia" w:ascii="宋体" w:hAnsi="宋体" w:eastAsia="宋体" w:cs="Times New Roman"/>
                <w:snapToGrid w:val="0"/>
                <w:sz w:val="18"/>
              </w:rPr>
              <w:t>乙方送货　</w:t>
            </w:r>
            <w:r>
              <w:rPr>
                <w:rFonts w:ascii="宋体" w:hAnsi="宋体" w:eastAsia="宋体" w:cs="Times New Roman"/>
                <w:snapToGrid w:val="0"/>
                <w:sz w:val="18"/>
              </w:rPr>
              <w:t>□</w:t>
            </w:r>
            <w:r>
              <w:rPr>
                <w:rFonts w:hint="eastAsia" w:ascii="宋体" w:hAnsi="宋体" w:eastAsia="宋体" w:cs="Times New Roman"/>
                <w:snapToGrid w:val="0"/>
                <w:sz w:val="18"/>
              </w:rPr>
              <w:t>甲方负责申请（</w:t>
            </w:r>
            <w:r>
              <w:rPr>
                <w:rFonts w:ascii="宋体" w:hAnsi="宋体" w:eastAsia="宋体" w:cs="Times New Roman"/>
                <w:snapToGrid w:val="0"/>
                <w:sz w:val="18"/>
              </w:rPr>
              <w:t>□</w:t>
            </w:r>
            <w:r>
              <w:rPr>
                <w:rFonts w:hint="eastAsia" w:ascii="宋体" w:hAnsi="宋体" w:eastAsia="宋体" w:cs="Times New Roman"/>
                <w:snapToGrid w:val="0"/>
                <w:sz w:val="18"/>
              </w:rPr>
              <w:t>公路</w:t>
            </w:r>
            <w:r>
              <w:rPr>
                <w:rFonts w:ascii="宋体" w:hAnsi="宋体" w:eastAsia="宋体" w:cs="Times New Roman"/>
                <w:snapToGrid w:val="0"/>
                <w:sz w:val="18"/>
              </w:rPr>
              <w:t xml:space="preserve">  □</w:t>
            </w:r>
            <w:r>
              <w:rPr>
                <w:rFonts w:hint="eastAsia" w:ascii="宋体" w:hAnsi="宋体" w:eastAsia="宋体" w:cs="Times New Roman"/>
                <w:snapToGrid w:val="0"/>
                <w:sz w:val="18"/>
              </w:rPr>
              <w:t>铁路</w:t>
            </w:r>
            <w:r>
              <w:rPr>
                <w:rFonts w:ascii="宋体" w:hAnsi="宋体" w:eastAsia="宋体" w:cs="Times New Roman"/>
                <w:snapToGrid w:val="0"/>
                <w:sz w:val="18"/>
              </w:rPr>
              <w:t xml:space="preserve">  □</w:t>
            </w:r>
            <w:r>
              <w:rPr>
                <w:rFonts w:hint="eastAsia" w:ascii="宋体" w:hAnsi="宋体" w:eastAsia="宋体" w:cs="Times New Roman"/>
                <w:snapToGrid w:val="0"/>
                <w:sz w:val="18"/>
              </w:rPr>
              <w:t>水运</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航空）军事运输计划组织发运，乙方配合  </w:t>
            </w:r>
            <w:r>
              <w:rPr>
                <w:rFonts w:ascii="宋体" w:hAnsi="宋体" w:eastAsia="宋体" w:cs="Times New Roman"/>
                <w:snapToGrid w:val="0"/>
                <w:sz w:val="18"/>
              </w:rPr>
              <w:t>□</w:t>
            </w:r>
            <w:r>
              <w:rPr>
                <w:rFonts w:hint="eastAsia" w:ascii="宋体" w:hAnsi="宋体" w:eastAsia="宋体" w:cs="Times New Roman"/>
                <w:snapToGrid w:val="0"/>
                <w:sz w:val="18"/>
              </w:rPr>
              <w:t>其他。</w:t>
            </w:r>
          </w:p>
          <w:p>
            <w:pPr>
              <w:adjustRightInd w:val="0"/>
              <w:snapToGrid w:val="0"/>
              <w:rPr>
                <w:rFonts w:ascii="Times New Roman" w:hAnsi="Times New Roman" w:eastAsia="宋体" w:cs="Times New Roman"/>
                <w:snapToGrid w:val="0"/>
                <w:sz w:val="18"/>
                <w:u w:val="single"/>
              </w:rPr>
            </w:pPr>
            <w:r>
              <w:rPr>
                <w:rFonts w:hint="eastAsia" w:ascii="黑体" w:hAnsi="黑体" w:eastAsia="黑体" w:cs="Times New Roman"/>
                <w:bCs/>
                <w:snapToGrid w:val="0"/>
                <w:sz w:val="18"/>
              </w:rPr>
              <w:t>八、运输费用</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甲方承担，乙方代垫，凭票据报销  </w:t>
            </w:r>
            <w:r>
              <w:rPr>
                <w:rFonts w:ascii="宋体" w:hAnsi="宋体" w:eastAsia="宋体" w:cs="Times New Roman"/>
                <w:snapToGrid w:val="0"/>
                <w:sz w:val="18"/>
              </w:rPr>
              <w:t>□</w:t>
            </w:r>
            <w:r>
              <w:rPr>
                <w:rFonts w:hint="eastAsia" w:ascii="宋体" w:hAnsi="宋体" w:eastAsia="宋体" w:cs="Times New Roman"/>
                <w:snapToGrid w:val="0"/>
                <w:sz w:val="18"/>
              </w:rPr>
              <w:t xml:space="preserve">乙方承担  </w:t>
            </w:r>
            <w:r>
              <w:rPr>
                <w:rFonts w:ascii="宋体" w:hAnsi="宋体" w:eastAsia="宋体" w:cs="Times New Roman"/>
                <w:snapToGrid w:val="0"/>
                <w:sz w:val="18"/>
              </w:rPr>
              <w:t>□</w:t>
            </w:r>
            <w:r>
              <w:rPr>
                <w:rFonts w:hint="eastAsia" w:ascii="宋体" w:hAnsi="宋体" w:eastAsia="宋体" w:cs="Times New Roman"/>
                <w:snapToGrid w:val="0"/>
                <w:sz w:val="18"/>
              </w:rPr>
              <w:t xml:space="preserve">甲方承担费用元，乙方包干使用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九、售后服务</w:t>
            </w:r>
            <w:r>
              <w:rPr>
                <w:rFonts w:ascii="宋体" w:hAnsi="宋体" w:eastAsia="宋体" w:cs="Times New Roman"/>
                <w:snapToGrid w:val="0"/>
                <w:sz w:val="18"/>
              </w:rPr>
              <w:t>□</w:t>
            </w:r>
            <w:r>
              <w:rPr>
                <w:rFonts w:hint="eastAsia" w:ascii="宋体" w:hAnsi="宋体" w:eastAsia="宋体" w:cs="Times New Roman"/>
                <w:snapToGrid w:val="0"/>
                <w:sz w:val="18"/>
              </w:rPr>
              <w:t>售后服务联系方式：固定电话，手机，电子邮箱。</w:t>
            </w:r>
          </w:p>
          <w:p>
            <w:pPr>
              <w:adjustRightInd w:val="0"/>
              <w:snapToGrid w:val="0"/>
              <w:ind w:firstLine="1279" w:firstLineChars="775"/>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质保期。质保期内，超出质保期后。</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保修期。保修期内，超出保修期后。</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培训方式及费用承担。</w:t>
            </w:r>
          </w:p>
          <w:p>
            <w:pPr>
              <w:adjustRightInd w:val="0"/>
              <w:snapToGrid w:val="0"/>
              <w:ind w:firstLine="1284" w:firstLineChars="778"/>
              <w:rPr>
                <w:rFonts w:ascii="宋体" w:hAnsi="宋体" w:eastAsia="宋体" w:cs="Times New Roman"/>
                <w:snapToGrid w:val="0"/>
                <w:sz w:val="18"/>
                <w:szCs w:val="18"/>
              </w:rPr>
            </w:pPr>
            <w:r>
              <w:rPr>
                <w:rFonts w:ascii="宋体" w:hAnsi="宋体" w:eastAsia="宋体" w:cs="Times New Roman"/>
                <w:snapToGrid w:val="0"/>
                <w:sz w:val="18"/>
              </w:rPr>
              <w:t>□</w:t>
            </w:r>
            <w:r>
              <w:rPr>
                <w:rFonts w:hint="eastAsia" w:ascii="宋体" w:hAnsi="宋体" w:eastAsia="宋体" w:cs="Times New Roman"/>
                <w:snapToGrid w:val="0"/>
                <w:sz w:val="18"/>
              </w:rPr>
              <w:t xml:space="preserve">乙方承诺在战时和平时特殊情况下的军事行动中优先向甲方提供有关支援服务。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hint="eastAsia" w:ascii="宋体" w:hAnsi="宋体" w:eastAsia="宋体" w:cs="Times New Roman"/>
                <w:snapToGrid w:val="0"/>
                <w:sz w:val="18"/>
                <w:szCs w:val="18"/>
              </w:rPr>
              <w:t>。</w:t>
            </w:r>
          </w:p>
          <w:p>
            <w:pPr>
              <w:adjustRightInd w:val="0"/>
              <w:snapToGrid w:val="0"/>
              <w:ind w:left="1276" w:hanging="1282" w:hangingChars="777"/>
              <w:rPr>
                <w:rFonts w:ascii="宋体" w:hAnsi="宋体" w:eastAsia="宋体" w:cs="Times New Roman"/>
                <w:snapToGrid w:val="0"/>
                <w:sz w:val="18"/>
              </w:rPr>
            </w:pPr>
            <w:r>
              <w:rPr>
                <w:rFonts w:hint="eastAsia" w:ascii="黑体" w:hAnsi="黑体" w:eastAsia="黑体" w:cs="Times New Roman"/>
                <w:bCs/>
                <w:snapToGrid w:val="0"/>
                <w:sz w:val="18"/>
              </w:rPr>
              <w:t>十、资金结算</w:t>
            </w:r>
            <w:r>
              <w:rPr>
                <w:rFonts w:ascii="宋体" w:hAnsi="宋体" w:eastAsia="宋体" w:cs="Times New Roman"/>
                <w:snapToGrid w:val="0"/>
                <w:sz w:val="18"/>
              </w:rPr>
              <w:t>□</w:t>
            </w:r>
            <w:r>
              <w:rPr>
                <w:rFonts w:hint="eastAsia" w:ascii="宋体" w:hAnsi="宋体" w:eastAsia="宋体" w:cs="Times New Roman"/>
                <w:snapToGrid w:val="0"/>
                <w:sz w:val="18"/>
              </w:rPr>
              <w:t>自本合同签订生效之日起天内，甲方向乙方支付合同总金额的</w:t>
            </w:r>
            <w:r>
              <w:rPr>
                <w:rFonts w:ascii="宋体" w:hAnsi="宋体" w:eastAsia="宋体" w:cs="Times New Roman"/>
                <w:snapToGrid w:val="0"/>
                <w:sz w:val="18"/>
              </w:rPr>
              <w:t>%</w:t>
            </w:r>
            <w:r>
              <w:rPr>
                <w:rFonts w:hint="eastAsia" w:ascii="宋体" w:hAnsi="宋体" w:eastAsia="宋体" w:cs="Times New Roman"/>
                <w:snapToGrid w:val="0"/>
                <w:sz w:val="18"/>
              </w:rPr>
              <w:t xml:space="preserve">的预付款。  </w:t>
            </w:r>
            <w:r>
              <w:rPr>
                <w:rFonts w:ascii="宋体" w:hAnsi="宋体" w:eastAsia="宋体" w:cs="Times New Roman"/>
                <w:snapToGrid w:val="0"/>
                <w:sz w:val="18"/>
              </w:rPr>
              <w:t>□</w:t>
            </w:r>
            <w:r>
              <w:rPr>
                <w:rFonts w:hint="eastAsia" w:ascii="宋体" w:hAnsi="宋体" w:eastAsia="宋体" w:cs="Times New Roman"/>
                <w:snapToGrid w:val="0"/>
                <w:sz w:val="18"/>
              </w:rPr>
              <w:t>首检合格后再办理预付款。</w:t>
            </w:r>
            <w:r>
              <w:rPr>
                <w:rFonts w:cs="Times New Roman" w:asciiTheme="minorEastAsia" w:hAnsiTheme="minorEastAsia"/>
                <w:snapToGrid w:val="0"/>
                <w:sz w:val="18"/>
                <w:szCs w:val="18"/>
              </w:rPr>
              <w:t>□</w:t>
            </w:r>
            <w:r>
              <w:rPr>
                <w:rFonts w:hint="eastAsia" w:ascii="宋体" w:hAnsi="宋体" w:eastAsia="宋体" w:cs="Times New Roman"/>
                <w:snapToGrid w:val="0"/>
                <w:sz w:val="18"/>
              </w:rPr>
              <w:t>物资检验验收合格并完成交货后天内，甲方凭乙方提供的相关票据单证，向乙方支付合同总金额的</w:t>
            </w:r>
            <w:r>
              <w:rPr>
                <w:rFonts w:ascii="宋体" w:hAnsi="宋体" w:eastAsia="宋体" w:cs="Times New Roman"/>
                <w:snapToGrid w:val="0"/>
                <w:sz w:val="18"/>
              </w:rPr>
              <w:t>%</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余</w:t>
            </w:r>
            <w:r>
              <w:rPr>
                <w:rFonts w:ascii="宋体" w:hAnsi="宋体" w:eastAsia="宋体" w:cs="Times New Roman"/>
                <w:snapToGrid w:val="0"/>
                <w:sz w:val="18"/>
              </w:rPr>
              <w:t>%</w:t>
            </w:r>
            <w:r>
              <w:rPr>
                <w:rFonts w:hint="eastAsia" w:ascii="宋体" w:hAnsi="宋体" w:eastAsia="宋体" w:cs="Times New Roman"/>
                <w:snapToGrid w:val="0"/>
                <w:sz w:val="18"/>
              </w:rPr>
              <w:t xml:space="preserve">作为质量保证金，自交货之日起  </w:t>
            </w:r>
            <w:r>
              <w:rPr>
                <w:rFonts w:ascii="宋体" w:hAnsi="宋体" w:eastAsia="宋体" w:cs="Times New Roman"/>
                <w:snapToGrid w:val="0"/>
                <w:sz w:val="18"/>
              </w:rPr>
              <w:t>□</w:t>
            </w:r>
            <w:r>
              <w:rPr>
                <w:rFonts w:hint="eastAsia" w:ascii="宋体" w:hAnsi="宋体" w:eastAsia="宋体" w:cs="Times New Roman"/>
                <w:snapToGrid w:val="0"/>
                <w:sz w:val="18"/>
              </w:rPr>
              <w:t xml:space="preserve">三个月  </w:t>
            </w:r>
            <w:r>
              <w:rPr>
                <w:rFonts w:ascii="宋体" w:hAnsi="宋体" w:eastAsia="宋体" w:cs="Times New Roman"/>
                <w:snapToGrid w:val="0"/>
                <w:sz w:val="18"/>
              </w:rPr>
              <w:t>□</w:t>
            </w:r>
            <w:r>
              <w:rPr>
                <w:rFonts w:hint="eastAsia" w:ascii="宋体" w:hAnsi="宋体" w:eastAsia="宋体" w:cs="Times New Roman"/>
                <w:snapToGrid w:val="0"/>
                <w:sz w:val="18"/>
              </w:rPr>
              <w:t xml:space="preserve">六个月  </w:t>
            </w:r>
            <w:r>
              <w:rPr>
                <w:rFonts w:ascii="宋体" w:hAnsi="宋体" w:eastAsia="宋体" w:cs="Times New Roman"/>
                <w:snapToGrid w:val="0"/>
                <w:sz w:val="18"/>
              </w:rPr>
              <w:t>□</w:t>
            </w:r>
            <w:r>
              <w:rPr>
                <w:rFonts w:hint="eastAsia" w:ascii="宋体" w:hAnsi="宋体" w:eastAsia="宋体" w:cs="Times New Roman"/>
                <w:snapToGrid w:val="0"/>
                <w:sz w:val="18"/>
              </w:rPr>
              <w:t xml:space="preserve">十二个月  </w:t>
            </w:r>
            <w:r>
              <w:rPr>
                <w:rFonts w:ascii="宋体" w:hAnsi="宋体" w:eastAsia="宋体" w:cs="Times New Roman"/>
                <w:snapToGrid w:val="0"/>
                <w:sz w:val="18"/>
              </w:rPr>
              <w:t>□</w:t>
            </w:r>
            <w:r>
              <w:rPr>
                <w:rFonts w:hint="eastAsia" w:ascii="宋体" w:hAnsi="宋体" w:eastAsia="宋体" w:cs="Times New Roman"/>
                <w:snapToGrid w:val="0"/>
                <w:sz w:val="18"/>
              </w:rPr>
              <w:t xml:space="preserve">月正常使用且无质量问题时，一次性结清。  </w:t>
            </w:r>
            <w:r>
              <w:rPr>
                <w:rFonts w:ascii="宋体" w:hAnsi="宋体" w:eastAsia="宋体" w:cs="Times New Roman"/>
                <w:snapToGrid w:val="0"/>
                <w:sz w:val="18"/>
              </w:rPr>
              <w:t>□</w:t>
            </w:r>
            <w:r>
              <w:rPr>
                <w:rFonts w:hint="eastAsia" w:ascii="宋体" w:hAnsi="宋体" w:eastAsia="宋体" w:cs="Times New Roman"/>
                <w:snapToGrid w:val="0"/>
                <w:sz w:val="18"/>
              </w:rPr>
              <w:t>最终结算按审价报告执行。</w:t>
            </w:r>
          </w:p>
          <w:p>
            <w:pPr>
              <w:adjustRightInd w:val="0"/>
              <w:snapToGrid w:val="0"/>
              <w:rPr>
                <w:rFonts w:ascii="Times New Roman" w:hAnsi="Times New Roman" w:eastAsia="宋体" w:cs="Times New Roman"/>
                <w:bCs/>
                <w:snapToGrid w:val="0"/>
                <w:sz w:val="18"/>
              </w:rPr>
            </w:pPr>
            <w:r>
              <w:rPr>
                <w:rFonts w:hint="eastAsia" w:ascii="黑体" w:hAnsi="黑体" w:eastAsia="黑体" w:cs="Times New Roman"/>
                <w:bCs/>
                <w:snapToGrid w:val="0"/>
                <w:sz w:val="18"/>
              </w:rPr>
              <w:t>十一、知识产权</w:t>
            </w:r>
            <w:r>
              <w:rPr>
                <w:rFonts w:hint="eastAsia" w:ascii="Times New Roman" w:hAnsi="Times New Roman" w:eastAsia="宋体" w:cs="Times New Roman"/>
                <w:bCs/>
                <w:snapToGrid w:val="0"/>
                <w:sz w:val="18"/>
              </w:rPr>
              <w:t>乙方应保证甲方使用其提供的物资时不受第三方关于侵犯专利权、商标权和工业设计权的指控，甲方不承担任何连带责任和赔偿责任。</w:t>
            </w:r>
          </w:p>
          <w:p>
            <w:pPr>
              <w:adjustRightInd w:val="0"/>
              <w:snapToGrid w:val="0"/>
              <w:ind w:left="1447" w:hanging="1453" w:hangingChars="881"/>
              <w:rPr>
                <w:rFonts w:ascii="宋体" w:hAnsi="宋体" w:eastAsia="宋体" w:cs="Times New Roman"/>
                <w:b/>
                <w:bCs/>
                <w:snapToGrid w:val="0"/>
                <w:sz w:val="18"/>
              </w:rPr>
            </w:pPr>
            <w:r>
              <w:rPr>
                <w:rFonts w:hint="eastAsia" w:ascii="黑体" w:hAnsi="黑体" w:eastAsia="黑体" w:cs="Times New Roman"/>
                <w:bCs/>
                <w:snapToGrid w:val="0"/>
                <w:sz w:val="18"/>
              </w:rPr>
              <w:t>十二、保密责任</w:t>
            </w:r>
            <w:r>
              <w:rPr>
                <w:rFonts w:ascii="宋体" w:hAnsi="宋体" w:eastAsia="宋体" w:cs="Times New Roman"/>
                <w:snapToGrid w:val="0"/>
                <w:sz w:val="18"/>
              </w:rPr>
              <w:t>□</w:t>
            </w:r>
            <w:r>
              <w:rPr>
                <w:rFonts w:hint="eastAsia" w:ascii="宋体" w:hAnsi="宋体" w:eastAsia="宋体" w:cs="Times New Roman"/>
                <w:snapToGrid w:val="0"/>
                <w:sz w:val="18"/>
              </w:rPr>
              <w:t xml:space="preserve">甲方对乙方的商业秘密应当保密  </w:t>
            </w:r>
            <w:r>
              <w:rPr>
                <w:rFonts w:ascii="宋体" w:hAnsi="宋体" w:eastAsia="宋体" w:cs="Times New Roman"/>
                <w:snapToGrid w:val="0"/>
                <w:sz w:val="18"/>
              </w:rPr>
              <w:t>□</w:t>
            </w:r>
            <w:r>
              <w:rPr>
                <w:rFonts w:hint="eastAsia" w:ascii="宋体" w:hAnsi="宋体" w:eastAsia="宋体" w:cs="Times New Roman"/>
                <w:bCs/>
                <w:snapToGrid w:val="0"/>
                <w:sz w:val="18"/>
              </w:rPr>
              <w:t xml:space="preserve">乙方对本合同的签订、履行及解除等事项保密，  </w:t>
            </w:r>
            <w:r>
              <w:rPr>
                <w:rFonts w:ascii="宋体" w:hAnsi="宋体" w:eastAsia="宋体" w:cs="Times New Roman"/>
                <w:snapToGrid w:val="0"/>
                <w:sz w:val="18"/>
              </w:rPr>
              <w:t>□</w:t>
            </w:r>
            <w:r>
              <w:rPr>
                <w:rFonts w:hint="eastAsia" w:ascii="宋体" w:hAnsi="宋体" w:eastAsia="宋体" w:cs="Times New Roman"/>
                <w:snapToGrid w:val="0"/>
                <w:sz w:val="18"/>
              </w:rPr>
              <w:t xml:space="preserve">涉及物资的全部技术资料等未经甲方同意乙方不得向社会公开  </w:t>
            </w:r>
            <w:r>
              <w:rPr>
                <w:rFonts w:ascii="宋体" w:hAnsi="宋体" w:eastAsia="宋体" w:cs="Times New Roman"/>
                <w:snapToGrid w:val="0"/>
                <w:sz w:val="18"/>
              </w:rPr>
              <w:t>□</w:t>
            </w:r>
            <w:r>
              <w:rPr>
                <w:rFonts w:hint="eastAsia" w:ascii="宋体" w:hAnsi="宋体" w:eastAsia="宋体" w:cs="Times New Roman"/>
                <w:snapToGrid w:val="0"/>
                <w:sz w:val="18"/>
              </w:rPr>
              <w:t xml:space="preserve">乙方应对甲方委托送货的发运单、接收单位目录和售后服务单位目录等资料，按密级管理，不得泄密。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hint="eastAsia" w:ascii="宋体" w:hAnsi="宋体" w:eastAsia="宋体" w:cs="Times New Roman"/>
                <w:bCs/>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 xml:space="preserve">十三、合同变更与解除  </w:t>
            </w:r>
            <w:r>
              <w:rPr>
                <w:rFonts w:ascii="宋体" w:hAnsi="宋体" w:eastAsia="宋体" w:cs="Times New Roman"/>
                <w:snapToGrid w:val="0"/>
                <w:sz w:val="18"/>
              </w:rPr>
              <w:t>□</w:t>
            </w:r>
            <w:r>
              <w:rPr>
                <w:rFonts w:hint="eastAsia" w:ascii="宋体" w:hAnsi="宋体" w:eastAsia="宋体" w:cs="Times New Roman"/>
                <w:snapToGrid w:val="0"/>
                <w:sz w:val="18"/>
              </w:rPr>
              <w:t>甲乙双方任何一方要求变更、解除或终止合同时，应及时通知对方，并采用书面形式由双方达成协议</w:t>
            </w:r>
            <w:r>
              <w:rPr>
                <w:rFonts w:ascii="宋体" w:hAnsi="宋体" w:eastAsia="宋体" w:cs="Times New Roman"/>
                <w:snapToGrid w:val="0"/>
                <w:sz w:val="18"/>
              </w:rPr>
              <w:t xml:space="preserve">  □</w:t>
            </w:r>
            <w:r>
              <w:rPr>
                <w:rFonts w:hint="eastAsia" w:ascii="宋体" w:hAnsi="宋体" w:eastAsia="宋体" w:cs="Times New Roman"/>
                <w:snapToGrid w:val="0"/>
                <w:sz w:val="18"/>
              </w:rPr>
              <w:t>甲方因任务取消等情况，可以变更或解除合同，给乙方造成损失的，甲方应当赔偿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乙方不能履行合同时，甲方有权解除合同，给甲方造成损失的，乙方应当赔偿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未经甲方允许，乙方不得部分或全部转让其应履行的合同义务</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产品出厂验收不合格，甲方有权拒收货物和支付货款，由此造成的一切损失由乙方承担  </w:t>
            </w:r>
            <w:r>
              <w:rPr>
                <w:rFonts w:ascii="宋体" w:hAnsi="宋体" w:eastAsia="宋体" w:cs="Times New Roman"/>
                <w:snapToGrid w:val="0"/>
                <w:sz w:val="18"/>
              </w:rPr>
              <w:t>□</w:t>
            </w:r>
            <w:r>
              <w:rPr>
                <w:rFonts w:hint="eastAsia" w:ascii="宋体" w:hAnsi="宋体" w:eastAsia="宋体" w:cs="Times New Roman"/>
                <w:snapToGrid w:val="0"/>
                <w:sz w:val="18"/>
              </w:rPr>
              <w:t>其他。</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十四、违约责任</w:t>
            </w:r>
            <w:r>
              <w:rPr>
                <w:rFonts w:hint="eastAsia" w:ascii="宋体" w:hAnsi="宋体" w:eastAsia="宋体" w:cs="Times New Roman"/>
                <w:snapToGrid w:val="0"/>
                <w:sz w:val="18"/>
              </w:rPr>
              <w:t>甲乙任何一方未经对方允许而违约时，违约方应向对方支付违约金，按执行，违约金最高限额为合同总金额的</w:t>
            </w:r>
            <w:r>
              <w:rPr>
                <w:rFonts w:ascii="宋体" w:hAnsi="宋体" w:eastAsia="宋体" w:cs="Times New Roman"/>
                <w:snapToGrid w:val="0"/>
                <w:sz w:val="18"/>
              </w:rPr>
              <w:t>%</w:t>
            </w:r>
            <w:r>
              <w:rPr>
                <w:rFonts w:hint="eastAsia" w:ascii="宋体" w:hAnsi="宋体" w:eastAsia="宋体" w:cs="Times New Roman"/>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eastAsia="宋体" w:cs="Times New Roman"/>
                <w:snapToGrid w:val="0"/>
                <w:sz w:val="18"/>
              </w:rPr>
              <w:t>36</w:t>
            </w:r>
            <w:r>
              <w:rPr>
                <w:rFonts w:hint="eastAsia" w:ascii="宋体" w:hAnsi="宋体" w:eastAsia="宋体" w:cs="Times New Roman"/>
                <w:snapToGrid w:val="0"/>
                <w:sz w:val="18"/>
              </w:rPr>
              <w:t>小时内将情况通知另一方，在灾害发生后</w:t>
            </w:r>
            <w:r>
              <w:rPr>
                <w:rFonts w:ascii="宋体" w:hAnsi="宋体" w:eastAsia="宋体" w:cs="Times New Roman"/>
                <w:snapToGrid w:val="0"/>
                <w:sz w:val="18"/>
              </w:rPr>
              <w:t>14</w:t>
            </w:r>
            <w:r>
              <w:rPr>
                <w:rFonts w:hint="eastAsia" w:ascii="宋体" w:hAnsi="宋体" w:eastAsia="宋体" w:cs="Times New Roman"/>
                <w:snapToGrid w:val="0"/>
                <w:sz w:val="18"/>
              </w:rPr>
              <w:t>天内向另一方出具权威部门的证明文件。如果不可抗力影响连续</w:t>
            </w:r>
            <w:r>
              <w:rPr>
                <w:rFonts w:ascii="宋体" w:hAnsi="宋体" w:eastAsia="宋体" w:cs="Times New Roman"/>
                <w:snapToGrid w:val="0"/>
                <w:sz w:val="18"/>
              </w:rPr>
              <w:t>120</w:t>
            </w:r>
            <w:r>
              <w:rPr>
                <w:rFonts w:hint="eastAsia" w:ascii="宋体" w:hAnsi="宋体" w:eastAsia="宋体" w:cs="Times New Roman"/>
                <w:snapToGrid w:val="0"/>
                <w:sz w:val="18"/>
              </w:rPr>
              <w:t>天以上时，双方可以重新商定合同履行问题。</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十五、合同争议解决方式</w:t>
            </w:r>
            <w:r>
              <w:rPr>
                <w:rFonts w:ascii="宋体" w:hAnsi="宋体" w:eastAsia="宋体" w:cs="Times New Roman"/>
                <w:snapToGrid w:val="0"/>
                <w:sz w:val="18"/>
              </w:rPr>
              <w:t>□</w:t>
            </w:r>
            <w:r>
              <w:rPr>
                <w:rFonts w:hint="eastAsia" w:ascii="宋体" w:hAnsi="宋体" w:eastAsia="宋体" w:cs="Times New Roman"/>
                <w:snapToGrid w:val="0"/>
                <w:sz w:val="18"/>
              </w:rPr>
              <w:t xml:space="preserve">甲乙双方协商解决  </w:t>
            </w:r>
            <w:r>
              <w:rPr>
                <w:rFonts w:ascii="宋体" w:hAnsi="宋体" w:eastAsia="宋体" w:cs="Times New Roman"/>
                <w:snapToGrid w:val="0"/>
                <w:sz w:val="18"/>
              </w:rPr>
              <w:t>□</w:t>
            </w:r>
            <w:r>
              <w:rPr>
                <w:rFonts w:hint="eastAsia" w:ascii="宋体" w:hAnsi="宋体" w:eastAsia="宋体" w:cs="Times New Roman"/>
                <w:snapToGrid w:val="0"/>
                <w:sz w:val="18"/>
              </w:rPr>
              <w:t xml:space="preserve">提交甲方或乙方主管部门调解  </w:t>
            </w:r>
            <w:r>
              <w:rPr>
                <w:rFonts w:ascii="宋体" w:hAnsi="宋体" w:eastAsia="宋体" w:cs="Times New Roman"/>
                <w:snapToGrid w:val="0"/>
                <w:sz w:val="18"/>
              </w:rPr>
              <w:t>□</w:t>
            </w:r>
            <w:r>
              <w:rPr>
                <w:rFonts w:hint="eastAsia" w:ascii="宋体" w:hAnsi="宋体" w:eastAsia="宋体" w:cs="Times New Roman"/>
                <w:snapToGrid w:val="0"/>
                <w:sz w:val="18"/>
              </w:rPr>
              <w:t xml:space="preserve">提交仲裁委员会仲裁  </w:t>
            </w:r>
            <w:r>
              <w:rPr>
                <w:rFonts w:ascii="宋体" w:hAnsi="宋体" w:eastAsia="宋体" w:cs="Times New Roman"/>
                <w:snapToGrid w:val="0"/>
                <w:sz w:val="18"/>
              </w:rPr>
              <w:t>□</w:t>
            </w:r>
            <w:r>
              <w:rPr>
                <w:rFonts w:hint="eastAsia" w:ascii="宋体" w:hAnsi="宋体" w:eastAsia="宋体" w:cs="Times New Roman"/>
                <w:snapToGrid w:val="0"/>
                <w:sz w:val="18"/>
              </w:rPr>
              <w:t>依法向人民法院起诉。</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十六、合同生效</w:t>
            </w:r>
            <w:r>
              <w:rPr>
                <w:rFonts w:ascii="宋体" w:hAnsi="宋体" w:eastAsia="宋体" w:cs="Times New Roman"/>
                <w:snapToGrid w:val="0"/>
                <w:sz w:val="18"/>
              </w:rPr>
              <w:t>□</w:t>
            </w:r>
            <w:r>
              <w:rPr>
                <w:rFonts w:hint="eastAsia" w:ascii="宋体" w:hAnsi="宋体" w:eastAsia="宋体" w:cs="Times New Roman"/>
                <w:snapToGrid w:val="0"/>
                <w:sz w:val="18"/>
              </w:rPr>
              <w:t>草本合同由甲乙双方法定代表人或委托代理人签字并经单位盖章，由甲方报上级有关部门审批通过后，签订正式合同。</w:t>
            </w:r>
          </w:p>
          <w:p>
            <w:pPr>
              <w:adjustRightInd w:val="0"/>
              <w:snapToGrid w:val="0"/>
              <w:ind w:firstLine="248" w:firstLineChars="150"/>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正式合同由甲乙双方法定代表人或委托代理人签字并经单位盖章后生效。</w:t>
            </w:r>
          </w:p>
          <w:p>
            <w:pPr>
              <w:adjustRightInd w:val="0"/>
              <w:snapToGrid w:val="0"/>
              <w:ind w:firstLine="248" w:firstLineChars="150"/>
              <w:rPr>
                <w:rFonts w:ascii="宋体" w:hAnsi="宋体" w:eastAsia="宋体" w:cs="Times New Roman"/>
                <w:snapToGrid w:val="0"/>
                <w:sz w:val="18"/>
              </w:rPr>
            </w:pPr>
            <w:r>
              <w:rPr>
                <w:rFonts w:hint="eastAsia" w:cs="Times New Roman" w:asciiTheme="minorEastAsia" w:hAnsiTheme="minorEastAsia"/>
                <w:snapToGrid w:val="0"/>
                <w:sz w:val="18"/>
                <w:szCs w:val="18"/>
              </w:rPr>
              <w:t>正式合同一式份，甲方份，乙方份，具有同等法律效力。</w:t>
            </w:r>
            <w:r>
              <w:rPr>
                <w:rFonts w:cs="Times New Roman" w:asciiTheme="minorEastAsia" w:hAnsiTheme="minorEastAsia"/>
                <w:snapToGrid w:val="0"/>
                <w:sz w:val="18"/>
                <w:szCs w:val="18"/>
              </w:rPr>
              <w:t>□</w:t>
            </w:r>
            <w:r>
              <w:rPr>
                <w:rFonts w:hint="eastAsia" w:cs="Times New Roman" w:asciiTheme="minorEastAsia" w:hAnsiTheme="minorEastAsia"/>
                <w:snapToGrid w:val="0"/>
                <w:sz w:val="18"/>
                <w:szCs w:val="18"/>
              </w:rPr>
              <w:t>合同有效期限</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十七、合同附件</w:t>
            </w:r>
            <w:r>
              <w:rPr>
                <w:rFonts w:hint="eastAsia" w:ascii="宋体" w:hAnsi="宋体" w:eastAsia="宋体" w:cs="Times New Roman"/>
                <w:snapToGrid w:val="0"/>
                <w:sz w:val="18"/>
              </w:rPr>
              <w:t xml:space="preserve"> □1.交货清单  □2.主要技术指标参数  □3.售后服务承诺  □4.易损易耗件清单  </w:t>
            </w:r>
          </w:p>
          <w:p>
            <w:pPr>
              <w:adjustRightInd w:val="0"/>
              <w:snapToGrid w:val="0"/>
              <w:ind w:firstLine="1411" w:firstLineChars="855"/>
              <w:rPr>
                <w:rFonts w:ascii="宋体" w:hAnsi="宋体" w:eastAsia="宋体" w:cs="Times New Roman"/>
                <w:snapToGrid w:val="0"/>
                <w:sz w:val="18"/>
              </w:rPr>
            </w:pPr>
            <w:r>
              <w:rPr>
                <w:rFonts w:hint="eastAsia" w:ascii="宋体" w:hAnsi="宋体" w:eastAsia="宋体" w:cs="Times New Roman"/>
                <w:snapToGrid w:val="0"/>
                <w:sz w:val="18"/>
              </w:rPr>
              <w:t>□5.详见乙方参与采购人项目（项目编号：）报价文件和评审现场承诺，本合同不另附。</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十八、其    他</w:t>
            </w:r>
            <w:r>
              <w:rPr>
                <w:rFonts w:hint="eastAsia" w:ascii="Times New Roman" w:hAnsi="Times New Roman"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十九、</w:t>
            </w:r>
            <w:r>
              <w:rPr>
                <w:rFonts w:hint="eastAsia" w:ascii="Times New Roman" w:hAnsi="Times New Roman" w:eastAsia="宋体" w:cs="Times New Roman"/>
                <w:snapToGrid w:val="0"/>
                <w:sz w:val="18"/>
              </w:rPr>
              <w:t>未尽事宜由甲乙双方协商确定。</w:t>
            </w:r>
          </w:p>
        </w:tc>
      </w:tr>
    </w:tbl>
    <w:p>
      <w:pPr>
        <w:rPr>
          <w:rFonts w:ascii="宋体" w:hAnsi="宋体" w:eastAsia="宋体" w:cs="Times New Roman"/>
          <w:szCs w:val="21"/>
        </w:rPr>
      </w:pPr>
    </w:p>
    <w:p>
      <w:pPr>
        <w:rPr>
          <w:rFonts w:ascii="黑体" w:hAnsi="Times New Roman" w:eastAsia="黑体" w:cs="Times New Roman"/>
          <w:sz w:val="28"/>
          <w:szCs w:val="28"/>
        </w:rPr>
      </w:pPr>
    </w:p>
    <w:p>
      <w:pPr>
        <w:rPr>
          <w:rFonts w:ascii="黑体" w:hAnsi="Times New Roman" w:eastAsia="黑体" w:cs="Times New Roman"/>
          <w:sz w:val="28"/>
          <w:szCs w:val="28"/>
        </w:rPr>
      </w:pPr>
      <w:r>
        <w:rPr>
          <w:rFonts w:hint="eastAsia" w:ascii="黑体" w:hAnsi="Times New Roman" w:eastAsia="黑体" w:cs="Times New Roman"/>
          <w:sz w:val="28"/>
          <w:szCs w:val="28"/>
        </w:rPr>
        <w:t>附件1</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交货清单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5"/>
        <w:gridCol w:w="2744"/>
        <w:gridCol w:w="2450"/>
        <w:gridCol w:w="1904"/>
        <w:gridCol w:w="1462"/>
        <w:gridCol w:w="799"/>
        <w:gridCol w:w="2335"/>
        <w:gridCol w:w="23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品名</w:t>
            </w: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生产厂家（品牌）</w:t>
            </w: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规格型号</w:t>
            </w: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7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单位</w:t>
            </w:r>
          </w:p>
        </w:tc>
        <w:tc>
          <w:tcPr>
            <w:tcW w:w="2335"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2347"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7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335"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347"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7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335"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347"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Cs w:val="21"/>
        </w:rPr>
      </w:pPr>
      <w:r>
        <w:rPr>
          <w:rFonts w:hint="eastAsia" w:ascii="Times New Roman" w:hAnsi="Times New Roman" w:eastAsia="宋体" w:cs="Times New Roman"/>
          <w:kern w:val="0"/>
          <w:szCs w:val="21"/>
        </w:rPr>
        <w:t>注：1.含备品备件。</w:t>
      </w:r>
    </w:p>
    <w:p>
      <w:pPr>
        <w:ind w:firstLine="39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2.按交货时可验视部分填写。</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附件2</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产品技术指标参数</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5"/>
        <w:gridCol w:w="5517"/>
        <w:gridCol w:w="8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配置</w:t>
            </w: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附件3</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售后服务承诺</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附件4</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易损易耗件清单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2406"/>
        <w:gridCol w:w="2407"/>
        <w:gridCol w:w="2114"/>
        <w:gridCol w:w="1761"/>
        <w:gridCol w:w="1996"/>
        <w:gridCol w:w="1644"/>
        <w:gridCol w:w="1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kern w:val="0"/>
                <w:szCs w:val="21"/>
              </w:rPr>
              <w:t>易损易耗件</w:t>
            </w:r>
            <w:r>
              <w:rPr>
                <w:rFonts w:hint="eastAsia" w:ascii="Times New Roman" w:hAnsi="Times New Roman" w:eastAsia="宋体" w:cs="Times New Roman"/>
                <w:snapToGrid w:val="0"/>
                <w:kern w:val="0"/>
                <w:szCs w:val="21"/>
              </w:rPr>
              <w:t>名称</w:t>
            </w:r>
          </w:p>
        </w:tc>
        <w:tc>
          <w:tcPr>
            <w:tcW w:w="24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规格型号</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生产厂家（品牌）</w:t>
            </w: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 w:val="28"/>
          <w:szCs w:val="28"/>
        </w:rPr>
      </w:pPr>
    </w:p>
    <w:p>
      <w:pPr>
        <w:jc w:val="center"/>
        <w:rPr>
          <w:rFonts w:ascii="Times New Roman" w:hAnsi="Times New Roman" w:eastAsia="宋体" w:cs="Times New Roman"/>
          <w:kern w:val="0"/>
          <w:sz w:val="28"/>
          <w:szCs w:val="28"/>
        </w:rPr>
        <w:sectPr>
          <w:headerReference r:id="rId8" w:type="default"/>
          <w:footerReference r:id="rId9" w:type="default"/>
          <w:pgSz w:w="16838" w:h="11906" w:orient="landscape"/>
          <w:pgMar w:top="1021" w:right="1134" w:bottom="567" w:left="1134" w:header="567" w:footer="567" w:gutter="0"/>
          <w:cols w:space="425" w:num="1"/>
          <w:docGrid w:type="linesAndChars" w:linePitch="412" w:charSpace="-3223"/>
        </w:sectPr>
      </w:pPr>
    </w:p>
    <w:p>
      <w:pPr>
        <w:jc w:val="center"/>
        <w:outlineLvl w:val="0"/>
        <w:rPr>
          <w:rFonts w:ascii="黑体" w:hAnsi="黑体" w:eastAsia="黑体" w:cs="Times New Roman"/>
          <w:kern w:val="0"/>
          <w:sz w:val="32"/>
          <w:szCs w:val="32"/>
        </w:rPr>
      </w:pPr>
      <w:bookmarkStart w:id="19" w:name="_Toc37172691"/>
      <w:bookmarkStart w:id="20" w:name="_Toc240432233"/>
      <w:bookmarkStart w:id="21" w:name="_Toc390713970"/>
      <w:bookmarkStart w:id="22" w:name="_Toc285612604"/>
      <w:bookmarkStart w:id="23" w:name="_Toc37780287"/>
      <w:bookmarkStart w:id="24" w:name="_Toc435540982"/>
      <w:r>
        <w:rPr>
          <w:rFonts w:hint="eastAsia" w:ascii="黑体" w:hAnsi="黑体" w:eastAsia="黑体" w:cs="Times New Roman"/>
          <w:kern w:val="0"/>
          <w:sz w:val="32"/>
          <w:szCs w:val="32"/>
        </w:rPr>
        <w:t>第五部分  附件/报价文件格式</w:t>
      </w:r>
      <w:bookmarkEnd w:id="19"/>
      <w:bookmarkEnd w:id="20"/>
      <w:bookmarkEnd w:id="21"/>
      <w:bookmarkEnd w:id="22"/>
      <w:bookmarkEnd w:id="23"/>
      <w:bookmarkEnd w:id="24"/>
    </w:p>
    <w:p>
      <w:pPr>
        <w:spacing w:line="580" w:lineRule="exact"/>
        <w:rPr>
          <w:rFonts w:ascii="Times New Roman" w:hAnsi="Times New Roman" w:eastAsia="宋体" w:cs="Times New Roman"/>
          <w:kern w:val="0"/>
          <w:sz w:val="28"/>
          <w:szCs w:val="28"/>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附件1：报价函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附件2：报价一览表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附件3：分项报价表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附件4：主要技术性能参数表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附件5：技术指标参数响应偏离表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附件7：交货清单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附件8：易损易耗件清单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附件9：专机配套耗材（试剂）明细表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附件10：报价方售后服务承诺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附件11：近3年成交案例及同类项目案例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附件13：法定代表人授权书（含法定代表人身份证复印件）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附件14：保密承诺书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附件15：廉洁诚信承诺书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附件16：相关声明书（包含但不限于以下内容：①非外资企业或外资控股企业的书面声明；②参加本次采购活动前3年内在经营活动中没有重大违法记录的书面声明）</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附件17：生产企业对代理公司参与报价的授权书</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spacing w:line="560" w:lineRule="exact"/>
        <w:jc w:val="center"/>
        <w:rPr>
          <w:rFonts w:ascii="方正小标宋简体" w:hAnsi="Times New Roman" w:eastAsia="方正小标宋简体" w:cs="Times New Roman"/>
          <w:kern w:val="0"/>
          <w:sz w:val="30"/>
          <w:szCs w:val="30"/>
        </w:rPr>
      </w:pPr>
      <w:r>
        <w:rPr>
          <w:rFonts w:hint="eastAsia" w:ascii="方正小标宋简体" w:hAnsi="Times New Roman" w:eastAsia="方正小标宋简体" w:cs="Times New Roman"/>
          <w:kern w:val="0"/>
          <w:sz w:val="30"/>
          <w:szCs w:val="30"/>
        </w:rPr>
        <w:t>报  价  函</w:t>
      </w:r>
    </w:p>
    <w:p>
      <w:pPr>
        <w:spacing w:line="400" w:lineRule="exact"/>
        <w:rPr>
          <w:rFonts w:ascii="仿宋_GB2312" w:hAnsi="Times New Roman" w:eastAsia="仿宋_GB2312" w:cs="Times New Roman"/>
          <w:kern w:val="0"/>
          <w:sz w:val="32"/>
          <w:szCs w:val="32"/>
        </w:rPr>
      </w:pPr>
    </w:p>
    <w:p>
      <w:pPr>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竞争性谈判采购活动，并对</w:t>
      </w:r>
      <w:r>
        <w:rPr>
          <w:rFonts w:hint="eastAsia" w:cs="Times New Roman" w:asciiTheme="minorEastAsia" w:hAnsiTheme="minorEastAsia"/>
          <w:kern w:val="0"/>
          <w:sz w:val="28"/>
          <w:szCs w:val="28"/>
          <w:u w:val="single"/>
        </w:rPr>
        <w:t>（包号或货物名称）</w:t>
      </w:r>
      <w:r>
        <w:rPr>
          <w:rFonts w:hint="eastAsia" w:cs="Times New Roman" w:asciiTheme="minorEastAsia" w:hAnsiTheme="minorEastAsia"/>
          <w:kern w:val="0"/>
          <w:sz w:val="28"/>
          <w:szCs w:val="28"/>
        </w:rPr>
        <w:t>进行报价。</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一、按照谈判文件规定提交</w:t>
      </w:r>
      <w:r>
        <w:rPr>
          <w:rFonts w:hint="eastAsia" w:cs="Times New Roman" w:asciiTheme="minorEastAsia" w:hAnsiTheme="minorEastAsia"/>
          <w:kern w:val="0"/>
          <w:sz w:val="28"/>
          <w:szCs w:val="28"/>
          <w:lang w:val="zh-CN"/>
        </w:rPr>
        <w:t>报价文件正本份和副本份</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w:t>
      </w:r>
      <w:r>
        <w:rPr>
          <w:rFonts w:hint="eastAsia" w:cs="Times New Roman" w:asciiTheme="minorEastAsia" w:hAnsiTheme="minorEastAsia"/>
          <w:kern w:val="0"/>
          <w:sz w:val="28"/>
          <w:szCs w:val="28"/>
          <w:lang w:val="zh-CN"/>
        </w:rPr>
        <w:t>我方已完全理解谈判文件的全部内容，自愿接受并执行谈判文件的全部条款</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三、本报价文件</w:t>
      </w:r>
      <w:r>
        <w:rPr>
          <w:rFonts w:hint="eastAsia" w:cs="Times New Roman" w:asciiTheme="minorEastAsia" w:hAnsiTheme="minorEastAsia"/>
          <w:kern w:val="0"/>
          <w:sz w:val="28"/>
          <w:szCs w:val="28"/>
          <w:lang w:val="zh-CN"/>
        </w:rPr>
        <w:t>有效期自报价截止之日起180日内有效</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Times New Roman" w:asciiTheme="minorEastAsia" w:hAnsiTheme="minorEastAsia"/>
          <w:kern w:val="0"/>
          <w:sz w:val="28"/>
          <w:szCs w:val="28"/>
        </w:rPr>
        <w:t>四、</w:t>
      </w:r>
      <w:r>
        <w:rPr>
          <w:rFonts w:hint="eastAsia" w:cs="宋体" w:asciiTheme="minorEastAsia" w:hAnsiTheme="minorEastAsia"/>
          <w:snapToGrid w:val="0"/>
          <w:kern w:val="0"/>
          <w:sz w:val="28"/>
          <w:szCs w:val="28"/>
          <w:lang w:val="zh-CN"/>
        </w:rPr>
        <w:t>我方在参与谈判前已仔细研究了谈判文件和所有相关资料，同意谈判文件的相关条款。</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宋体" w:asciiTheme="minorEastAsia" w:hAnsiTheme="minor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宋体" w:asciiTheme="minorEastAsia" w:hAnsiTheme="minorEastAsia"/>
          <w:snapToGrid w:val="0"/>
          <w:kern w:val="0"/>
          <w:sz w:val="28"/>
          <w:szCs w:val="28"/>
          <w:lang w:val="zh-CN"/>
        </w:rPr>
        <w:t>六、</w:t>
      </w:r>
      <w:r>
        <w:rPr>
          <w:rFonts w:hint="eastAsia" w:cs="Times New Roman" w:asciiTheme="minorEastAsia" w:hAnsiTheme="minorEastAsia"/>
          <w:kern w:val="0"/>
          <w:sz w:val="28"/>
          <w:szCs w:val="28"/>
        </w:rPr>
        <w:t>我方承诺自愿遵守、执行国家、军队相关采购管理法规制度及政策规定。</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spacing w:line="440" w:lineRule="exact"/>
        <w:ind w:firstLine="1328" w:firstLineChars="490"/>
        <w:rPr>
          <w:rFonts w:cs="Times New Roman" w:asciiTheme="minorEastAsia" w:hAnsiTheme="minorEastAsia"/>
          <w:kern w:val="0"/>
          <w:sz w:val="28"/>
          <w:szCs w:val="28"/>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10"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spacing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报价一览表</w:t>
      </w:r>
    </w:p>
    <w:p>
      <w:pPr>
        <w:rPr>
          <w:rFonts w:ascii="Times New Roman" w:hAnsi="Times New Roman" w:eastAsia="宋体" w:cs="Times New Roman"/>
          <w:kern w:val="0"/>
          <w:sz w:val="28"/>
          <w:szCs w:val="28"/>
        </w:rPr>
      </w:pPr>
    </w:p>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项目名称：                项目编号：                       包号：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04"/>
        <w:gridCol w:w="1039"/>
        <w:gridCol w:w="2268"/>
        <w:gridCol w:w="1842"/>
        <w:gridCol w:w="851"/>
        <w:gridCol w:w="850"/>
        <w:gridCol w:w="1134"/>
        <w:gridCol w:w="1276"/>
        <w:gridCol w:w="155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交货时间</w:t>
            </w: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kern w:val="0"/>
                <w:sz w:val="24"/>
                <w:szCs w:val="24"/>
              </w:rPr>
              <w:t>合计</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786" w:type="dxa"/>
            <w:gridSpan w:val="12"/>
            <w:tcBorders>
              <w:top w:val="single" w:color="auto" w:sz="4" w:space="0"/>
              <w:left w:val="single" w:color="auto" w:sz="4" w:space="0"/>
              <w:bottom w:val="single" w:color="auto" w:sz="4" w:space="0"/>
              <w:right w:val="single" w:color="auto" w:sz="4" w:space="0"/>
            </w:tcBorders>
            <w:vAlign w:val="center"/>
          </w:tcPr>
          <w:p>
            <w:pPr>
              <w:ind w:firstLine="120" w:firstLineChars="50"/>
              <w:rPr>
                <w:rFonts w:ascii="宋体" w:hAnsi="宋体" w:eastAsia="宋体" w:cs="Times New Roman"/>
                <w:b/>
                <w:kern w:val="0"/>
                <w:sz w:val="24"/>
                <w:szCs w:val="24"/>
              </w:rPr>
            </w:pPr>
            <w:r>
              <w:rPr>
                <w:rFonts w:hint="eastAsia" w:ascii="宋体" w:hAnsi="宋体" w:eastAsia="宋体" w:cs="Times New Roman"/>
                <w:kern w:val="0"/>
                <w:sz w:val="24"/>
                <w:szCs w:val="24"/>
              </w:rPr>
              <w:t>货物总金额（大写人民币）</w:t>
            </w:r>
            <w:r>
              <w:rPr>
                <w:rFonts w:hint="eastAsia" w:ascii="宋体" w:hAnsi="宋体" w:eastAsia="宋体" w:cs="Times New Roman"/>
                <w:bCs/>
                <w:spacing w:val="-4"/>
                <w:kern w:val="0"/>
                <w:sz w:val="24"/>
                <w:szCs w:val="24"/>
              </w:rPr>
              <w:t>：（小写）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r>
              <w:rPr>
                <w:rFonts w:hint="eastAsia" w:ascii="宋体" w:hAnsi="宋体" w:eastAsia="宋体" w:cs="Times New Roman"/>
                <w:bCs/>
                <w:spacing w:val="-4"/>
                <w:kern w:val="0"/>
                <w:sz w:val="24"/>
                <w:szCs w:val="24"/>
              </w:rPr>
              <w:t>保修期（年）</w:t>
            </w:r>
          </w:p>
        </w:tc>
        <w:tc>
          <w:tcPr>
            <w:tcW w:w="12693"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p>
        </w:tc>
      </w:tr>
    </w:tbl>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说明：总价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单价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数量，</w:t>
      </w:r>
      <w:r>
        <w:rPr>
          <w:rFonts w:hint="eastAsia" w:ascii="宋体" w:hAnsi="宋体" w:eastAsia="宋体" w:cs="Times New Roman"/>
          <w:kern w:val="0"/>
          <w:sz w:val="24"/>
          <w:szCs w:val="24"/>
        </w:rPr>
        <w:t>货物总金额</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总价之和。</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报价方全称：（盖章）                   法定代表人（或授权代表）：（签字或盖章）</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 xml:space="preserve">       年月日</w:t>
      </w:r>
    </w:p>
    <w:p>
      <w:pPr>
        <w:rPr>
          <w:rFonts w:ascii="黑体" w:hAnsi="黑体" w:eastAsia="黑体" w:cs="Times New Roman"/>
          <w:kern w:val="0"/>
          <w:sz w:val="28"/>
          <w:szCs w:val="28"/>
        </w:rPr>
      </w:pP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附件3</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分项报价表</w:t>
      </w:r>
    </w:p>
    <w:p>
      <w:pPr>
        <w:jc w:val="left"/>
        <w:rPr>
          <w:rFonts w:ascii="Times New Roman" w:hAnsi="Times New Roman" w:eastAsia="宋体" w:cs="Times New Roman"/>
          <w:kern w:val="0"/>
          <w:sz w:val="28"/>
          <w:szCs w:val="28"/>
        </w:rPr>
      </w:pPr>
    </w:p>
    <w:p>
      <w:pPr>
        <w:jc w:val="left"/>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hint="eastAsia" w:ascii="宋体" w:hAnsi="宋体" w:eastAsia="宋体" w:cs="Times New Roman"/>
          <w:spacing w:val="8"/>
          <w:kern w:val="0"/>
          <w:sz w:val="24"/>
          <w:szCs w:val="24"/>
        </w:rPr>
        <w:t>项目编</w:t>
      </w:r>
      <w:r>
        <w:rPr>
          <w:rFonts w:hint="eastAsia" w:ascii="宋体" w:hAnsi="宋体" w:eastAsia="宋体" w:cs="Times New Roman"/>
          <w:kern w:val="0"/>
          <w:sz w:val="24"/>
          <w:szCs w:val="24"/>
        </w:rPr>
        <w:t>号：包号：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014"/>
        <w:gridCol w:w="1701"/>
        <w:gridCol w:w="1559"/>
        <w:gridCol w:w="2693"/>
        <w:gridCol w:w="851"/>
        <w:gridCol w:w="850"/>
        <w:gridCol w:w="992"/>
        <w:gridCol w:w="127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原产地</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786"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0"/>
                <w:sz w:val="24"/>
                <w:szCs w:val="24"/>
              </w:rPr>
            </w:pPr>
            <w:r>
              <w:rPr>
                <w:rFonts w:hint="eastAsia" w:ascii="宋体" w:hAnsi="宋体" w:eastAsia="宋体" w:cs="Times New Roman"/>
                <w:kern w:val="0"/>
                <w:sz w:val="24"/>
                <w:szCs w:val="24"/>
              </w:rPr>
              <w:t>货物总金额（大写人民币）：    （</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r>
              <w:rPr>
                <w:rFonts w:hint="eastAsia" w:ascii="宋体" w:hAnsi="宋体" w:eastAsia="宋体" w:cs="Times New Roman"/>
                <w:kern w:val="0"/>
                <w:sz w:val="24"/>
                <w:szCs w:val="24"/>
              </w:rPr>
              <w:t>）</w:t>
            </w: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说明：根据交货清单中分项填写。</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bookmarkStart w:id="25" w:name="_Toc285612606"/>
      <w:r>
        <w:rPr>
          <w:rFonts w:hint="eastAsia" w:ascii="宋体" w:hAnsi="宋体" w:eastAsia="宋体" w:cs="Times New Roman"/>
          <w:kern w:val="0"/>
          <w:sz w:val="24"/>
          <w:szCs w:val="24"/>
        </w:rPr>
        <w:t>报价方全称：（盖章）                  法定代表人（或授权代表）：（签字或盖章）</w:t>
      </w:r>
    </w:p>
    <w:p>
      <w:pPr>
        <w:rPr>
          <w:rFonts w:ascii="宋体" w:hAnsi="宋体" w:eastAsia="宋体" w:cs="Times New Roman"/>
          <w:kern w:val="0"/>
          <w:sz w:val="24"/>
          <w:szCs w:val="24"/>
        </w:rPr>
      </w:pPr>
    </w:p>
    <w:p>
      <w:pPr>
        <w:ind w:firstLine="480" w:firstLineChars="200"/>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 xml:space="preserve">     年月日</w:t>
      </w:r>
    </w:p>
    <w:p>
      <w:pPr>
        <w:jc w:val="center"/>
        <w:rPr>
          <w:rFonts w:ascii="宋体" w:hAnsi="宋体" w:eastAsia="宋体" w:cs="Times New Roman"/>
          <w:color w:val="0000FF"/>
          <w:kern w:val="0"/>
          <w:sz w:val="24"/>
          <w:szCs w:val="24"/>
        </w:rPr>
        <w:sectPr>
          <w:headerReference r:id="rId11" w:type="default"/>
          <w:pgSz w:w="16838" w:h="11906" w:orient="landscape"/>
          <w:pgMar w:top="1134" w:right="1134" w:bottom="1134" w:left="1134" w:header="851" w:footer="964" w:gutter="0"/>
          <w:cols w:space="720" w:num="1"/>
          <w:docGrid w:linePitch="510" w:charSpace="-1844"/>
        </w:sectPr>
      </w:pPr>
    </w:p>
    <w:bookmarkEnd w:id="25"/>
    <w:p>
      <w:pPr>
        <w:rPr>
          <w:rFonts w:ascii="黑体" w:hAnsi="黑体" w:eastAsia="黑体" w:cs="Times New Roman"/>
          <w:kern w:val="0"/>
          <w:sz w:val="32"/>
          <w:szCs w:val="32"/>
        </w:rPr>
      </w:pPr>
      <w:r>
        <w:rPr>
          <w:rFonts w:hint="eastAsia" w:ascii="黑体" w:hAnsi="黑体" w:eastAsia="黑体" w:cs="Times New Roman"/>
          <w:kern w:val="0"/>
          <w:sz w:val="32"/>
          <w:szCs w:val="32"/>
        </w:rPr>
        <w:t>附件4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主要技术性能参数表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Layout w:type="autofit"/>
        <w:tblCellMar>
          <w:top w:w="0" w:type="dxa"/>
          <w:left w:w="108" w:type="dxa"/>
          <w:bottom w:w="0" w:type="dxa"/>
          <w:right w:w="108" w:type="dxa"/>
        </w:tblCellMar>
      </w:tblPr>
      <w:tblGrid>
        <w:gridCol w:w="812"/>
        <w:gridCol w:w="2939"/>
        <w:gridCol w:w="2470"/>
        <w:gridCol w:w="2840"/>
      </w:tblGrid>
      <w:tr>
        <w:tblPrEx>
          <w:tblCellMar>
            <w:top w:w="0" w:type="dxa"/>
            <w:left w:w="108" w:type="dxa"/>
            <w:bottom w:w="0" w:type="dxa"/>
            <w:right w:w="108" w:type="dxa"/>
          </w:tblCellMar>
        </w:tblPrEx>
        <w:trPr>
          <w:trHeight w:val="63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939" w:type="dxa"/>
            <w:tcBorders>
              <w:top w:val="single" w:color="auto" w:sz="4" w:space="0"/>
              <w:left w:val="nil"/>
              <w:bottom w:val="single" w:color="auto" w:sz="4" w:space="0"/>
              <w:right w:val="single" w:color="auto" w:sz="4" w:space="0"/>
            </w:tcBorders>
            <w:vAlign w:val="center"/>
          </w:tcPr>
          <w:p>
            <w:pPr>
              <w:widowControl/>
              <w:ind w:firstLine="231" w:firstLineChars="100"/>
              <w:jc w:val="center"/>
              <w:rPr>
                <w:rFonts w:ascii="宋体" w:hAnsi="宋体" w:eastAsia="宋体" w:cs="Times New Roman"/>
                <w:kern w:val="0"/>
                <w:sz w:val="24"/>
                <w:szCs w:val="24"/>
              </w:rPr>
            </w:pPr>
            <w:r>
              <w:rPr>
                <w:rFonts w:hint="eastAsia" w:ascii="宋体" w:hAnsi="宋体" w:eastAsia="宋体" w:cs="Times New Roman"/>
                <w:kern w:val="0"/>
                <w:sz w:val="24"/>
                <w:szCs w:val="24"/>
              </w:rPr>
              <w:t>物资名称</w:t>
            </w:r>
          </w:p>
        </w:tc>
        <w:tc>
          <w:tcPr>
            <w:tcW w:w="2470" w:type="dxa"/>
            <w:tcBorders>
              <w:top w:val="single" w:color="auto" w:sz="4" w:space="0"/>
              <w:left w:val="nil"/>
              <w:bottom w:val="single" w:color="auto" w:sz="4" w:space="0"/>
              <w:right w:val="single" w:color="auto" w:sz="4" w:space="0"/>
            </w:tcBorders>
            <w:vAlign w:val="center"/>
          </w:tcPr>
          <w:p>
            <w:pPr>
              <w:widowControl/>
              <w:ind w:firstLine="578" w:firstLineChars="250"/>
              <w:jc w:val="center"/>
              <w:rPr>
                <w:rFonts w:ascii="宋体" w:hAnsi="宋体" w:eastAsia="宋体" w:cs="Times New Roman"/>
                <w:kern w:val="0"/>
                <w:sz w:val="24"/>
                <w:szCs w:val="24"/>
              </w:rPr>
            </w:pPr>
            <w:r>
              <w:rPr>
                <w:rFonts w:hint="eastAsia" w:ascii="宋体" w:hAnsi="宋体" w:eastAsia="宋体" w:cs="Times New Roman"/>
                <w:kern w:val="0"/>
                <w:sz w:val="24"/>
                <w:szCs w:val="24"/>
              </w:rPr>
              <w:t>技术参数</w:t>
            </w:r>
          </w:p>
        </w:tc>
        <w:tc>
          <w:tcPr>
            <w:tcW w:w="283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执行标准</w:t>
            </w: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bl>
    <w:p>
      <w:pPr>
        <w:ind w:firstLine="462" w:firstLineChars="200"/>
        <w:rPr>
          <w:rFonts w:ascii="宋体" w:hAnsi="宋体" w:eastAsia="宋体" w:cs="Times New Roman"/>
          <w:kern w:val="0"/>
          <w:sz w:val="24"/>
          <w:szCs w:val="24"/>
        </w:rPr>
      </w:pPr>
    </w:p>
    <w:p>
      <w:pPr>
        <w:rPr>
          <w:rFonts w:ascii="宋体" w:hAnsi="宋体" w:eastAsia="宋体" w:cs="Times New Roman"/>
          <w:kern w:val="0"/>
          <w:sz w:val="24"/>
          <w:szCs w:val="24"/>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widowControl/>
        <w:jc w:val="left"/>
        <w:rPr>
          <w:rFonts w:ascii="仿宋_GB2312" w:hAnsi="宋体" w:eastAsia="仿宋_GB2312" w:cs="宋体"/>
          <w:kern w:val="0"/>
          <w:sz w:val="32"/>
          <w:szCs w:val="32"/>
          <w:lang w:val="zh-CN"/>
        </w:rPr>
      </w:pPr>
      <w:r>
        <w:rPr>
          <w:rFonts w:ascii="仿宋_GB2312" w:hAnsi="宋体" w:eastAsia="仿宋_GB2312" w:cs="宋体"/>
          <w:kern w:val="0"/>
          <w:sz w:val="32"/>
          <w:szCs w:val="32"/>
          <w:lang w:val="zh-CN"/>
        </w:rPr>
        <w:br w:type="page"/>
      </w:r>
    </w:p>
    <w:p>
      <w:pPr>
        <w:rPr>
          <w:rFonts w:ascii="仿宋_GB2312" w:hAnsi="宋体" w:eastAsia="仿宋_GB2312" w:cs="宋体"/>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技术指标参数响应偏离表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货物</w:t>
            </w:r>
            <w:r>
              <w:rPr>
                <w:rFonts w:ascii="宋体" w:hAnsi="宋体" w:eastAsia="宋体" w:cs="Times New Roman"/>
                <w:kern w:val="0"/>
                <w:sz w:val="24"/>
                <w:szCs w:val="24"/>
              </w:rPr>
              <w:t>/</w:t>
            </w:r>
            <w:r>
              <w:rPr>
                <w:rFonts w:hint="eastAsia" w:ascii="宋体" w:hAnsi="宋体" w:eastAsia="宋体" w:cs="Times New Roman"/>
                <w:kern w:val="0"/>
                <w:sz w:val="24"/>
                <w:szCs w:val="24"/>
              </w:rPr>
              <w:t>部件</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b/>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报价方应对照谈判文件技术要求，逐条如实填写所报产品的具体指标参数，注明无偏离、正偏离或负偏离，并在备注中注明偏离的具体内容。</w:t>
      </w:r>
      <w:r>
        <w:rPr>
          <w:rFonts w:hint="eastAsia" w:ascii="宋体" w:hAnsi="宋体" w:eastAsia="宋体" w:cs="Times New Roman"/>
          <w:b/>
          <w:bCs/>
          <w:kern w:val="0"/>
          <w:sz w:val="24"/>
          <w:szCs w:val="24"/>
        </w:rPr>
        <w:t>技术指标参数响应栏如果原文复制谈判文件技术要求，可能会被视为无效报价。</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商务条款主要包括报价要求、售后服务、专利权和保密要求、交货时间、地点与方式、付款及结算方式等。如有遗漏，请报价方按照谈判文件正文自行补充完整。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报价文件商务条款响应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请报价方认真填写本表内容，如填写错误将可能导致报价无效。</w:t>
      </w:r>
    </w:p>
    <w:p>
      <w:pPr>
        <w:ind w:firstLine="3047" w:firstLineChars="1319"/>
        <w:rPr>
          <w:rFonts w:cs="Times New Roman" w:asciiTheme="minorEastAsia" w:hAnsiTheme="minorEastAsia"/>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交货清单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343"/>
        <w:gridCol w:w="1448"/>
        <w:gridCol w:w="1817"/>
        <w:gridCol w:w="1045"/>
        <w:gridCol w:w="967"/>
        <w:gridCol w:w="1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序号</w:t>
            </w: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品名</w:t>
            </w: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生产厂家</w:t>
            </w:r>
          </w:p>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（品牌）</w:t>
            </w: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规格型号</w:t>
            </w: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数量</w:t>
            </w: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单位</w:t>
            </w: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bl>
    <w:p>
      <w:pPr>
        <w:rPr>
          <w:rFonts w:ascii="Times New Roman" w:hAnsi="Times New Roman" w:eastAsia="宋体" w:cs="Times New Roman"/>
          <w:snapToGrid w:val="0"/>
          <w:kern w:val="0"/>
          <w:sz w:val="24"/>
          <w:szCs w:val="24"/>
        </w:rPr>
      </w:pPr>
    </w:p>
    <w:p>
      <w:pPr>
        <w:autoSpaceDE w:val="0"/>
        <w:autoSpaceDN w:val="0"/>
        <w:adjustRightInd w:val="0"/>
        <w:rPr>
          <w:rFonts w:ascii="Times New Roman" w:hAnsi="Times New Roman" w:eastAsia="宋体" w:cs="Times New Roman"/>
          <w:snapToGrid w:val="0"/>
          <w:kern w:val="0"/>
          <w:sz w:val="24"/>
          <w:szCs w:val="24"/>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r>
        <w:rPr>
          <w:rFonts w:ascii="Times New Roman" w:hAnsi="Times New Roman" w:eastAsia="宋体" w:cs="Times New Roman"/>
          <w:snapToGrid w:val="0"/>
          <w:kern w:val="0"/>
          <w:sz w:val="28"/>
          <w:szCs w:val="28"/>
          <w:lang w:val="zh-CN"/>
        </w:rPr>
        <w:br w:type="page"/>
      </w:r>
      <w:r>
        <w:rPr>
          <w:rFonts w:hint="eastAsia" w:ascii="黑体" w:hAnsi="黑体" w:eastAsia="黑体" w:cs="Times New Roman"/>
          <w:kern w:val="0"/>
          <w:sz w:val="32"/>
          <w:szCs w:val="32"/>
        </w:rPr>
        <w:t>附件8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易损易耗件清单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42"/>
        <w:gridCol w:w="1605"/>
        <w:gridCol w:w="1712"/>
        <w:gridCol w:w="709"/>
        <w:gridCol w:w="850"/>
        <w:gridCol w:w="1134"/>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易损易耗件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7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（品牌）</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数量</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仿宋_GB2312" w:hAnsi="宋体" w:eastAsia="仿宋_GB2312" w:cs="宋体"/>
          <w:kern w:val="0"/>
          <w:sz w:val="32"/>
          <w:szCs w:val="32"/>
          <w:lang w:val="zh-CN"/>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专机配套耗材（试剂）明细表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442"/>
        <w:gridCol w:w="1332"/>
        <w:gridCol w:w="1276"/>
        <w:gridCol w:w="992"/>
        <w:gridCol w:w="1418"/>
        <w:gridCol w:w="1407"/>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物资名称</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医疗器械注册证号</w:t>
            </w:r>
          </w:p>
          <w:p>
            <w:pPr>
              <w:widowControl/>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报价</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（单位/元）</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Cs w:val="21"/>
        </w:rPr>
      </w:pPr>
      <w:r>
        <w:rPr>
          <w:rFonts w:hint="eastAsia" w:ascii="Times New Roman" w:hAnsi="Times New Roman" w:eastAsia="宋体" w:cs="Times New Roman"/>
          <w:kern w:val="0"/>
          <w:szCs w:val="21"/>
        </w:rPr>
        <w:t>注：专机配套耗材（试剂）报价将视情纳入计算经济分</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报价方售后服务承诺</w:t>
      </w:r>
    </w:p>
    <w:p>
      <w:pPr>
        <w:spacing w:line="440" w:lineRule="exact"/>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宋体"/>
          <w:sz w:val="28"/>
          <w:szCs w:val="28"/>
          <w:lang w:val="zh-CN"/>
        </w:rPr>
        <w:t>承诺内容</w:t>
      </w:r>
      <w:r>
        <w:rPr>
          <w:rFonts w:ascii="宋体" w:hAnsi="宋体" w:eastAsia="宋体" w:cs="Times New Roman"/>
          <w:sz w:val="28"/>
          <w:szCs w:val="28"/>
          <w:lang w:val="zh-CN"/>
        </w:rPr>
        <w:t>由</w:t>
      </w:r>
      <w:r>
        <w:rPr>
          <w:rFonts w:hint="eastAsia" w:cs="Times New Roman" w:asciiTheme="minorEastAsia" w:hAnsiTheme="minorEastAsia"/>
          <w:kern w:val="0"/>
          <w:sz w:val="28"/>
          <w:szCs w:val="28"/>
          <w:lang w:val="zh-CN"/>
        </w:rPr>
        <w:t>报价方对照商务评审表中售后服务评审项自行编制，</w:t>
      </w:r>
      <w:r>
        <w:rPr>
          <w:rFonts w:hint="eastAsia" w:ascii="宋体" w:hAnsi="宋体" w:eastAsia="宋体" w:cs="Times New Roman"/>
          <w:sz w:val="28"/>
          <w:szCs w:val="28"/>
          <w:lang w:val="zh-CN"/>
        </w:rPr>
        <w:t>应包括但不限于如下内容</w:t>
      </w:r>
      <w:r>
        <w:rPr>
          <w:rFonts w:hint="eastAsia" w:cs="Times New Roman" w:asciiTheme="minorEastAsia" w:hAnsiTheme="minorEastAsia"/>
          <w:kern w:val="0"/>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明确“交货时间”，“保修期”。</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w:t>
      </w:r>
      <w:r>
        <w:rPr>
          <w:rFonts w:ascii="宋体" w:hAnsi="宋体" w:eastAsia="宋体" w:cs="Times New Roman"/>
          <w:sz w:val="28"/>
          <w:szCs w:val="28"/>
          <w:lang w:val="zh-CN"/>
        </w:rPr>
        <w:t>本《</w:t>
      </w:r>
      <w:r>
        <w:rPr>
          <w:rFonts w:hint="eastAsia" w:ascii="宋体" w:hAnsi="宋体" w:eastAsia="宋体" w:cs="Times New Roman"/>
          <w:sz w:val="28"/>
          <w:szCs w:val="28"/>
          <w:lang w:val="zh-CN"/>
        </w:rPr>
        <w:t>谈判</w:t>
      </w:r>
      <w:r>
        <w:rPr>
          <w:rFonts w:ascii="宋体" w:hAnsi="宋体" w:eastAsia="宋体" w:cs="Times New Roman"/>
          <w:sz w:val="28"/>
          <w:szCs w:val="28"/>
          <w:lang w:val="zh-CN"/>
        </w:rPr>
        <w:t>文件》“第二部分</w:t>
      </w:r>
      <w:r>
        <w:rPr>
          <w:rFonts w:hint="eastAsia" w:ascii="宋体" w:hAnsi="宋体" w:eastAsia="宋体" w:cs="Times New Roman"/>
          <w:sz w:val="28"/>
          <w:szCs w:val="28"/>
          <w:lang w:val="zh-CN"/>
        </w:rPr>
        <w:t xml:space="preserve">  采购项目技术和商务要求</w:t>
      </w:r>
      <w:r>
        <w:rPr>
          <w:rFonts w:ascii="宋体" w:hAnsi="宋体" w:eastAsia="宋体" w:cs="Times New Roman"/>
          <w:sz w:val="28"/>
          <w:szCs w:val="28"/>
          <w:lang w:val="zh-CN"/>
        </w:rPr>
        <w:t>/</w:t>
      </w:r>
      <w:r>
        <w:rPr>
          <w:rFonts w:hint="eastAsia" w:ascii="宋体" w:hAnsi="宋体" w:eastAsia="宋体" w:cs="Times New Roman"/>
          <w:sz w:val="28"/>
          <w:szCs w:val="28"/>
          <w:lang w:val="zh-CN"/>
        </w:rPr>
        <w:t xml:space="preserve"> 二、商务要求/（二）售后</w:t>
      </w:r>
      <w:r>
        <w:rPr>
          <w:rFonts w:ascii="宋体" w:hAnsi="宋体" w:eastAsia="宋体" w:cs="Times New Roman"/>
          <w:sz w:val="28"/>
          <w:szCs w:val="28"/>
          <w:lang w:val="zh-CN"/>
        </w:rPr>
        <w:t>服务”的内容进行完整</w:t>
      </w:r>
      <w:r>
        <w:rPr>
          <w:rFonts w:hint="eastAsia" w:ascii="宋体" w:hAnsi="宋体" w:eastAsia="宋体" w:cs="Times New Roman"/>
          <w:sz w:val="28"/>
          <w:szCs w:val="28"/>
          <w:lang w:val="zh-CN"/>
        </w:rPr>
        <w:t>的说明与</w:t>
      </w:r>
      <w:r>
        <w:rPr>
          <w:rFonts w:ascii="宋体" w:hAnsi="宋体" w:eastAsia="宋体" w:cs="Times New Roman"/>
          <w:sz w:val="28"/>
          <w:szCs w:val="28"/>
          <w:lang w:val="zh-CN"/>
        </w:rPr>
        <w:t>承诺。</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对提供指定地点（</w:t>
      </w:r>
      <w:r>
        <w:rPr>
          <w:rFonts w:hint="eastAsia" w:asciiTheme="minorEastAsia" w:hAnsiTheme="minorEastAsia"/>
          <w:b/>
          <w:sz w:val="28"/>
          <w:szCs w:val="28"/>
        </w:rPr>
        <w:t>重庆市</w:t>
      </w:r>
      <w:r>
        <w:rPr>
          <w:rFonts w:hint="eastAsia" w:ascii="宋体" w:hAnsi="宋体" w:eastAsia="宋体" w:cs="Times New Roman"/>
          <w:sz w:val="28"/>
          <w:szCs w:val="28"/>
        </w:rPr>
        <w:t>）现场服务支持的售后服务体系、人员、装备，以及售后服务</w:t>
      </w:r>
      <w:r>
        <w:rPr>
          <w:rFonts w:hint="eastAsia" w:ascii="宋体" w:hAnsi="宋体" w:eastAsia="宋体" w:cs="Times New Roman"/>
          <w:b/>
          <w:sz w:val="28"/>
          <w:szCs w:val="28"/>
        </w:rPr>
        <w:t>到位维修响应时间</w:t>
      </w:r>
      <w:r>
        <w:rPr>
          <w:rFonts w:hint="eastAsia" w:ascii="宋体" w:hAnsi="宋体" w:eastAsia="宋体" w:cs="Times New Roman"/>
          <w:sz w:val="28"/>
          <w:szCs w:val="28"/>
        </w:rPr>
        <w:t>等的</w:t>
      </w:r>
      <w:r>
        <w:rPr>
          <w:rFonts w:hint="eastAsia" w:ascii="宋体" w:hAnsi="宋体" w:eastAsia="宋体" w:cs="Times New Roman"/>
          <w:sz w:val="28"/>
          <w:szCs w:val="28"/>
          <w:lang w:val="zh-CN"/>
        </w:rPr>
        <w:t>说明与</w:t>
      </w:r>
      <w:r>
        <w:rPr>
          <w:rFonts w:ascii="宋体" w:hAnsi="宋体" w:eastAsia="宋体" w:cs="Times New Roman"/>
          <w:sz w:val="28"/>
          <w:szCs w:val="28"/>
          <w:lang w:val="zh-CN"/>
        </w:rPr>
        <w:t>承诺</w:t>
      </w:r>
      <w:r>
        <w:rPr>
          <w:rFonts w:hint="eastAsia" w:ascii="宋体" w:hAnsi="宋体" w:eastAsia="宋体" w:cs="Times New Roman"/>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w:t>
      </w:r>
      <w:r>
        <w:rPr>
          <w:rFonts w:ascii="宋体" w:hAnsi="宋体" w:eastAsia="宋体" w:cs="Times New Roman"/>
          <w:sz w:val="28"/>
          <w:szCs w:val="28"/>
        </w:rPr>
        <w:t>技术支持和服务网点</w:t>
      </w:r>
      <w:r>
        <w:rPr>
          <w:rFonts w:hint="eastAsia" w:ascii="宋体" w:hAnsi="宋体" w:eastAsia="宋体" w:cs="Times New Roman"/>
          <w:sz w:val="28"/>
          <w:szCs w:val="28"/>
        </w:rPr>
        <w:t>分布情况的说明（提供</w:t>
      </w:r>
      <w:r>
        <w:rPr>
          <w:rFonts w:ascii="宋体" w:hAnsi="宋体" w:eastAsia="宋体" w:cs="Times New Roman"/>
          <w:sz w:val="28"/>
          <w:szCs w:val="28"/>
        </w:rPr>
        <w:t>技术支持和服务网点</w:t>
      </w:r>
      <w:r>
        <w:rPr>
          <w:rFonts w:hint="eastAsia" w:ascii="宋体" w:hAnsi="宋体" w:eastAsia="宋体" w:cs="Times New Roman"/>
          <w:sz w:val="28"/>
          <w:szCs w:val="28"/>
        </w:rPr>
        <w:t>的地址、</w:t>
      </w:r>
      <w:r>
        <w:rPr>
          <w:rFonts w:ascii="宋体" w:hAnsi="宋体" w:eastAsia="宋体" w:cs="Times New Roman"/>
          <w:sz w:val="28"/>
          <w:szCs w:val="28"/>
        </w:rPr>
        <w:t>24小时服务支持热线</w:t>
      </w:r>
      <w:r>
        <w:rPr>
          <w:rFonts w:hint="eastAsia" w:ascii="宋体" w:hAnsi="宋体" w:eastAsia="宋体" w:cs="Times New Roman"/>
          <w:sz w:val="28"/>
          <w:szCs w:val="28"/>
        </w:rPr>
        <w:t>，以及营业执照、委托服务协议等证明材料）。</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对所报货物在质量保修期内和质量保修期外的相关服务内容做出的</w:t>
      </w:r>
      <w:r>
        <w:rPr>
          <w:rFonts w:hint="eastAsia" w:ascii="宋体" w:hAnsi="宋体" w:eastAsia="宋体" w:cs="Times New Roman"/>
          <w:sz w:val="28"/>
          <w:szCs w:val="28"/>
          <w:lang w:val="zh-CN"/>
        </w:rPr>
        <w:t>说明与承诺</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保修期外维修费用</w:t>
      </w:r>
      <w:r>
        <w:rPr>
          <w:rFonts w:hint="eastAsia" w:ascii="宋体" w:hAnsi="宋体" w:eastAsia="宋体" w:cs="Times New Roman"/>
          <w:b/>
          <w:sz w:val="28"/>
          <w:szCs w:val="28"/>
        </w:rPr>
        <w:t>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提供零配件全国统一报价</w:t>
      </w:r>
      <w:r>
        <w:rPr>
          <w:rFonts w:hint="eastAsia" w:ascii="宋体" w:hAnsi="宋体" w:eastAsia="宋体" w:cs="Times New Roman"/>
          <w:b/>
          <w:sz w:val="28"/>
          <w:szCs w:val="28"/>
        </w:rPr>
        <w:t>情况，并作</w:t>
      </w:r>
      <w:r>
        <w:rPr>
          <w:rFonts w:ascii="宋体" w:hAnsi="宋体" w:eastAsia="宋体" w:cs="Times New Roman"/>
          <w:b/>
          <w:sz w:val="28"/>
          <w:szCs w:val="28"/>
        </w:rPr>
        <w:t>军队用户更换配件价格统一报价</w:t>
      </w:r>
      <w:r>
        <w:rPr>
          <w:rFonts w:hint="eastAsia" w:ascii="宋体" w:hAnsi="宋体" w:eastAsia="宋体" w:cs="Times New Roman"/>
          <w:b/>
          <w:sz w:val="28"/>
          <w:szCs w:val="28"/>
        </w:rPr>
        <w:t>、</w:t>
      </w:r>
      <w:r>
        <w:rPr>
          <w:rFonts w:ascii="宋体" w:hAnsi="宋体" w:eastAsia="宋体" w:cs="Times New Roman"/>
          <w:b/>
          <w:sz w:val="28"/>
          <w:szCs w:val="28"/>
        </w:rPr>
        <w:t>零配件保证供应时间的</w:t>
      </w:r>
      <w:r>
        <w:rPr>
          <w:rFonts w:hint="eastAsia" w:ascii="宋体" w:hAnsi="宋体" w:eastAsia="宋体" w:cs="Times New Roman"/>
          <w:b/>
          <w:sz w:val="28"/>
          <w:szCs w:val="28"/>
        </w:rPr>
        <w:t>承诺说明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对所报货物的备品备件和易损易耗件供应保障情况进行说明（如果某设备无备品备件和易损易耗件，也需明确“</w:t>
      </w:r>
      <w:r>
        <w:rPr>
          <w:rFonts w:ascii="宋体" w:hAnsi="宋体" w:eastAsia="宋体" w:cs="Times New Roman"/>
          <w:b/>
          <w:sz w:val="28"/>
          <w:szCs w:val="28"/>
        </w:rPr>
        <w:t>×</w:t>
      </w:r>
      <w:r>
        <w:rPr>
          <w:rFonts w:hint="eastAsia" w:ascii="宋体" w:hAnsi="宋体" w:eastAsia="宋体" w:cs="Times New Roman"/>
          <w:sz w:val="28"/>
          <w:szCs w:val="28"/>
        </w:rPr>
        <w:t>设备无备品备件和易损易耗件”）。</w:t>
      </w:r>
    </w:p>
    <w:p>
      <w:pPr>
        <w:spacing w:line="440" w:lineRule="exact"/>
        <w:rPr>
          <w:rFonts w:cs="Times New Roman" w:asciiTheme="minorEastAsia" w:hAnsiTheme="minorEastAsia"/>
          <w:kern w:val="0"/>
          <w:sz w:val="28"/>
          <w:szCs w:val="28"/>
          <w:lang w:val="zh-CN"/>
        </w:rPr>
      </w:pPr>
      <w:r>
        <w:rPr>
          <w:rFonts w:ascii="宋体" w:hAnsi="宋体" w:eastAsia="宋体" w:cs="Times New Roman"/>
          <w:sz w:val="28"/>
          <w:szCs w:val="28"/>
        </w:rPr>
        <w:t>其他服务承诺</w:t>
      </w:r>
      <w:r>
        <w:rPr>
          <w:rFonts w:hint="eastAsia" w:ascii="宋体" w:hAnsi="宋体" w:eastAsia="宋体" w:cs="Times New Roman"/>
          <w:sz w:val="28"/>
          <w:szCs w:val="28"/>
        </w:rPr>
        <w:t>（</w:t>
      </w:r>
      <w:r>
        <w:rPr>
          <w:rFonts w:hint="eastAsia" w:ascii="宋体" w:hAnsi="宋体" w:eastAsia="宋体" w:cs="Times New Roman"/>
          <w:b/>
          <w:sz w:val="28"/>
          <w:szCs w:val="28"/>
        </w:rPr>
        <w:t>逐一核对评分标准内涉及的售后服务进行响应和承诺）</w:t>
      </w:r>
      <w:r>
        <w:rPr>
          <w:rFonts w:ascii="宋体" w:hAnsi="宋体" w:eastAsia="宋体" w:cs="Times New Roman"/>
          <w:sz w:val="28"/>
          <w:szCs w:val="28"/>
        </w:rPr>
        <w:t>。</w:t>
      </w:r>
    </w:p>
    <w:p>
      <w:pPr>
        <w:spacing w:line="440" w:lineRule="exact"/>
        <w:ind w:firstLine="1626" w:firstLineChars="600"/>
        <w:rPr>
          <w:rFonts w:cs="宋体" w:asciiTheme="minorEastAsia" w:hAnsiTheme="minorEastAsia"/>
          <w:kern w:val="0"/>
          <w:sz w:val="28"/>
          <w:szCs w:val="28"/>
          <w:lang w:val="zh-CN"/>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841"/>
        <w:gridCol w:w="977"/>
        <w:gridCol w:w="1820"/>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备注：1.同类项目指本次谈判的产品或同类产品。合同有效金额是指合同中本次谈判的产品或同类产品金额。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2.报价方应附销售合同复印件，按合同有效金额由高到低顺序装订，包括：合同首尾页、签字盖章页、合同金额页、产品信息页。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3.报价方提供虚假合同的，按虚假响应处理。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附件12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（报价方全称）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mc:AlternateContent>
          <mc:Choice Requires="wps">
            <w:drawing>
              <wp:anchor distT="0" distB="0" distL="114300" distR="114300" simplePos="0" relativeHeight="251661312" behindDoc="0" locked="0" layoutInCell="1" allowOverlap="1">
                <wp:simplePos x="0" y="0"/>
                <wp:positionH relativeFrom="column">
                  <wp:posOffset>2881630</wp:posOffset>
                </wp:positionH>
                <wp:positionV relativeFrom="paragraph">
                  <wp:posOffset>131445</wp:posOffset>
                </wp:positionV>
                <wp:extent cx="2655570" cy="1319530"/>
                <wp:effectExtent l="4445" t="4445" r="6985" b="952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9pt;margin-top:10.35pt;height:103.9pt;width:209.1pt;z-index:251661312;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HNamg1wAAAAoB&#10;AAAPAAAAAAAAAAEAIAAAACIAAABkcnMvZG93bnJldi54bWxQSwECFAAUAAAACACHTuJA7Cw8a1UC&#10;AACwBAAADgAAAAAAAAABACAAAAAmAQAAZHJzL2Uyb0RvYy54bWxQSwUGAAAAAAYABgBZAQAA7QUA&#10;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60288" behindDoc="0" locked="0" layoutInCell="1" allowOverlap="1">
                <wp:simplePos x="0" y="0"/>
                <wp:positionH relativeFrom="column">
                  <wp:posOffset>26670</wp:posOffset>
                </wp:positionH>
                <wp:positionV relativeFrom="paragraph">
                  <wp:posOffset>131445</wp:posOffset>
                </wp:positionV>
                <wp:extent cx="2623820" cy="1319530"/>
                <wp:effectExtent l="4445" t="4445" r="13335" b="952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623820" cy="1319842"/>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1pt;margin-top:10.35pt;height:103.9pt;width:206.6pt;z-index:251660288;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D4EQTDVAAAACAEA&#10;AA8AAAAAAAAAAQAgAAAAIgAAAGRycy9kb3ducmV2LnhtbFBLAQIUABQAAAAIAIdO4kBuZZNSVgIA&#10;ALAEAAAOAAAAAAAAAAEAIAAAACQBAABkcnMvZTJvRG9jLnhtbFBLBQYAAAAABgAGAFkBAADsBQAA&#10;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3</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（报价方全称）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mc:AlternateContent>
          <mc:Choice Requires="wps">
            <w:drawing>
              <wp:anchor distT="0" distB="0" distL="114300" distR="114300" simplePos="0" relativeHeight="251663360" behindDoc="0" locked="0" layoutInCell="1" allowOverlap="1">
                <wp:simplePos x="0" y="0"/>
                <wp:positionH relativeFrom="column">
                  <wp:posOffset>2898775</wp:posOffset>
                </wp:positionH>
                <wp:positionV relativeFrom="paragraph">
                  <wp:posOffset>180975</wp:posOffset>
                </wp:positionV>
                <wp:extent cx="2679065" cy="1345565"/>
                <wp:effectExtent l="4445" t="4445" r="8890" b="889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25pt;margin-top:14.25pt;height:105.95pt;width:210.95pt;z-index:251663360;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mhZ8GNcAAAAK&#10;AQAADwAAAAAAAAABACAAAAAiAAAAZHJzL2Rvd25yZXYueG1sUEsBAhQAFAAAAAgAh07iQPq8jfhW&#10;AgAAsAQAAA4AAAAAAAAAAQAgAAAAJgEAAGRycy9lMm9Eb2MueG1sUEsFBgAAAAAGAAYAWQEAAO4F&#10;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62336" behindDoc="0" locked="0" layoutInCell="1" allowOverlap="1">
                <wp:simplePos x="0" y="0"/>
                <wp:positionH relativeFrom="column">
                  <wp:posOffset>17780</wp:posOffset>
                </wp:positionH>
                <wp:positionV relativeFrom="paragraph">
                  <wp:posOffset>198120</wp:posOffset>
                </wp:positionV>
                <wp:extent cx="2687320" cy="1328420"/>
                <wp:effectExtent l="4445" t="4445" r="13335" b="1333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1.4pt;margin-top:15.6pt;height:104.6pt;width:211.6pt;z-index:251662336;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5LDp29QAAAAIAQAADwAA&#10;AAAAAAABACAAAAAiAAAAZHJzL2Rvd25yZXYueG1sUEsBAhQAFAAAAAgAh07iQKSoFIJTAgAAsAQA&#10;AA4AAAAAAAAAAQAgAAAAIwEAAGRycy9lMm9Eb2MueG1sUEsFBgAAAAAGAAYAWQEAAOgF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四、谈判文件以及相关技术文件专室放置、专盘存储、专人管理。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五、未经采购机构审查批准，不得擅自在互联网、通讯媒体等发表涉及此次采购项目相关内容或资讯。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违反上述承诺，愿承担一切法律责任，接受军队采购管理部门和采购机构按国家和军队规定作出的相关处罚。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如违反上述承诺，贵院有权取消我方的报价资格，由此引起的一切损失由我单位自行承担。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autoSpaceDE w:val="0"/>
        <w:autoSpaceDN w:val="0"/>
        <w:adjustRightInd w:val="0"/>
        <w:rPr>
          <w:rFonts w:cs="Times New Roman" w:asciiTheme="minorEastAsia" w:hAnsiTheme="minorEastAsia"/>
          <w:snapToGrid w:val="0"/>
          <w:kern w:val="0"/>
          <w:sz w:val="28"/>
          <w:szCs w:val="28"/>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color w:val="FF0000"/>
          <w:kern w:val="0"/>
          <w:szCs w:val="21"/>
        </w:rPr>
      </w:pPr>
      <w:r>
        <w:rPr>
          <w:rFonts w:hint="eastAsia" w:cs="Times New Roman" w:asciiTheme="minorEastAsia" w:hAnsiTheme="minorEastAsia"/>
          <w:snapToGrid w:val="0"/>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kern w:val="0"/>
          <w:szCs w:val="21"/>
        </w:rPr>
      </w:pPr>
      <w:r>
        <w:rPr>
          <w:rFonts w:cs="Times New Roman" w:asciiTheme="minorEastAsia" w:hAnsiTheme="minorEastAsia"/>
          <w:snapToGrid w:val="0"/>
          <w:kern w:val="0"/>
          <w:szCs w:val="21"/>
        </w:rPr>
        <w:t>①</w:t>
      </w:r>
      <w:r>
        <w:rPr>
          <w:rFonts w:hint="eastAsia" w:cs="Times New Roman" w:asciiTheme="minorEastAsia" w:hAnsiTheme="minorEastAsia"/>
          <w:snapToGrid w:val="0"/>
          <w:kern w:val="0"/>
          <w:szCs w:val="21"/>
        </w:rPr>
        <w:t>非外资企业或外资控股企业；</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②参加本次采购活动前3年内在经营活动中没有违法、违规、违约，以及项目质量和安全问题；</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③具有独立承担民事责任的能力；</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④具有良好的商业信誉和健全的财务会计制度；</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⑤具有履行合同所必需的设备和专业技术能力；</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⑥有依法缴纳税收和社会保障资金的良好记录。</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附件17</w:t>
      </w:r>
    </w:p>
    <w:p>
      <w:pPr>
        <w:jc w:val="center"/>
        <w:rPr>
          <w:rFonts w:ascii="宋体" w:hAnsi="宋体" w:eastAsia="宋体" w:cs="宋体"/>
          <w:kern w:val="0"/>
          <w:szCs w:val="21"/>
        </w:rPr>
      </w:pPr>
      <w:r>
        <w:rPr>
          <w:rFonts w:hint="eastAsia" w:ascii="方正小标宋简体" w:hAnsi="Times New Roman" w:eastAsia="方正小标宋简体" w:cs="Times New Roman"/>
          <w:kern w:val="0"/>
          <w:sz w:val="32"/>
          <w:szCs w:val="32"/>
        </w:rPr>
        <w:t>生产企业对代理公司参与报价的授权书</w:t>
      </w:r>
    </w:p>
    <w:p>
      <w:pPr>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（格式不限）</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1、授权书的格式不限。</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2、进口产品需提供原厂对中国总代的中英文授权，并提供中国总代至各级授权书。</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3、生产厂家直接参与报价的不需此文件。</w:t>
      </w:r>
    </w:p>
    <w:p>
      <w:pPr>
        <w:widowControl/>
        <w:jc w:val="left"/>
      </w:pPr>
      <w:r>
        <w:br w:type="page"/>
      </w:r>
    </w:p>
    <w:p>
      <w:pPr>
        <w:widowControl/>
        <w:jc w:val="left"/>
      </w:pPr>
      <w:r>
        <w:rPr>
          <w:rFonts w:hint="eastAsia" w:ascii="黑体" w:hAnsi="黑体" w:eastAsia="黑体" w:cs="Times New Roman"/>
          <w:kern w:val="0"/>
          <w:sz w:val="32"/>
          <w:szCs w:val="32"/>
        </w:rPr>
        <w:t>附件18             技术指标参数要求明细</w:t>
      </w:r>
    </w:p>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方正小标宋简体" w:eastAsia="方正小标宋简体" w:cs="Times New Roman"/>
          <w:bCs/>
          <w:kern w:val="0"/>
          <w:sz w:val="36"/>
          <w:szCs w:val="40"/>
        </w:rPr>
      </w:pPr>
      <w:r>
        <w:rPr>
          <w:rFonts w:hint="eastAsia" w:ascii="方正小标宋简体" w:hAnsi="宋体" w:eastAsia="方正小标宋简体" w:cs="Times New Roman"/>
          <w:bCs/>
          <w:kern w:val="0"/>
          <w:sz w:val="36"/>
          <w:szCs w:val="40"/>
        </w:rPr>
        <w:t>双槽梯度PCR仪</w:t>
      </w:r>
      <w:r>
        <w:rPr>
          <w:rFonts w:hint="eastAsia" w:ascii="方正小标宋简体" w:hAnsi="宋体" w:eastAsia="方正小标宋简体" w:cs="宋体"/>
          <w:bCs/>
          <w:kern w:val="0"/>
          <w:sz w:val="36"/>
          <w:szCs w:val="40"/>
        </w:rPr>
        <w:t>技术参数确认表</w:t>
      </w:r>
    </w:p>
    <w:tbl>
      <w:tblPr>
        <w:tblStyle w:val="17"/>
        <w:tblW w:w="9134" w:type="dxa"/>
        <w:jc w:val="center"/>
        <w:tblLayout w:type="fixed"/>
        <w:tblCellMar>
          <w:top w:w="0" w:type="dxa"/>
          <w:left w:w="108" w:type="dxa"/>
          <w:bottom w:w="0" w:type="dxa"/>
          <w:right w:w="108" w:type="dxa"/>
        </w:tblCellMar>
      </w:tblPr>
      <w:tblGrid>
        <w:gridCol w:w="734"/>
        <w:gridCol w:w="2049"/>
        <w:gridCol w:w="3969"/>
        <w:gridCol w:w="2382"/>
      </w:tblGrid>
      <w:tr>
        <w:tblPrEx>
          <w:tblCellMar>
            <w:top w:w="0" w:type="dxa"/>
            <w:left w:w="108" w:type="dxa"/>
            <w:bottom w:w="0" w:type="dxa"/>
            <w:right w:w="108" w:type="dxa"/>
          </w:tblCellMar>
        </w:tblPrEx>
        <w:trPr>
          <w:trHeight w:val="768" w:hRule="atLeast"/>
          <w:tblHeader/>
          <w:jc w:val="center"/>
        </w:trPr>
        <w:tc>
          <w:tcPr>
            <w:tcW w:w="734" w:type="dxa"/>
            <w:tcBorders>
              <w:top w:val="single" w:color="auto" w:sz="8"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inorEastAsia" w:hAnsiTheme="minorEastAsia"/>
                <w:b/>
                <w:bCs/>
                <w:kern w:val="0"/>
                <w:sz w:val="20"/>
                <w:szCs w:val="20"/>
              </w:rPr>
            </w:pPr>
            <w:r>
              <w:rPr>
                <w:rFonts w:cs="Times New Roman" w:asciiTheme="minorEastAsia" w:hAnsiTheme="minorEastAsia"/>
                <w:b/>
                <w:bCs/>
                <w:kern w:val="0"/>
                <w:sz w:val="20"/>
                <w:szCs w:val="20"/>
              </w:rPr>
              <w:t>序号</w:t>
            </w:r>
          </w:p>
        </w:tc>
        <w:tc>
          <w:tcPr>
            <w:tcW w:w="2049" w:type="dxa"/>
            <w:tcBorders>
              <w:top w:val="single" w:color="auto" w:sz="8"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inorEastAsia" w:hAnsiTheme="minorEastAsia"/>
                <w:b/>
                <w:bCs/>
                <w:kern w:val="0"/>
                <w:sz w:val="20"/>
                <w:szCs w:val="20"/>
              </w:rPr>
            </w:pPr>
            <w:r>
              <w:rPr>
                <w:rFonts w:cs="Times New Roman" w:asciiTheme="minorEastAsia" w:hAnsiTheme="minorEastAsia"/>
                <w:b/>
                <w:bCs/>
                <w:kern w:val="0"/>
                <w:sz w:val="20"/>
                <w:szCs w:val="20"/>
              </w:rPr>
              <w:t>技术和性能参数名称</w:t>
            </w:r>
          </w:p>
        </w:tc>
        <w:tc>
          <w:tcPr>
            <w:tcW w:w="3969" w:type="dxa"/>
            <w:tcBorders>
              <w:top w:val="single" w:color="auto" w:sz="8"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inorEastAsia" w:hAnsiTheme="minorEastAsia"/>
                <w:b/>
                <w:bCs/>
                <w:kern w:val="0"/>
                <w:sz w:val="20"/>
                <w:szCs w:val="20"/>
              </w:rPr>
            </w:pPr>
            <w:r>
              <w:rPr>
                <w:rFonts w:cs="Times New Roman" w:asciiTheme="minorEastAsia" w:hAnsiTheme="minorEastAsia"/>
                <w:b/>
                <w:bCs/>
                <w:kern w:val="0"/>
                <w:sz w:val="20"/>
                <w:szCs w:val="20"/>
              </w:rPr>
              <w:t>技术参数和性能要求</w:t>
            </w:r>
          </w:p>
        </w:tc>
        <w:tc>
          <w:tcPr>
            <w:tcW w:w="2382" w:type="dxa"/>
            <w:tcBorders>
              <w:top w:val="single" w:color="auto" w:sz="8"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inorEastAsia" w:hAnsiTheme="minorEastAsia"/>
                <w:b/>
                <w:bCs/>
                <w:kern w:val="0"/>
                <w:sz w:val="20"/>
                <w:szCs w:val="20"/>
              </w:rPr>
            </w:pPr>
            <w:r>
              <w:rPr>
                <w:rFonts w:cs="Times New Roman" w:asciiTheme="minorEastAsia" w:hAnsiTheme="minorEastAsia"/>
                <w:b/>
                <w:bCs/>
                <w:kern w:val="0"/>
                <w:sz w:val="20"/>
                <w:szCs w:val="20"/>
              </w:rPr>
              <w:t>备注</w:t>
            </w:r>
          </w:p>
        </w:tc>
      </w:tr>
      <w:tr>
        <w:tblPrEx>
          <w:tblCellMar>
            <w:top w:w="0" w:type="dxa"/>
            <w:left w:w="108" w:type="dxa"/>
            <w:bottom w:w="0" w:type="dxa"/>
            <w:right w:w="108" w:type="dxa"/>
          </w:tblCellMar>
        </w:tblPrEx>
        <w:trPr>
          <w:trHeight w:val="844" w:hRule="atLeast"/>
          <w:jc w:val="center"/>
        </w:trPr>
        <w:tc>
          <w:tcPr>
            <w:tcW w:w="734"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inorEastAsia" w:hAnsiTheme="minorEastAsia"/>
                <w:b/>
                <w:bCs/>
                <w:kern w:val="0"/>
                <w:sz w:val="20"/>
                <w:szCs w:val="20"/>
              </w:rPr>
            </w:pPr>
            <w:r>
              <w:rPr>
                <w:rFonts w:cs="Times New Roman" w:asciiTheme="minorEastAsia" w:hAnsiTheme="minorEastAsia"/>
                <w:b/>
                <w:bCs/>
                <w:kern w:val="0"/>
                <w:sz w:val="20"/>
                <w:szCs w:val="20"/>
              </w:rPr>
              <w:t>1</w:t>
            </w:r>
          </w:p>
        </w:tc>
        <w:tc>
          <w:tcPr>
            <w:tcW w:w="204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inorEastAsia" w:hAnsiTheme="minorEastAsia"/>
                <w:b/>
                <w:bCs/>
                <w:kern w:val="0"/>
                <w:sz w:val="20"/>
                <w:szCs w:val="20"/>
              </w:rPr>
            </w:pPr>
            <w:r>
              <w:rPr>
                <w:rFonts w:cs="Times New Roman" w:asciiTheme="minorEastAsia" w:hAnsiTheme="minorEastAsia"/>
                <w:b/>
                <w:bCs/>
                <w:kern w:val="0"/>
                <w:sz w:val="20"/>
                <w:szCs w:val="20"/>
              </w:rPr>
              <w:t>设备使用需求</w:t>
            </w:r>
          </w:p>
        </w:tc>
        <w:tc>
          <w:tcPr>
            <w:tcW w:w="396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tLeast"/>
              <w:jc w:val="left"/>
              <w:textAlignment w:val="auto"/>
              <w:rPr>
                <w:rFonts w:cs="Times New Roman" w:asciiTheme="minorEastAsia" w:hAnsiTheme="minorEastAsia"/>
                <w:b/>
                <w:bCs/>
                <w:kern w:val="0"/>
                <w:sz w:val="20"/>
                <w:szCs w:val="20"/>
              </w:rPr>
            </w:pPr>
          </w:p>
        </w:tc>
        <w:tc>
          <w:tcPr>
            <w:tcW w:w="2382"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inorEastAsia" w:hAnsiTheme="minorEastAsia"/>
                <w:b/>
                <w:bCs/>
                <w:kern w:val="0"/>
                <w:sz w:val="20"/>
                <w:szCs w:val="20"/>
              </w:rPr>
            </w:pPr>
          </w:p>
        </w:tc>
      </w:tr>
      <w:tr>
        <w:tblPrEx>
          <w:tblCellMar>
            <w:top w:w="0" w:type="dxa"/>
            <w:left w:w="108" w:type="dxa"/>
            <w:bottom w:w="0" w:type="dxa"/>
            <w:right w:w="108" w:type="dxa"/>
          </w:tblCellMar>
        </w:tblPrEx>
        <w:trPr>
          <w:trHeight w:val="843" w:hRule="atLeast"/>
          <w:jc w:val="center"/>
        </w:trPr>
        <w:tc>
          <w:tcPr>
            <w:tcW w:w="734"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inorEastAsia" w:hAnsiTheme="minorEastAsia"/>
                <w:kern w:val="0"/>
                <w:sz w:val="20"/>
                <w:szCs w:val="20"/>
              </w:rPr>
            </w:pPr>
            <w:r>
              <w:rPr>
                <w:rFonts w:cs="Times New Roman" w:asciiTheme="minorEastAsia" w:hAnsiTheme="minorEastAsia"/>
                <w:kern w:val="0"/>
                <w:sz w:val="20"/>
                <w:szCs w:val="20"/>
              </w:rPr>
              <w:t>1.1</w:t>
            </w:r>
          </w:p>
        </w:tc>
        <w:tc>
          <w:tcPr>
            <w:tcW w:w="204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inorEastAsia" w:hAnsiTheme="minorEastAsia"/>
                <w:kern w:val="0"/>
                <w:sz w:val="20"/>
                <w:szCs w:val="20"/>
              </w:rPr>
            </w:pPr>
            <w:r>
              <w:rPr>
                <w:rFonts w:cs="Times New Roman" w:asciiTheme="minorEastAsia" w:hAnsiTheme="minorEastAsia"/>
                <w:kern w:val="0"/>
                <w:sz w:val="20"/>
                <w:szCs w:val="20"/>
              </w:rPr>
              <w:t>设备用途</w:t>
            </w:r>
          </w:p>
        </w:tc>
        <w:tc>
          <w:tcPr>
            <w:tcW w:w="3969"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left"/>
              <w:textAlignment w:val="auto"/>
              <w:rPr>
                <w:rFonts w:cs="Times New Roman" w:asciiTheme="minorEastAsia" w:hAnsiTheme="minorEastAsia"/>
                <w:sz w:val="20"/>
                <w:szCs w:val="20"/>
              </w:rPr>
            </w:pPr>
            <w:r>
              <w:rPr>
                <w:rFonts w:hint="eastAsia" w:cs="Times New Roman" w:asciiTheme="minorEastAsia" w:hAnsiTheme="minorEastAsia"/>
                <w:sz w:val="20"/>
                <w:szCs w:val="20"/>
              </w:rPr>
              <w:t>核酸扩增</w:t>
            </w:r>
          </w:p>
        </w:tc>
        <w:tc>
          <w:tcPr>
            <w:tcW w:w="2382"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inorEastAsia" w:hAnsiTheme="minorEastAsia"/>
                <w:kern w:val="0"/>
                <w:sz w:val="20"/>
                <w:szCs w:val="20"/>
              </w:rPr>
            </w:pPr>
          </w:p>
        </w:tc>
      </w:tr>
      <w:tr>
        <w:tblPrEx>
          <w:tblCellMar>
            <w:top w:w="0" w:type="dxa"/>
            <w:left w:w="108" w:type="dxa"/>
            <w:bottom w:w="0" w:type="dxa"/>
            <w:right w:w="108" w:type="dxa"/>
          </w:tblCellMar>
        </w:tblPrEx>
        <w:trPr>
          <w:trHeight w:val="613" w:hRule="atLeast"/>
          <w:jc w:val="center"/>
        </w:trPr>
        <w:tc>
          <w:tcPr>
            <w:tcW w:w="734" w:type="dxa"/>
            <w:tcBorders>
              <w:top w:val="single" w:color="auto" w:sz="4" w:space="0"/>
              <w:left w:val="single" w:color="auto" w:sz="8" w:space="0"/>
              <w:bottom w:val="single" w:color="auto" w:sz="4" w:space="0"/>
              <w:right w:val="single" w:color="auto" w:sz="4" w:space="0"/>
            </w:tcBorders>
            <w:shd w:val="clear" w:color="000000" w:fill="auto"/>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inorEastAsia" w:hAnsiTheme="minorEastAsia"/>
                <w:kern w:val="0"/>
                <w:sz w:val="20"/>
                <w:szCs w:val="20"/>
              </w:rPr>
            </w:pPr>
            <w:r>
              <w:rPr>
                <w:rFonts w:cs="Times New Roman" w:asciiTheme="minorEastAsia" w:hAnsiTheme="minorEastAsia"/>
                <w:kern w:val="0"/>
                <w:sz w:val="20"/>
                <w:szCs w:val="20"/>
              </w:rPr>
              <w:t>1.2</w:t>
            </w:r>
          </w:p>
        </w:tc>
        <w:tc>
          <w:tcPr>
            <w:tcW w:w="2049" w:type="dxa"/>
            <w:tcBorders>
              <w:top w:val="single" w:color="auto" w:sz="4" w:space="0"/>
              <w:left w:val="nil"/>
              <w:bottom w:val="single" w:color="auto" w:sz="4" w:space="0"/>
              <w:right w:val="single" w:color="auto" w:sz="4" w:space="0"/>
            </w:tcBorders>
            <w:shd w:val="clear" w:color="000000" w:fill="auto"/>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inorEastAsia" w:hAnsiTheme="minorEastAsia"/>
                <w:color w:val="000000"/>
                <w:kern w:val="0"/>
                <w:sz w:val="20"/>
                <w:szCs w:val="20"/>
              </w:rPr>
            </w:pPr>
            <w:r>
              <w:rPr>
                <w:rFonts w:cs="Times New Roman" w:asciiTheme="minorEastAsia" w:hAnsiTheme="minorEastAsia"/>
                <w:color w:val="000000"/>
                <w:kern w:val="0"/>
                <w:sz w:val="20"/>
                <w:szCs w:val="20"/>
              </w:rPr>
              <w:t>实验对象</w:t>
            </w:r>
          </w:p>
        </w:tc>
        <w:tc>
          <w:tcPr>
            <w:tcW w:w="3969" w:type="dxa"/>
            <w:tcBorders>
              <w:top w:val="single" w:color="auto" w:sz="4" w:space="0"/>
              <w:left w:val="nil"/>
              <w:bottom w:val="single" w:color="auto" w:sz="4" w:space="0"/>
              <w:right w:val="single" w:color="auto" w:sz="4" w:space="0"/>
            </w:tcBorders>
            <w:shd w:val="clear" w:color="000000" w:fill="auto"/>
            <w:vAlign w:val="center"/>
          </w:tcPr>
          <w:p>
            <w:pPr>
              <w:keepNext w:val="0"/>
              <w:keepLines w:val="0"/>
              <w:pageBreakBefore w:val="0"/>
              <w:kinsoku/>
              <w:wordWrap/>
              <w:overflowPunct/>
              <w:topLinePunct w:val="0"/>
              <w:autoSpaceDE/>
              <w:autoSpaceDN/>
              <w:bidi w:val="0"/>
              <w:adjustRightInd w:val="0"/>
              <w:snapToGrid w:val="0"/>
              <w:spacing w:line="240" w:lineRule="atLeast"/>
              <w:jc w:val="left"/>
              <w:textAlignment w:val="auto"/>
              <w:rPr>
                <w:rFonts w:cs="Times New Roman" w:asciiTheme="minorEastAsia" w:hAnsiTheme="minorEastAsia"/>
                <w:sz w:val="20"/>
                <w:szCs w:val="20"/>
              </w:rPr>
            </w:pPr>
            <w:r>
              <w:rPr>
                <w:rFonts w:hint="eastAsia" w:cs="Times New Roman" w:asciiTheme="minorEastAsia" w:hAnsiTheme="minorEastAsia"/>
                <w:sz w:val="20"/>
                <w:szCs w:val="20"/>
              </w:rPr>
              <w:t>实验室核酸</w:t>
            </w:r>
          </w:p>
        </w:tc>
        <w:tc>
          <w:tcPr>
            <w:tcW w:w="2382" w:type="dxa"/>
            <w:tcBorders>
              <w:top w:val="single" w:color="auto" w:sz="4" w:space="0"/>
              <w:left w:val="nil"/>
              <w:bottom w:val="single" w:color="auto" w:sz="4" w:space="0"/>
              <w:right w:val="single" w:color="auto" w:sz="8" w:space="0"/>
            </w:tcBorders>
            <w:shd w:val="clear" w:color="000000" w:fill="auto"/>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inorEastAsia" w:hAnsiTheme="minorEastAsia"/>
                <w:kern w:val="0"/>
                <w:sz w:val="20"/>
                <w:szCs w:val="20"/>
              </w:rPr>
            </w:pPr>
          </w:p>
        </w:tc>
      </w:tr>
      <w:tr>
        <w:tblPrEx>
          <w:tblCellMar>
            <w:top w:w="0" w:type="dxa"/>
            <w:left w:w="108" w:type="dxa"/>
            <w:bottom w:w="0" w:type="dxa"/>
            <w:right w:w="108" w:type="dxa"/>
          </w:tblCellMar>
        </w:tblPrEx>
        <w:trPr>
          <w:trHeight w:val="613" w:hRule="atLeast"/>
          <w:jc w:val="center"/>
        </w:trPr>
        <w:tc>
          <w:tcPr>
            <w:tcW w:w="734" w:type="dxa"/>
            <w:tcBorders>
              <w:top w:val="single" w:color="auto" w:sz="4" w:space="0"/>
              <w:left w:val="single" w:color="auto" w:sz="8" w:space="0"/>
              <w:bottom w:val="single" w:color="auto" w:sz="4" w:space="0"/>
              <w:right w:val="single" w:color="auto" w:sz="4" w:space="0"/>
            </w:tcBorders>
            <w:shd w:val="clear" w:color="000000" w:fill="auto"/>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inorEastAsia" w:hAnsiTheme="minorEastAsia"/>
                <w:kern w:val="0"/>
                <w:sz w:val="20"/>
                <w:szCs w:val="20"/>
              </w:rPr>
            </w:pPr>
            <w:r>
              <w:rPr>
                <w:rFonts w:cs="Times New Roman" w:asciiTheme="minorEastAsia" w:hAnsiTheme="minorEastAsia"/>
                <w:bCs/>
                <w:kern w:val="0"/>
                <w:sz w:val="20"/>
                <w:szCs w:val="20"/>
              </w:rPr>
              <w:t>1.3</w:t>
            </w:r>
          </w:p>
        </w:tc>
        <w:tc>
          <w:tcPr>
            <w:tcW w:w="2049" w:type="dxa"/>
            <w:tcBorders>
              <w:top w:val="single" w:color="auto" w:sz="4" w:space="0"/>
              <w:left w:val="nil"/>
              <w:bottom w:val="single" w:color="auto" w:sz="4" w:space="0"/>
              <w:right w:val="single" w:color="auto" w:sz="4" w:space="0"/>
            </w:tcBorders>
            <w:shd w:val="clear" w:color="000000" w:fill="auto"/>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inorEastAsia" w:hAnsiTheme="minorEastAsia"/>
                <w:color w:val="000000"/>
                <w:kern w:val="0"/>
                <w:sz w:val="20"/>
                <w:szCs w:val="20"/>
              </w:rPr>
            </w:pPr>
            <w:r>
              <w:rPr>
                <w:rFonts w:cs="Times New Roman" w:asciiTheme="minorEastAsia" w:hAnsiTheme="minorEastAsia"/>
                <w:bCs/>
                <w:kern w:val="0"/>
                <w:sz w:val="20"/>
                <w:szCs w:val="20"/>
              </w:rPr>
              <w:t>特殊功能需求</w:t>
            </w:r>
          </w:p>
        </w:tc>
        <w:tc>
          <w:tcPr>
            <w:tcW w:w="3969" w:type="dxa"/>
            <w:tcBorders>
              <w:top w:val="single" w:color="auto" w:sz="4" w:space="0"/>
              <w:left w:val="nil"/>
              <w:bottom w:val="single" w:color="auto" w:sz="4" w:space="0"/>
              <w:right w:val="single" w:color="auto" w:sz="4" w:space="0"/>
            </w:tcBorders>
            <w:shd w:val="clear" w:color="000000" w:fill="auto"/>
            <w:vAlign w:val="center"/>
          </w:tcPr>
          <w:p>
            <w:pPr>
              <w:keepNext w:val="0"/>
              <w:keepLines w:val="0"/>
              <w:pageBreakBefore w:val="0"/>
              <w:kinsoku/>
              <w:wordWrap/>
              <w:overflowPunct/>
              <w:topLinePunct w:val="0"/>
              <w:autoSpaceDE/>
              <w:autoSpaceDN/>
              <w:bidi w:val="0"/>
              <w:adjustRightInd w:val="0"/>
              <w:snapToGrid w:val="0"/>
              <w:spacing w:line="240" w:lineRule="atLeast"/>
              <w:jc w:val="left"/>
              <w:textAlignment w:val="auto"/>
              <w:rPr>
                <w:rFonts w:cs="Times New Roman" w:asciiTheme="minorEastAsia" w:hAnsiTheme="minorEastAsia"/>
                <w:sz w:val="20"/>
                <w:szCs w:val="20"/>
              </w:rPr>
            </w:pPr>
            <w:r>
              <w:rPr>
                <w:rFonts w:hint="eastAsia" w:cs="Times New Roman" w:asciiTheme="minorEastAsia" w:hAnsiTheme="minorEastAsia"/>
                <w:sz w:val="20"/>
                <w:szCs w:val="20"/>
              </w:rPr>
              <w:t>无</w:t>
            </w:r>
          </w:p>
        </w:tc>
        <w:tc>
          <w:tcPr>
            <w:tcW w:w="2382" w:type="dxa"/>
            <w:tcBorders>
              <w:top w:val="single" w:color="auto" w:sz="4" w:space="0"/>
              <w:left w:val="nil"/>
              <w:bottom w:val="single" w:color="auto" w:sz="4" w:space="0"/>
              <w:right w:val="single" w:color="auto" w:sz="8" w:space="0"/>
            </w:tcBorders>
            <w:shd w:val="clear" w:color="000000" w:fill="auto"/>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inorEastAsia" w:hAnsiTheme="minorEastAsia"/>
                <w:kern w:val="0"/>
                <w:sz w:val="20"/>
                <w:szCs w:val="20"/>
              </w:rPr>
            </w:pPr>
          </w:p>
        </w:tc>
      </w:tr>
      <w:tr>
        <w:tblPrEx>
          <w:tblCellMar>
            <w:top w:w="0" w:type="dxa"/>
            <w:left w:w="108" w:type="dxa"/>
            <w:bottom w:w="0" w:type="dxa"/>
            <w:right w:w="108" w:type="dxa"/>
          </w:tblCellMar>
        </w:tblPrEx>
        <w:trPr>
          <w:trHeight w:val="690" w:hRule="atLeast"/>
          <w:jc w:val="center"/>
        </w:trPr>
        <w:tc>
          <w:tcPr>
            <w:tcW w:w="734"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inorEastAsia" w:hAnsiTheme="minorEastAsia"/>
                <w:b/>
                <w:kern w:val="0"/>
                <w:sz w:val="20"/>
                <w:szCs w:val="20"/>
              </w:rPr>
            </w:pPr>
            <w:r>
              <w:rPr>
                <w:rFonts w:cs="Times New Roman" w:asciiTheme="minorEastAsia" w:hAnsiTheme="minorEastAsia"/>
                <w:b/>
                <w:kern w:val="0"/>
                <w:sz w:val="20"/>
                <w:szCs w:val="20"/>
              </w:rPr>
              <w:t>2</w:t>
            </w:r>
          </w:p>
        </w:tc>
        <w:tc>
          <w:tcPr>
            <w:tcW w:w="204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inorEastAsia" w:hAnsiTheme="minorEastAsia"/>
                <w:b/>
                <w:bCs/>
                <w:kern w:val="0"/>
                <w:sz w:val="20"/>
                <w:szCs w:val="20"/>
              </w:rPr>
            </w:pPr>
            <w:r>
              <w:rPr>
                <w:rFonts w:cs="Times New Roman" w:asciiTheme="minorEastAsia" w:hAnsiTheme="minorEastAsia"/>
                <w:b/>
                <w:bCs/>
                <w:kern w:val="0"/>
                <w:sz w:val="20"/>
                <w:szCs w:val="20"/>
              </w:rPr>
              <w:t>主要技术参数</w:t>
            </w:r>
            <w:r>
              <w:rPr>
                <w:rFonts w:cs="Times New Roman" w:asciiTheme="minorEastAsia" w:hAnsiTheme="minorEastAsia"/>
                <w:b/>
                <w:bCs/>
                <w:kern w:val="0"/>
                <w:sz w:val="20"/>
                <w:szCs w:val="20"/>
              </w:rPr>
              <w:br w:type="textWrapping"/>
            </w:r>
            <w:r>
              <w:rPr>
                <w:rFonts w:cs="Times New Roman" w:asciiTheme="minorEastAsia" w:hAnsiTheme="minorEastAsia"/>
                <w:b/>
                <w:bCs/>
                <w:kern w:val="0"/>
                <w:sz w:val="20"/>
                <w:szCs w:val="20"/>
              </w:rPr>
              <w:t>（一行只写一个参数）</w:t>
            </w:r>
          </w:p>
        </w:tc>
        <w:tc>
          <w:tcPr>
            <w:tcW w:w="396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tLeast"/>
              <w:jc w:val="left"/>
              <w:textAlignment w:val="auto"/>
              <w:rPr>
                <w:rFonts w:cs="Times New Roman" w:asciiTheme="minorEastAsia" w:hAnsiTheme="minorEastAsia"/>
                <w:kern w:val="0"/>
                <w:sz w:val="20"/>
                <w:szCs w:val="20"/>
              </w:rPr>
            </w:pPr>
          </w:p>
        </w:tc>
        <w:tc>
          <w:tcPr>
            <w:tcW w:w="2382" w:type="dxa"/>
            <w:tcBorders>
              <w:top w:val="nil"/>
              <w:left w:val="nil"/>
              <w:bottom w:val="single" w:color="auto" w:sz="4" w:space="0"/>
              <w:right w:val="single" w:color="auto" w:sz="8" w:space="0"/>
            </w:tcBorders>
            <w:vAlign w:val="center"/>
          </w:tcPr>
          <w:p>
            <w:pPr>
              <w:keepNext w:val="0"/>
              <w:keepLines w:val="0"/>
              <w:pageBreakBefore w:val="0"/>
              <w:kinsoku/>
              <w:wordWrap/>
              <w:overflowPunct/>
              <w:topLinePunct w:val="0"/>
              <w:autoSpaceDE/>
              <w:autoSpaceDN/>
              <w:bidi w:val="0"/>
              <w:spacing w:line="240" w:lineRule="atLeast"/>
              <w:textAlignment w:val="auto"/>
              <w:rPr>
                <w:rFonts w:cs="宋体" w:asciiTheme="minorEastAsia" w:hAnsiTheme="minorEastAsia"/>
                <w:b/>
                <w:bCs/>
                <w:sz w:val="20"/>
                <w:szCs w:val="20"/>
              </w:rPr>
            </w:pPr>
          </w:p>
        </w:tc>
      </w:tr>
      <w:tr>
        <w:tblPrEx>
          <w:tblCellMar>
            <w:top w:w="0" w:type="dxa"/>
            <w:left w:w="108" w:type="dxa"/>
            <w:bottom w:w="0" w:type="dxa"/>
            <w:right w:w="108" w:type="dxa"/>
          </w:tblCellMar>
        </w:tblPrEx>
        <w:trPr>
          <w:trHeight w:val="907" w:hRule="atLeast"/>
          <w:jc w:val="center"/>
        </w:trPr>
        <w:tc>
          <w:tcPr>
            <w:tcW w:w="734"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inorEastAsia" w:hAnsiTheme="minorEastAsia"/>
                <w:kern w:val="0"/>
                <w:sz w:val="20"/>
                <w:szCs w:val="20"/>
              </w:rPr>
            </w:pPr>
            <w:r>
              <w:rPr>
                <w:rFonts w:cs="Times New Roman" w:asciiTheme="minorEastAsia" w:hAnsiTheme="minorEastAsia"/>
                <w:kern w:val="0"/>
                <w:sz w:val="20"/>
                <w:szCs w:val="20"/>
              </w:rPr>
              <w:t>2.1</w:t>
            </w:r>
          </w:p>
        </w:tc>
        <w:tc>
          <w:tcPr>
            <w:tcW w:w="204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inorEastAsia" w:hAnsiTheme="minorEastAsia"/>
                <w:kern w:val="0"/>
                <w:sz w:val="20"/>
                <w:szCs w:val="20"/>
              </w:rPr>
            </w:pPr>
            <w:r>
              <w:rPr>
                <w:rFonts w:hint="eastAsia" w:cs="宋体" w:asciiTheme="minorEastAsia" w:hAnsiTheme="minorEastAsia"/>
                <w:kern w:val="0"/>
                <w:sz w:val="20"/>
                <w:szCs w:val="20"/>
                <w:lang w:val="zh-CN"/>
              </w:rPr>
              <w:t>★</w:t>
            </w:r>
            <w:r>
              <w:rPr>
                <w:rFonts w:cs="Times New Roman" w:asciiTheme="minorEastAsia" w:hAnsiTheme="minorEastAsia"/>
                <w:kern w:val="0"/>
                <w:sz w:val="20"/>
                <w:szCs w:val="20"/>
              </w:rPr>
              <w:t>参数1</w:t>
            </w:r>
          </w:p>
        </w:tc>
        <w:tc>
          <w:tcPr>
            <w:tcW w:w="3969"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left"/>
              <w:textAlignment w:val="auto"/>
              <w:rPr>
                <w:rFonts w:cs="Times New Roman" w:asciiTheme="minorEastAsia" w:hAnsiTheme="minorEastAsia"/>
                <w:kern w:val="0"/>
                <w:sz w:val="20"/>
                <w:szCs w:val="20"/>
              </w:rPr>
            </w:pPr>
            <w:r>
              <w:rPr>
                <w:rFonts w:hint="eastAsia" w:asciiTheme="minorEastAsia" w:hAnsiTheme="minorEastAsia"/>
                <w:sz w:val="20"/>
                <w:szCs w:val="20"/>
              </w:rPr>
              <w:t>样品基座：0.2ml×96孔，可升级为3X32、2X96、2X384等高通量样本模块，还可支持数字芯片</w:t>
            </w:r>
          </w:p>
        </w:tc>
        <w:tc>
          <w:tcPr>
            <w:tcW w:w="2382" w:type="dxa"/>
            <w:tcBorders>
              <w:top w:val="nil"/>
              <w:left w:val="nil"/>
              <w:bottom w:val="single" w:color="auto" w:sz="4" w:space="0"/>
              <w:right w:val="single" w:color="auto" w:sz="8" w:space="0"/>
            </w:tcBorders>
            <w:vAlign w:val="center"/>
          </w:tcPr>
          <w:p>
            <w:pPr>
              <w:keepNext w:val="0"/>
              <w:keepLines w:val="0"/>
              <w:pageBreakBefore w:val="0"/>
              <w:kinsoku/>
              <w:wordWrap/>
              <w:overflowPunct/>
              <w:topLinePunct w:val="0"/>
              <w:autoSpaceDE/>
              <w:autoSpaceDN/>
              <w:bidi w:val="0"/>
              <w:spacing w:line="240" w:lineRule="atLeast"/>
              <w:textAlignment w:val="auto"/>
              <w:rPr>
                <w:rFonts w:cs="宋体" w:asciiTheme="minorEastAsia" w:hAnsiTheme="minorEastAsia"/>
                <w:sz w:val="20"/>
                <w:szCs w:val="20"/>
              </w:rPr>
            </w:pPr>
            <w:r>
              <w:rPr>
                <w:rFonts w:hint="eastAsia" w:asciiTheme="minorEastAsia" w:hAnsiTheme="minorEastAsia"/>
                <w:sz w:val="20"/>
                <w:szCs w:val="20"/>
              </w:rPr>
              <w:t>可以升级为高通量的模块可以一次性进行大批量的PCR实验，有效节省实验时间</w:t>
            </w:r>
          </w:p>
        </w:tc>
      </w:tr>
      <w:tr>
        <w:tblPrEx>
          <w:tblCellMar>
            <w:top w:w="0" w:type="dxa"/>
            <w:left w:w="108" w:type="dxa"/>
            <w:bottom w:w="0" w:type="dxa"/>
            <w:right w:w="108" w:type="dxa"/>
          </w:tblCellMar>
        </w:tblPrEx>
        <w:trPr>
          <w:trHeight w:val="586" w:hRule="atLeast"/>
          <w:jc w:val="center"/>
        </w:trPr>
        <w:tc>
          <w:tcPr>
            <w:tcW w:w="734"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inorEastAsia" w:hAnsiTheme="minorEastAsia"/>
                <w:kern w:val="0"/>
                <w:sz w:val="20"/>
                <w:szCs w:val="20"/>
              </w:rPr>
            </w:pPr>
            <w:r>
              <w:rPr>
                <w:rFonts w:cs="Times New Roman" w:asciiTheme="minorEastAsia" w:hAnsiTheme="minorEastAsia"/>
                <w:kern w:val="0"/>
                <w:sz w:val="20"/>
                <w:szCs w:val="20"/>
              </w:rPr>
              <w:t>2.2</w:t>
            </w:r>
          </w:p>
        </w:tc>
        <w:tc>
          <w:tcPr>
            <w:tcW w:w="204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inorEastAsia" w:hAnsiTheme="minorEastAsia"/>
                <w:kern w:val="0"/>
                <w:sz w:val="20"/>
                <w:szCs w:val="20"/>
              </w:rPr>
            </w:pPr>
            <w:r>
              <w:rPr>
                <w:rFonts w:hint="eastAsia" w:cs="Times New Roman" w:asciiTheme="minorEastAsia" w:hAnsiTheme="minorEastAsia"/>
                <w:kern w:val="0"/>
                <w:sz w:val="20"/>
                <w:szCs w:val="20"/>
              </w:rPr>
              <w:t>▲</w:t>
            </w:r>
            <w:r>
              <w:rPr>
                <w:rFonts w:cs="Times New Roman" w:asciiTheme="minorEastAsia" w:hAnsiTheme="minorEastAsia"/>
                <w:kern w:val="0"/>
                <w:sz w:val="20"/>
                <w:szCs w:val="20"/>
              </w:rPr>
              <w:t>参数2</w:t>
            </w:r>
          </w:p>
        </w:tc>
        <w:tc>
          <w:tcPr>
            <w:tcW w:w="3969" w:type="dxa"/>
            <w:tcBorders>
              <w:top w:val="single" w:color="auto" w:sz="4" w:space="0"/>
              <w:left w:val="nil"/>
              <w:bottom w:val="single" w:color="auto" w:sz="4" w:space="0"/>
              <w:right w:val="single" w:color="auto" w:sz="4" w:space="0"/>
            </w:tcBorders>
            <w:vAlign w:val="center"/>
          </w:tcPr>
          <w:p>
            <w:pPr>
              <w:pStyle w:val="46"/>
              <w:keepNext w:val="0"/>
              <w:keepLines w:val="0"/>
              <w:pageBreakBefore w:val="0"/>
              <w:kinsoku/>
              <w:wordWrap/>
              <w:overflowPunct/>
              <w:topLinePunct w:val="0"/>
              <w:autoSpaceDE/>
              <w:autoSpaceDN/>
              <w:bidi w:val="0"/>
              <w:spacing w:line="240" w:lineRule="atLeast"/>
              <w:ind w:firstLine="0" w:firstLineChars="0"/>
              <w:jc w:val="left"/>
              <w:textAlignment w:val="auto"/>
              <w:rPr>
                <w:rFonts w:asciiTheme="minorEastAsia" w:hAnsiTheme="minorEastAsia" w:eastAsiaTheme="minorEastAsia"/>
                <w:kern w:val="0"/>
                <w:sz w:val="20"/>
                <w:szCs w:val="20"/>
              </w:rPr>
            </w:pPr>
            <w:r>
              <w:rPr>
                <w:rFonts w:hint="eastAsia" w:cs="Calibri" w:asciiTheme="minorEastAsia" w:hAnsiTheme="minorEastAsia" w:eastAsiaTheme="minorEastAsia"/>
                <w:sz w:val="20"/>
                <w:szCs w:val="20"/>
              </w:rPr>
              <w:t>最大模块变温速率：6℃/Sec，最大样品变温速率：4.4℃/Sec</w:t>
            </w:r>
          </w:p>
        </w:tc>
        <w:tc>
          <w:tcPr>
            <w:tcW w:w="2382" w:type="dxa"/>
            <w:tcBorders>
              <w:top w:val="single" w:color="auto" w:sz="4" w:space="0"/>
              <w:left w:val="nil"/>
              <w:bottom w:val="single" w:color="auto" w:sz="4" w:space="0"/>
              <w:right w:val="single" w:color="auto" w:sz="8" w:space="0"/>
            </w:tcBorders>
            <w:vAlign w:val="center"/>
          </w:tcPr>
          <w:p>
            <w:pPr>
              <w:keepNext w:val="0"/>
              <w:keepLines w:val="0"/>
              <w:pageBreakBefore w:val="0"/>
              <w:kinsoku/>
              <w:wordWrap/>
              <w:overflowPunct/>
              <w:topLinePunct w:val="0"/>
              <w:autoSpaceDE/>
              <w:autoSpaceDN/>
              <w:bidi w:val="0"/>
              <w:spacing w:line="240" w:lineRule="atLeast"/>
              <w:textAlignment w:val="auto"/>
              <w:rPr>
                <w:rFonts w:cs="宋体" w:asciiTheme="minorEastAsia" w:hAnsiTheme="minorEastAsia"/>
                <w:sz w:val="20"/>
                <w:szCs w:val="20"/>
              </w:rPr>
            </w:pPr>
          </w:p>
        </w:tc>
      </w:tr>
      <w:tr>
        <w:tblPrEx>
          <w:tblCellMar>
            <w:top w:w="0" w:type="dxa"/>
            <w:left w:w="108" w:type="dxa"/>
            <w:bottom w:w="0" w:type="dxa"/>
            <w:right w:w="108" w:type="dxa"/>
          </w:tblCellMar>
        </w:tblPrEx>
        <w:trPr>
          <w:trHeight w:val="861" w:hRule="atLeast"/>
          <w:jc w:val="center"/>
        </w:trPr>
        <w:tc>
          <w:tcPr>
            <w:tcW w:w="734"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inorEastAsia" w:hAnsiTheme="minorEastAsia"/>
                <w:kern w:val="0"/>
                <w:sz w:val="20"/>
                <w:szCs w:val="20"/>
              </w:rPr>
            </w:pPr>
            <w:r>
              <w:rPr>
                <w:rFonts w:cs="Times New Roman" w:asciiTheme="minorEastAsia" w:hAnsiTheme="minorEastAsia"/>
                <w:kern w:val="0"/>
                <w:sz w:val="20"/>
                <w:szCs w:val="20"/>
              </w:rPr>
              <w:t>2.3</w:t>
            </w:r>
          </w:p>
        </w:tc>
        <w:tc>
          <w:tcPr>
            <w:tcW w:w="204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inorEastAsia" w:hAnsiTheme="minorEastAsia"/>
                <w:kern w:val="0"/>
                <w:sz w:val="20"/>
                <w:szCs w:val="20"/>
              </w:rPr>
            </w:pPr>
            <w:r>
              <w:rPr>
                <w:rFonts w:hint="eastAsia" w:cs="Times New Roman" w:asciiTheme="minorEastAsia" w:hAnsiTheme="minorEastAsia"/>
                <w:kern w:val="0"/>
                <w:sz w:val="20"/>
                <w:szCs w:val="20"/>
              </w:rPr>
              <w:t>▲</w:t>
            </w:r>
            <w:r>
              <w:rPr>
                <w:rFonts w:cs="Times New Roman" w:asciiTheme="minorEastAsia" w:hAnsiTheme="minorEastAsia"/>
                <w:kern w:val="0"/>
                <w:sz w:val="20"/>
                <w:szCs w:val="20"/>
              </w:rPr>
              <w:t>参数3</w:t>
            </w:r>
          </w:p>
        </w:tc>
        <w:tc>
          <w:tcPr>
            <w:tcW w:w="396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tLeast"/>
              <w:jc w:val="left"/>
              <w:textAlignment w:val="auto"/>
              <w:rPr>
                <w:rFonts w:cs="Times New Roman" w:asciiTheme="minorEastAsia" w:hAnsiTheme="minorEastAsia"/>
                <w:kern w:val="0"/>
                <w:sz w:val="20"/>
                <w:szCs w:val="20"/>
              </w:rPr>
            </w:pPr>
            <w:r>
              <w:rPr>
                <w:rFonts w:hint="eastAsia" w:asciiTheme="minorEastAsia" w:hAnsiTheme="minorEastAsia"/>
                <w:sz w:val="20"/>
                <w:szCs w:val="20"/>
              </w:rPr>
              <w:t>内置热学模拟模式，可以模拟市面上主流PCR的热学性能，做到数据无缝连接软件</w:t>
            </w:r>
          </w:p>
        </w:tc>
        <w:tc>
          <w:tcPr>
            <w:tcW w:w="2382" w:type="dxa"/>
            <w:tcBorders>
              <w:top w:val="single" w:color="auto" w:sz="4" w:space="0"/>
              <w:left w:val="nil"/>
              <w:bottom w:val="single" w:color="auto" w:sz="4" w:space="0"/>
              <w:right w:val="single" w:color="auto" w:sz="8" w:space="0"/>
            </w:tcBorders>
            <w:vAlign w:val="center"/>
          </w:tcPr>
          <w:p>
            <w:pPr>
              <w:keepNext w:val="0"/>
              <w:keepLines w:val="0"/>
              <w:pageBreakBefore w:val="0"/>
              <w:kinsoku/>
              <w:wordWrap/>
              <w:overflowPunct/>
              <w:topLinePunct w:val="0"/>
              <w:autoSpaceDE/>
              <w:autoSpaceDN/>
              <w:bidi w:val="0"/>
              <w:spacing w:line="240" w:lineRule="atLeast"/>
              <w:textAlignment w:val="auto"/>
              <w:rPr>
                <w:rFonts w:cs="宋体" w:asciiTheme="minorEastAsia" w:hAnsiTheme="minorEastAsia"/>
                <w:b/>
                <w:bCs/>
                <w:sz w:val="20"/>
                <w:szCs w:val="20"/>
              </w:rPr>
            </w:pPr>
          </w:p>
        </w:tc>
      </w:tr>
      <w:tr>
        <w:tblPrEx>
          <w:tblCellMar>
            <w:top w:w="0" w:type="dxa"/>
            <w:left w:w="108" w:type="dxa"/>
            <w:bottom w:w="0" w:type="dxa"/>
            <w:right w:w="108" w:type="dxa"/>
          </w:tblCellMar>
        </w:tblPrEx>
        <w:trPr>
          <w:trHeight w:val="1115" w:hRule="atLeast"/>
          <w:jc w:val="center"/>
        </w:trPr>
        <w:tc>
          <w:tcPr>
            <w:tcW w:w="734"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inorEastAsia" w:hAnsiTheme="minorEastAsia"/>
                <w:kern w:val="0"/>
                <w:sz w:val="20"/>
                <w:szCs w:val="20"/>
              </w:rPr>
            </w:pPr>
            <w:r>
              <w:rPr>
                <w:rFonts w:cs="Times New Roman" w:asciiTheme="minorEastAsia" w:hAnsiTheme="minorEastAsia"/>
                <w:kern w:val="0"/>
                <w:sz w:val="20"/>
                <w:szCs w:val="20"/>
              </w:rPr>
              <w:t>2.4</w:t>
            </w:r>
          </w:p>
        </w:tc>
        <w:tc>
          <w:tcPr>
            <w:tcW w:w="204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inorEastAsia" w:hAnsiTheme="minorEastAsia"/>
                <w:kern w:val="0"/>
                <w:sz w:val="20"/>
                <w:szCs w:val="20"/>
              </w:rPr>
            </w:pPr>
            <w:r>
              <w:rPr>
                <w:rFonts w:hint="eastAsia" w:cs="Times New Roman" w:asciiTheme="minorEastAsia" w:hAnsiTheme="minorEastAsia"/>
                <w:kern w:val="0"/>
                <w:sz w:val="20"/>
                <w:szCs w:val="20"/>
              </w:rPr>
              <w:t>▲</w:t>
            </w:r>
            <w:r>
              <w:rPr>
                <w:rFonts w:cs="Times New Roman" w:asciiTheme="minorEastAsia" w:hAnsiTheme="minorEastAsia"/>
                <w:kern w:val="0"/>
                <w:sz w:val="20"/>
                <w:szCs w:val="20"/>
              </w:rPr>
              <w:t>参数4</w:t>
            </w:r>
          </w:p>
        </w:tc>
        <w:tc>
          <w:tcPr>
            <w:tcW w:w="396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tLeast"/>
              <w:jc w:val="left"/>
              <w:textAlignment w:val="auto"/>
              <w:rPr>
                <w:rFonts w:cs="Times New Roman" w:asciiTheme="minorEastAsia" w:hAnsiTheme="minorEastAsia"/>
                <w:kern w:val="0"/>
                <w:sz w:val="20"/>
                <w:szCs w:val="20"/>
              </w:rPr>
            </w:pPr>
            <w:r>
              <w:rPr>
                <w:rFonts w:hint="eastAsia" w:asciiTheme="minorEastAsia" w:hAnsiTheme="minorEastAsia"/>
                <w:sz w:val="20"/>
                <w:szCs w:val="20"/>
              </w:rPr>
              <w:t>配备Wi-Fi连接装置，仪器可通过此可下载PCR应用程序到iphone或android移动设备，随时随地查看仪器状态</w:t>
            </w:r>
          </w:p>
        </w:tc>
        <w:tc>
          <w:tcPr>
            <w:tcW w:w="2382"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宋体" w:asciiTheme="minorEastAsia" w:hAnsiTheme="minorEastAsia"/>
                <w:b/>
                <w:bCs/>
                <w:kern w:val="0"/>
                <w:sz w:val="20"/>
                <w:szCs w:val="20"/>
              </w:rPr>
            </w:pPr>
            <w:r>
              <w:rPr>
                <w:rFonts w:hint="eastAsia" w:cs="宋体" w:asciiTheme="minorEastAsia" w:hAnsiTheme="minorEastAsia"/>
                <w:b/>
                <w:bCs/>
                <w:kern w:val="0"/>
                <w:sz w:val="20"/>
                <w:szCs w:val="20"/>
              </w:rPr>
              <w:t>　</w:t>
            </w:r>
          </w:p>
        </w:tc>
      </w:tr>
      <w:tr>
        <w:tblPrEx>
          <w:tblCellMar>
            <w:top w:w="0" w:type="dxa"/>
            <w:left w:w="108" w:type="dxa"/>
            <w:bottom w:w="0" w:type="dxa"/>
            <w:right w:w="108" w:type="dxa"/>
          </w:tblCellMar>
        </w:tblPrEx>
        <w:trPr>
          <w:trHeight w:val="913" w:hRule="atLeast"/>
          <w:jc w:val="center"/>
        </w:trPr>
        <w:tc>
          <w:tcPr>
            <w:tcW w:w="734"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inorEastAsia" w:hAnsiTheme="minorEastAsia"/>
                <w:kern w:val="0"/>
                <w:sz w:val="20"/>
                <w:szCs w:val="20"/>
              </w:rPr>
            </w:pPr>
            <w:r>
              <w:rPr>
                <w:rFonts w:cs="Times New Roman" w:asciiTheme="minorEastAsia" w:hAnsiTheme="minorEastAsia"/>
                <w:kern w:val="0"/>
                <w:sz w:val="20"/>
                <w:szCs w:val="20"/>
              </w:rPr>
              <w:t>2.5</w:t>
            </w:r>
          </w:p>
        </w:tc>
        <w:tc>
          <w:tcPr>
            <w:tcW w:w="2049"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tLeast"/>
              <w:jc w:val="center"/>
              <w:textAlignment w:val="auto"/>
              <w:rPr>
                <w:rFonts w:cs="Times New Roman" w:asciiTheme="minorEastAsia" w:hAnsiTheme="minorEastAsia"/>
                <w:sz w:val="20"/>
                <w:szCs w:val="20"/>
              </w:rPr>
            </w:pPr>
            <w:r>
              <w:rPr>
                <w:rFonts w:hint="eastAsia" w:cs="Times New Roman" w:asciiTheme="minorEastAsia" w:hAnsiTheme="minorEastAsia"/>
                <w:kern w:val="0"/>
                <w:sz w:val="20"/>
                <w:szCs w:val="20"/>
              </w:rPr>
              <w:t>▲</w:t>
            </w:r>
            <w:r>
              <w:rPr>
                <w:rFonts w:cs="Times New Roman" w:asciiTheme="minorEastAsia" w:hAnsiTheme="minorEastAsia"/>
                <w:kern w:val="0"/>
                <w:sz w:val="20"/>
                <w:szCs w:val="20"/>
              </w:rPr>
              <w:t>参数5</w:t>
            </w:r>
          </w:p>
        </w:tc>
        <w:tc>
          <w:tcPr>
            <w:tcW w:w="3969" w:type="dxa"/>
            <w:tcBorders>
              <w:top w:val="single" w:color="auto" w:sz="4" w:space="0"/>
              <w:left w:val="nil"/>
              <w:bottom w:val="single" w:color="auto" w:sz="4" w:space="0"/>
              <w:right w:val="single" w:color="auto" w:sz="4" w:space="0"/>
            </w:tcBorders>
            <w:vAlign w:val="center"/>
          </w:tcPr>
          <w:p>
            <w:pPr>
              <w:pStyle w:val="46"/>
              <w:keepNext w:val="0"/>
              <w:keepLines w:val="0"/>
              <w:pageBreakBefore w:val="0"/>
              <w:kinsoku/>
              <w:wordWrap/>
              <w:overflowPunct/>
              <w:topLinePunct w:val="0"/>
              <w:autoSpaceDE/>
              <w:autoSpaceDN/>
              <w:bidi w:val="0"/>
              <w:spacing w:line="240" w:lineRule="atLeast"/>
              <w:ind w:firstLine="0" w:firstLineChars="0"/>
              <w:jc w:val="left"/>
              <w:textAlignment w:val="auto"/>
              <w:rPr>
                <w:rFonts w:asciiTheme="minorEastAsia" w:hAnsiTheme="minorEastAsia" w:eastAsiaTheme="minorEastAsia"/>
                <w:kern w:val="0"/>
                <w:sz w:val="20"/>
                <w:szCs w:val="20"/>
              </w:rPr>
            </w:pPr>
            <w:r>
              <w:rPr>
                <w:rFonts w:hint="eastAsia" w:cs="Calibri" w:asciiTheme="minorEastAsia" w:hAnsiTheme="minorEastAsia" w:eastAsiaTheme="minorEastAsia"/>
                <w:sz w:val="20"/>
                <w:szCs w:val="20"/>
              </w:rPr>
              <w:t>具有≥8英寸彩色TFT触摸式显示屏，大的导航按钮设置参数简单方便</w:t>
            </w:r>
          </w:p>
        </w:tc>
        <w:tc>
          <w:tcPr>
            <w:tcW w:w="2382"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宋体" w:asciiTheme="minorEastAsia" w:hAnsiTheme="minorEastAsia"/>
                <w:kern w:val="0"/>
                <w:sz w:val="20"/>
                <w:szCs w:val="20"/>
              </w:rPr>
            </w:pPr>
            <w:r>
              <w:rPr>
                <w:rFonts w:hint="eastAsia" w:cs="宋体" w:asciiTheme="minorEastAsia" w:hAnsiTheme="minorEastAsia"/>
                <w:kern w:val="0"/>
                <w:sz w:val="20"/>
                <w:szCs w:val="20"/>
              </w:rPr>
              <w:t>　</w:t>
            </w:r>
          </w:p>
        </w:tc>
      </w:tr>
      <w:tr>
        <w:tblPrEx>
          <w:tblCellMar>
            <w:top w:w="0" w:type="dxa"/>
            <w:left w:w="108" w:type="dxa"/>
            <w:bottom w:w="0" w:type="dxa"/>
            <w:right w:w="108" w:type="dxa"/>
          </w:tblCellMar>
        </w:tblPrEx>
        <w:trPr>
          <w:trHeight w:val="843" w:hRule="atLeast"/>
          <w:jc w:val="center"/>
        </w:trPr>
        <w:tc>
          <w:tcPr>
            <w:tcW w:w="734"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inorEastAsia" w:hAnsiTheme="minorEastAsia"/>
                <w:kern w:val="0"/>
                <w:sz w:val="20"/>
                <w:szCs w:val="20"/>
              </w:rPr>
            </w:pPr>
            <w:r>
              <w:rPr>
                <w:rFonts w:hint="eastAsia" w:cs="Times New Roman" w:asciiTheme="minorEastAsia" w:hAnsiTheme="minorEastAsia"/>
                <w:kern w:val="0"/>
                <w:sz w:val="20"/>
                <w:szCs w:val="20"/>
              </w:rPr>
              <w:t>2.6</w:t>
            </w:r>
          </w:p>
        </w:tc>
        <w:tc>
          <w:tcPr>
            <w:tcW w:w="2049"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tLeast"/>
              <w:jc w:val="center"/>
              <w:textAlignment w:val="auto"/>
              <w:rPr>
                <w:rFonts w:cs="Times New Roman" w:asciiTheme="minorEastAsia" w:hAnsiTheme="minorEastAsia"/>
                <w:kern w:val="0"/>
                <w:sz w:val="20"/>
                <w:szCs w:val="20"/>
              </w:rPr>
            </w:pPr>
            <w:r>
              <w:rPr>
                <w:rFonts w:hint="eastAsia" w:cs="Times New Roman" w:asciiTheme="minorEastAsia" w:hAnsiTheme="minorEastAsia"/>
                <w:kern w:val="0"/>
                <w:sz w:val="20"/>
                <w:szCs w:val="20"/>
              </w:rPr>
              <w:t>参数6</w:t>
            </w:r>
          </w:p>
        </w:tc>
        <w:tc>
          <w:tcPr>
            <w:tcW w:w="3969" w:type="dxa"/>
            <w:tcBorders>
              <w:top w:val="single" w:color="auto" w:sz="4" w:space="0"/>
              <w:left w:val="nil"/>
              <w:bottom w:val="single" w:color="auto" w:sz="4" w:space="0"/>
              <w:right w:val="single" w:color="auto" w:sz="4" w:space="0"/>
            </w:tcBorders>
            <w:vAlign w:val="center"/>
          </w:tcPr>
          <w:p>
            <w:pPr>
              <w:pStyle w:val="46"/>
              <w:keepNext w:val="0"/>
              <w:keepLines w:val="0"/>
              <w:pageBreakBefore w:val="0"/>
              <w:kinsoku/>
              <w:wordWrap/>
              <w:overflowPunct/>
              <w:topLinePunct w:val="0"/>
              <w:autoSpaceDE/>
              <w:autoSpaceDN/>
              <w:bidi w:val="0"/>
              <w:spacing w:line="240" w:lineRule="atLeast"/>
              <w:ind w:firstLine="0" w:firstLineChars="0"/>
              <w:jc w:val="left"/>
              <w:textAlignment w:val="auto"/>
              <w:rPr>
                <w:rFonts w:cs="Calibri" w:asciiTheme="minorEastAsia" w:hAnsiTheme="minorEastAsia" w:eastAsiaTheme="minorEastAsia"/>
                <w:sz w:val="20"/>
                <w:szCs w:val="20"/>
              </w:rPr>
            </w:pPr>
            <w:r>
              <w:rPr>
                <w:rFonts w:hint="eastAsia" w:cs="Calibri" w:asciiTheme="minorEastAsia" w:hAnsiTheme="minorEastAsia" w:eastAsiaTheme="minorEastAsia"/>
                <w:sz w:val="20"/>
                <w:szCs w:val="20"/>
              </w:rPr>
              <w:t>温度范围:0～</w:t>
            </w:r>
            <w:r>
              <w:rPr>
                <w:rFonts w:cs="Calibri" w:asciiTheme="minorEastAsia" w:hAnsiTheme="minorEastAsia" w:eastAsiaTheme="minorEastAsia"/>
                <w:sz w:val="20"/>
                <w:szCs w:val="20"/>
              </w:rPr>
              <w:t>100</w:t>
            </w:r>
            <w:r>
              <w:rPr>
                <w:rFonts w:hint="eastAsia" w:cs="Calibri" w:asciiTheme="minorEastAsia" w:hAnsiTheme="minorEastAsia" w:eastAsiaTheme="minorEastAsia"/>
                <w:sz w:val="20"/>
                <w:szCs w:val="20"/>
              </w:rPr>
              <w:t>℃</w:t>
            </w:r>
          </w:p>
        </w:tc>
        <w:tc>
          <w:tcPr>
            <w:tcW w:w="2382"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宋体" w:asciiTheme="minorEastAsia" w:hAnsiTheme="minorEastAsia"/>
                <w:kern w:val="0"/>
                <w:sz w:val="20"/>
                <w:szCs w:val="20"/>
              </w:rPr>
            </w:pPr>
          </w:p>
        </w:tc>
      </w:tr>
      <w:tr>
        <w:tblPrEx>
          <w:tblCellMar>
            <w:top w:w="0" w:type="dxa"/>
            <w:left w:w="108" w:type="dxa"/>
            <w:bottom w:w="0" w:type="dxa"/>
            <w:right w:w="108" w:type="dxa"/>
          </w:tblCellMar>
        </w:tblPrEx>
        <w:trPr>
          <w:trHeight w:val="969" w:hRule="atLeast"/>
          <w:jc w:val="center"/>
        </w:trPr>
        <w:tc>
          <w:tcPr>
            <w:tcW w:w="734"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inorEastAsia" w:hAnsiTheme="minorEastAsia"/>
                <w:kern w:val="0"/>
                <w:sz w:val="20"/>
                <w:szCs w:val="20"/>
              </w:rPr>
            </w:pPr>
            <w:r>
              <w:rPr>
                <w:rFonts w:hint="eastAsia" w:cs="Times New Roman" w:asciiTheme="minorEastAsia" w:hAnsiTheme="minorEastAsia"/>
                <w:kern w:val="0"/>
                <w:sz w:val="20"/>
                <w:szCs w:val="20"/>
              </w:rPr>
              <w:t>2.7</w:t>
            </w:r>
          </w:p>
        </w:tc>
        <w:tc>
          <w:tcPr>
            <w:tcW w:w="2049"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tLeast"/>
              <w:jc w:val="center"/>
              <w:textAlignment w:val="auto"/>
              <w:rPr>
                <w:rFonts w:cs="Times New Roman" w:asciiTheme="minorEastAsia" w:hAnsiTheme="minorEastAsia"/>
                <w:kern w:val="0"/>
                <w:sz w:val="20"/>
                <w:szCs w:val="20"/>
              </w:rPr>
            </w:pPr>
            <w:r>
              <w:rPr>
                <w:rFonts w:hint="eastAsia" w:cs="Times New Roman" w:asciiTheme="minorEastAsia" w:hAnsiTheme="minorEastAsia"/>
                <w:kern w:val="0"/>
                <w:sz w:val="20"/>
                <w:szCs w:val="20"/>
              </w:rPr>
              <w:t>参数7</w:t>
            </w:r>
          </w:p>
        </w:tc>
        <w:tc>
          <w:tcPr>
            <w:tcW w:w="3969" w:type="dxa"/>
            <w:tcBorders>
              <w:top w:val="single" w:color="auto" w:sz="4" w:space="0"/>
              <w:left w:val="nil"/>
              <w:bottom w:val="single" w:color="auto" w:sz="4" w:space="0"/>
              <w:right w:val="single" w:color="auto" w:sz="4" w:space="0"/>
            </w:tcBorders>
            <w:vAlign w:val="center"/>
          </w:tcPr>
          <w:p>
            <w:pPr>
              <w:pStyle w:val="46"/>
              <w:keepNext w:val="0"/>
              <w:keepLines w:val="0"/>
              <w:pageBreakBefore w:val="0"/>
              <w:kinsoku/>
              <w:wordWrap/>
              <w:overflowPunct/>
              <w:topLinePunct w:val="0"/>
              <w:autoSpaceDE/>
              <w:autoSpaceDN/>
              <w:bidi w:val="0"/>
              <w:spacing w:line="240" w:lineRule="atLeast"/>
              <w:ind w:firstLine="0" w:firstLineChars="0"/>
              <w:jc w:val="left"/>
              <w:textAlignment w:val="auto"/>
              <w:rPr>
                <w:rFonts w:cs="Calibri" w:asciiTheme="minorEastAsia" w:hAnsiTheme="minorEastAsia" w:eastAsiaTheme="minorEastAsia"/>
                <w:sz w:val="20"/>
                <w:szCs w:val="20"/>
              </w:rPr>
            </w:pPr>
            <w:r>
              <w:rPr>
                <w:rFonts w:hint="eastAsia" w:cs="Calibri" w:asciiTheme="minorEastAsia" w:hAnsiTheme="minorEastAsia" w:eastAsiaTheme="minorEastAsia"/>
                <w:sz w:val="20"/>
                <w:szCs w:val="20"/>
              </w:rPr>
              <w:t>静态样本基座温度均匀性：≤±0.5℃；温度准确性：≤±0.25℃</w:t>
            </w:r>
          </w:p>
        </w:tc>
        <w:tc>
          <w:tcPr>
            <w:tcW w:w="2382"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宋体" w:asciiTheme="minorEastAsia" w:hAnsiTheme="minorEastAsia"/>
                <w:kern w:val="0"/>
                <w:sz w:val="20"/>
                <w:szCs w:val="20"/>
              </w:rPr>
            </w:pPr>
          </w:p>
        </w:tc>
      </w:tr>
      <w:tr>
        <w:tblPrEx>
          <w:tblCellMar>
            <w:top w:w="0" w:type="dxa"/>
            <w:left w:w="108" w:type="dxa"/>
            <w:bottom w:w="0" w:type="dxa"/>
            <w:right w:w="108" w:type="dxa"/>
          </w:tblCellMar>
        </w:tblPrEx>
        <w:trPr>
          <w:trHeight w:val="766" w:hRule="atLeast"/>
          <w:jc w:val="center"/>
        </w:trPr>
        <w:tc>
          <w:tcPr>
            <w:tcW w:w="734"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inorEastAsia" w:hAnsiTheme="minorEastAsia"/>
                <w:kern w:val="0"/>
                <w:sz w:val="20"/>
                <w:szCs w:val="20"/>
              </w:rPr>
            </w:pPr>
            <w:r>
              <w:rPr>
                <w:rFonts w:cs="Times New Roman" w:asciiTheme="minorEastAsia" w:hAnsiTheme="minorEastAsia"/>
                <w:kern w:val="0"/>
                <w:sz w:val="20"/>
                <w:szCs w:val="20"/>
              </w:rPr>
              <w:t>2.</w:t>
            </w:r>
            <w:r>
              <w:rPr>
                <w:rFonts w:hint="eastAsia" w:cs="Times New Roman" w:asciiTheme="minorEastAsia" w:hAnsiTheme="minorEastAsia"/>
                <w:kern w:val="0"/>
                <w:sz w:val="20"/>
                <w:szCs w:val="20"/>
              </w:rPr>
              <w:t>8</w:t>
            </w:r>
          </w:p>
        </w:tc>
        <w:tc>
          <w:tcPr>
            <w:tcW w:w="2049"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tLeast"/>
              <w:jc w:val="center"/>
              <w:textAlignment w:val="auto"/>
              <w:rPr>
                <w:rFonts w:cs="Times New Roman" w:asciiTheme="minorEastAsia" w:hAnsiTheme="minorEastAsia"/>
                <w:kern w:val="0"/>
                <w:sz w:val="20"/>
                <w:szCs w:val="20"/>
              </w:rPr>
            </w:pPr>
            <w:r>
              <w:rPr>
                <w:rFonts w:cs="Times New Roman" w:asciiTheme="minorEastAsia" w:hAnsiTheme="minorEastAsia"/>
                <w:kern w:val="0"/>
                <w:sz w:val="20"/>
                <w:szCs w:val="20"/>
              </w:rPr>
              <w:t>参数</w:t>
            </w:r>
            <w:r>
              <w:rPr>
                <w:rFonts w:hint="eastAsia" w:cs="Times New Roman" w:asciiTheme="minorEastAsia" w:hAnsiTheme="minorEastAsia"/>
                <w:kern w:val="0"/>
                <w:sz w:val="20"/>
                <w:szCs w:val="20"/>
              </w:rPr>
              <w:t>8</w:t>
            </w:r>
          </w:p>
        </w:tc>
        <w:tc>
          <w:tcPr>
            <w:tcW w:w="396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tLeast"/>
              <w:jc w:val="left"/>
              <w:textAlignment w:val="auto"/>
              <w:rPr>
                <w:rFonts w:asciiTheme="minorEastAsia" w:hAnsiTheme="minorEastAsia"/>
                <w:sz w:val="20"/>
                <w:szCs w:val="20"/>
              </w:rPr>
            </w:pPr>
            <w:r>
              <w:rPr>
                <w:rFonts w:hint="eastAsia" w:asciiTheme="minorEastAsia" w:hAnsiTheme="minorEastAsia"/>
                <w:sz w:val="20"/>
                <w:szCs w:val="20"/>
              </w:rPr>
              <w:t>PCR体积范围：10</w:t>
            </w:r>
            <w:r>
              <w:rPr>
                <w:rFonts w:asciiTheme="minorEastAsia" w:hAnsiTheme="minorEastAsia"/>
                <w:sz w:val="20"/>
                <w:szCs w:val="20"/>
              </w:rPr>
              <w:t>—</w:t>
            </w:r>
            <w:r>
              <w:rPr>
                <w:rFonts w:hint="eastAsia" w:asciiTheme="minorEastAsia" w:hAnsiTheme="minorEastAsia"/>
                <w:sz w:val="20"/>
                <w:szCs w:val="20"/>
              </w:rPr>
              <w:t>80ul</w:t>
            </w:r>
          </w:p>
        </w:tc>
        <w:tc>
          <w:tcPr>
            <w:tcW w:w="2382"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宋体" w:asciiTheme="minorEastAsia" w:hAnsiTheme="minorEastAsia"/>
                <w:kern w:val="0"/>
                <w:sz w:val="20"/>
                <w:szCs w:val="20"/>
              </w:rPr>
            </w:pPr>
            <w:r>
              <w:rPr>
                <w:rFonts w:hint="eastAsia" w:cs="宋体" w:asciiTheme="minorEastAsia" w:hAnsiTheme="minorEastAsia"/>
                <w:kern w:val="0"/>
                <w:sz w:val="20"/>
                <w:szCs w:val="20"/>
              </w:rPr>
              <w:t>　</w:t>
            </w:r>
          </w:p>
        </w:tc>
      </w:tr>
      <w:tr>
        <w:tblPrEx>
          <w:tblCellMar>
            <w:top w:w="0" w:type="dxa"/>
            <w:left w:w="108" w:type="dxa"/>
            <w:bottom w:w="0" w:type="dxa"/>
            <w:right w:w="108" w:type="dxa"/>
          </w:tblCellMar>
        </w:tblPrEx>
        <w:trPr>
          <w:trHeight w:val="910" w:hRule="atLeast"/>
          <w:jc w:val="center"/>
        </w:trPr>
        <w:tc>
          <w:tcPr>
            <w:tcW w:w="7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inorEastAsia" w:hAnsiTheme="minorEastAsia"/>
                <w:kern w:val="0"/>
                <w:sz w:val="20"/>
                <w:szCs w:val="20"/>
              </w:rPr>
            </w:pPr>
            <w:r>
              <w:rPr>
                <w:rFonts w:cs="Times New Roman" w:asciiTheme="minorEastAsia" w:hAnsiTheme="minorEastAsia"/>
                <w:kern w:val="0"/>
                <w:sz w:val="20"/>
                <w:szCs w:val="20"/>
              </w:rPr>
              <w:t>2.</w:t>
            </w:r>
            <w:r>
              <w:rPr>
                <w:rFonts w:hint="eastAsia" w:cs="Times New Roman" w:asciiTheme="minorEastAsia" w:hAnsiTheme="minorEastAsia"/>
                <w:kern w:val="0"/>
                <w:sz w:val="20"/>
                <w:szCs w:val="20"/>
              </w:rPr>
              <w:t>9</w:t>
            </w:r>
          </w:p>
        </w:tc>
        <w:tc>
          <w:tcPr>
            <w:tcW w:w="20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tLeast"/>
              <w:jc w:val="center"/>
              <w:textAlignment w:val="auto"/>
              <w:rPr>
                <w:rFonts w:cs="Times New Roman" w:asciiTheme="minorEastAsia" w:hAnsiTheme="minorEastAsia"/>
                <w:sz w:val="20"/>
                <w:szCs w:val="20"/>
              </w:rPr>
            </w:pPr>
            <w:r>
              <w:rPr>
                <w:rFonts w:cs="Times New Roman" w:asciiTheme="minorEastAsia" w:hAnsiTheme="minorEastAsia"/>
                <w:kern w:val="0"/>
                <w:sz w:val="20"/>
                <w:szCs w:val="20"/>
              </w:rPr>
              <w:t>参数</w:t>
            </w:r>
            <w:r>
              <w:rPr>
                <w:rFonts w:hint="eastAsia" w:cs="Times New Roman" w:asciiTheme="minorEastAsia" w:hAnsiTheme="minorEastAsia"/>
                <w:kern w:val="0"/>
                <w:sz w:val="20"/>
                <w:szCs w:val="20"/>
              </w:rPr>
              <w:t>9</w:t>
            </w:r>
          </w:p>
        </w:tc>
        <w:tc>
          <w:tcPr>
            <w:tcW w:w="3969" w:type="dxa"/>
            <w:tcBorders>
              <w:top w:val="single" w:color="auto" w:sz="4" w:space="0"/>
              <w:left w:val="single" w:color="auto" w:sz="4" w:space="0"/>
              <w:bottom w:val="single" w:color="auto" w:sz="4" w:space="0"/>
              <w:right w:val="single" w:color="auto" w:sz="4" w:space="0"/>
            </w:tcBorders>
            <w:vAlign w:val="center"/>
          </w:tcPr>
          <w:p>
            <w:pPr>
              <w:pStyle w:val="46"/>
              <w:keepNext w:val="0"/>
              <w:keepLines w:val="0"/>
              <w:pageBreakBefore w:val="0"/>
              <w:kinsoku/>
              <w:wordWrap/>
              <w:overflowPunct/>
              <w:topLinePunct w:val="0"/>
              <w:autoSpaceDE/>
              <w:autoSpaceDN/>
              <w:bidi w:val="0"/>
              <w:spacing w:line="240" w:lineRule="atLeast"/>
              <w:ind w:firstLine="0" w:firstLineChars="0"/>
              <w:jc w:val="left"/>
              <w:textAlignment w:val="auto"/>
              <w:rPr>
                <w:rFonts w:cs="Calibri" w:asciiTheme="minorEastAsia" w:hAnsiTheme="minorEastAsia" w:eastAsiaTheme="minorEastAsia"/>
                <w:sz w:val="20"/>
                <w:szCs w:val="20"/>
              </w:rPr>
            </w:pPr>
            <w:r>
              <w:rPr>
                <w:rFonts w:hint="eastAsia" w:cs="Calibri" w:asciiTheme="minorEastAsia" w:hAnsiTheme="minorEastAsia" w:eastAsiaTheme="minorEastAsia"/>
                <w:sz w:val="20"/>
                <w:szCs w:val="20"/>
              </w:rPr>
              <w:t>具备6个独立控温反应模块，每相邻两个模块最大设置温差达5℃</w:t>
            </w:r>
          </w:p>
        </w:tc>
        <w:tc>
          <w:tcPr>
            <w:tcW w:w="23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tLeast"/>
              <w:textAlignment w:val="auto"/>
              <w:rPr>
                <w:rFonts w:cs="Times New Roman" w:asciiTheme="minorEastAsia" w:hAnsiTheme="minorEastAsia"/>
                <w:kern w:val="0"/>
                <w:sz w:val="20"/>
                <w:szCs w:val="20"/>
              </w:rPr>
            </w:pPr>
          </w:p>
        </w:tc>
      </w:tr>
      <w:tr>
        <w:tblPrEx>
          <w:tblCellMar>
            <w:top w:w="0" w:type="dxa"/>
            <w:left w:w="108" w:type="dxa"/>
            <w:bottom w:w="0" w:type="dxa"/>
            <w:right w:w="108" w:type="dxa"/>
          </w:tblCellMar>
        </w:tblPrEx>
        <w:trPr>
          <w:trHeight w:val="910" w:hRule="atLeast"/>
          <w:jc w:val="center"/>
        </w:trPr>
        <w:tc>
          <w:tcPr>
            <w:tcW w:w="734"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inorEastAsia" w:hAnsiTheme="minorEastAsia"/>
                <w:kern w:val="0"/>
                <w:sz w:val="20"/>
                <w:szCs w:val="20"/>
              </w:rPr>
            </w:pPr>
            <w:r>
              <w:rPr>
                <w:rFonts w:cs="Times New Roman" w:asciiTheme="minorEastAsia" w:hAnsiTheme="minorEastAsia"/>
                <w:kern w:val="0"/>
                <w:sz w:val="20"/>
                <w:szCs w:val="20"/>
              </w:rPr>
              <w:t>2.</w:t>
            </w:r>
            <w:r>
              <w:rPr>
                <w:rFonts w:hint="eastAsia" w:cs="Times New Roman" w:asciiTheme="minorEastAsia" w:hAnsiTheme="minorEastAsia"/>
                <w:kern w:val="0"/>
                <w:sz w:val="20"/>
                <w:szCs w:val="20"/>
              </w:rPr>
              <w:t>10</w:t>
            </w:r>
          </w:p>
        </w:tc>
        <w:tc>
          <w:tcPr>
            <w:tcW w:w="2049"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tLeast"/>
              <w:jc w:val="center"/>
              <w:textAlignment w:val="auto"/>
              <w:rPr>
                <w:rFonts w:cs="Times New Roman" w:asciiTheme="minorEastAsia" w:hAnsiTheme="minorEastAsia"/>
                <w:sz w:val="20"/>
                <w:szCs w:val="20"/>
              </w:rPr>
            </w:pPr>
            <w:r>
              <w:rPr>
                <w:rFonts w:cs="Times New Roman" w:asciiTheme="minorEastAsia" w:hAnsiTheme="minorEastAsia"/>
                <w:kern w:val="0"/>
                <w:sz w:val="20"/>
                <w:szCs w:val="20"/>
              </w:rPr>
              <w:t>参数</w:t>
            </w:r>
            <w:r>
              <w:rPr>
                <w:rFonts w:hint="eastAsia" w:cs="Times New Roman" w:asciiTheme="minorEastAsia" w:hAnsiTheme="minorEastAsia"/>
                <w:kern w:val="0"/>
                <w:sz w:val="20"/>
                <w:szCs w:val="20"/>
              </w:rPr>
              <w:t>10</w:t>
            </w:r>
          </w:p>
        </w:tc>
        <w:tc>
          <w:tcPr>
            <w:tcW w:w="3969" w:type="dxa"/>
            <w:tcBorders>
              <w:top w:val="single" w:color="auto" w:sz="4" w:space="0"/>
              <w:left w:val="nil"/>
              <w:bottom w:val="single" w:color="auto" w:sz="4" w:space="0"/>
              <w:right w:val="single" w:color="auto" w:sz="4" w:space="0"/>
            </w:tcBorders>
            <w:vAlign w:val="center"/>
          </w:tcPr>
          <w:p>
            <w:pPr>
              <w:pStyle w:val="47"/>
              <w:keepNext w:val="0"/>
              <w:keepLines w:val="0"/>
              <w:pageBreakBefore w:val="0"/>
              <w:widowControl/>
              <w:kinsoku/>
              <w:wordWrap/>
              <w:overflowPunct/>
              <w:topLinePunct w:val="0"/>
              <w:autoSpaceDE/>
              <w:autoSpaceDN/>
              <w:bidi w:val="0"/>
              <w:spacing w:line="240" w:lineRule="atLeast"/>
              <w:ind w:firstLine="0" w:firstLineChars="0"/>
              <w:jc w:val="left"/>
              <w:textAlignment w:val="auto"/>
              <w:rPr>
                <w:rFonts w:cs="Calibri" w:asciiTheme="minorEastAsia" w:hAnsiTheme="minorEastAsia" w:eastAsiaTheme="minorEastAsia"/>
                <w:sz w:val="20"/>
                <w:szCs w:val="20"/>
              </w:rPr>
            </w:pPr>
            <w:r>
              <w:rPr>
                <w:rFonts w:hint="eastAsia" w:cs="Calibri" w:asciiTheme="minorEastAsia" w:hAnsiTheme="minorEastAsia" w:eastAsiaTheme="minorEastAsia"/>
                <w:sz w:val="20"/>
                <w:szCs w:val="20"/>
              </w:rPr>
              <w:t>具有USB记忆棒插槽，用于转移程序，存储不限数量的程序</w:t>
            </w:r>
          </w:p>
        </w:tc>
        <w:tc>
          <w:tcPr>
            <w:tcW w:w="2382"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spacing w:line="240" w:lineRule="atLeast"/>
              <w:textAlignment w:val="auto"/>
              <w:rPr>
                <w:rFonts w:cs="Times New Roman" w:asciiTheme="minorEastAsia" w:hAnsiTheme="minorEastAsia"/>
                <w:kern w:val="0"/>
                <w:sz w:val="20"/>
                <w:szCs w:val="20"/>
              </w:rPr>
            </w:pPr>
          </w:p>
        </w:tc>
      </w:tr>
      <w:tr>
        <w:tblPrEx>
          <w:tblCellMar>
            <w:top w:w="0" w:type="dxa"/>
            <w:left w:w="108" w:type="dxa"/>
            <w:bottom w:w="0" w:type="dxa"/>
            <w:right w:w="108" w:type="dxa"/>
          </w:tblCellMar>
        </w:tblPrEx>
        <w:trPr>
          <w:trHeight w:val="752" w:hRule="atLeast"/>
          <w:jc w:val="center"/>
        </w:trPr>
        <w:tc>
          <w:tcPr>
            <w:tcW w:w="734"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inorEastAsia" w:hAnsiTheme="minorEastAsia"/>
                <w:kern w:val="0"/>
                <w:sz w:val="20"/>
                <w:szCs w:val="20"/>
              </w:rPr>
            </w:pPr>
            <w:r>
              <w:rPr>
                <w:rFonts w:cs="Times New Roman" w:asciiTheme="minorEastAsia" w:hAnsiTheme="minorEastAsia"/>
                <w:kern w:val="0"/>
                <w:sz w:val="20"/>
                <w:szCs w:val="20"/>
              </w:rPr>
              <w:t>2.</w:t>
            </w:r>
            <w:r>
              <w:rPr>
                <w:rFonts w:hint="eastAsia" w:cs="Times New Roman" w:asciiTheme="minorEastAsia" w:hAnsiTheme="minorEastAsia"/>
                <w:kern w:val="0"/>
                <w:sz w:val="20"/>
                <w:szCs w:val="20"/>
              </w:rPr>
              <w:t>11</w:t>
            </w:r>
          </w:p>
        </w:tc>
        <w:tc>
          <w:tcPr>
            <w:tcW w:w="2049"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tLeast"/>
              <w:jc w:val="center"/>
              <w:textAlignment w:val="auto"/>
              <w:rPr>
                <w:rFonts w:cs="Times New Roman" w:asciiTheme="minorEastAsia" w:hAnsiTheme="minorEastAsia"/>
                <w:sz w:val="20"/>
                <w:szCs w:val="20"/>
              </w:rPr>
            </w:pPr>
            <w:r>
              <w:rPr>
                <w:rFonts w:cs="Times New Roman" w:asciiTheme="minorEastAsia" w:hAnsiTheme="minorEastAsia"/>
                <w:kern w:val="0"/>
                <w:sz w:val="20"/>
                <w:szCs w:val="20"/>
              </w:rPr>
              <w:t>参数</w:t>
            </w:r>
            <w:r>
              <w:rPr>
                <w:rFonts w:hint="eastAsia" w:cs="Times New Roman" w:asciiTheme="minorEastAsia" w:hAnsiTheme="minorEastAsia"/>
                <w:kern w:val="0"/>
                <w:sz w:val="20"/>
                <w:szCs w:val="20"/>
              </w:rPr>
              <w:t>11</w:t>
            </w:r>
          </w:p>
        </w:tc>
        <w:tc>
          <w:tcPr>
            <w:tcW w:w="3969"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tLeast"/>
              <w:jc w:val="left"/>
              <w:textAlignment w:val="auto"/>
              <w:rPr>
                <w:rFonts w:asciiTheme="minorEastAsia" w:hAnsiTheme="minorEastAsia"/>
                <w:sz w:val="20"/>
                <w:szCs w:val="20"/>
              </w:rPr>
            </w:pPr>
            <w:r>
              <w:rPr>
                <w:rFonts w:hint="eastAsia" w:asciiTheme="minorEastAsia" w:hAnsiTheme="minorEastAsia"/>
                <w:sz w:val="20"/>
                <w:szCs w:val="20"/>
              </w:rPr>
              <w:t>软件：内置各种PCR程序模板，可直接调用；每个step的升降温速率可调；内置Touchdown及Long range等可选功能辅助优化PCR程序</w:t>
            </w:r>
          </w:p>
        </w:tc>
        <w:tc>
          <w:tcPr>
            <w:tcW w:w="2382"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spacing w:line="240" w:lineRule="atLeast"/>
              <w:textAlignment w:val="auto"/>
              <w:rPr>
                <w:rFonts w:cs="Times New Roman" w:asciiTheme="minorEastAsia" w:hAnsiTheme="minorEastAsia"/>
                <w:kern w:val="0"/>
                <w:sz w:val="20"/>
                <w:szCs w:val="20"/>
              </w:rPr>
            </w:pPr>
          </w:p>
        </w:tc>
      </w:tr>
      <w:tr>
        <w:tblPrEx>
          <w:tblCellMar>
            <w:top w:w="0" w:type="dxa"/>
            <w:left w:w="108" w:type="dxa"/>
            <w:bottom w:w="0" w:type="dxa"/>
            <w:right w:w="108" w:type="dxa"/>
          </w:tblCellMar>
        </w:tblPrEx>
        <w:trPr>
          <w:trHeight w:val="860" w:hRule="atLeast"/>
          <w:jc w:val="center"/>
        </w:trPr>
        <w:tc>
          <w:tcPr>
            <w:tcW w:w="7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inorEastAsia" w:hAnsiTheme="minorEastAsia"/>
                <w:kern w:val="0"/>
                <w:sz w:val="20"/>
                <w:szCs w:val="20"/>
              </w:rPr>
            </w:pPr>
            <w:r>
              <w:rPr>
                <w:rFonts w:cs="Times New Roman" w:asciiTheme="minorEastAsia" w:hAnsiTheme="minorEastAsia"/>
                <w:kern w:val="0"/>
                <w:sz w:val="20"/>
                <w:szCs w:val="20"/>
              </w:rPr>
              <w:t>2.1</w:t>
            </w:r>
            <w:r>
              <w:rPr>
                <w:rFonts w:hint="eastAsia" w:cs="Times New Roman" w:asciiTheme="minorEastAsia" w:hAnsiTheme="minorEastAsia"/>
                <w:kern w:val="0"/>
                <w:sz w:val="20"/>
                <w:szCs w:val="20"/>
              </w:rPr>
              <w:t>2</w:t>
            </w:r>
          </w:p>
        </w:tc>
        <w:tc>
          <w:tcPr>
            <w:tcW w:w="20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tLeast"/>
              <w:jc w:val="center"/>
              <w:textAlignment w:val="auto"/>
              <w:rPr>
                <w:rFonts w:cs="Times New Roman" w:asciiTheme="minorEastAsia" w:hAnsiTheme="minorEastAsia"/>
                <w:kern w:val="0"/>
                <w:sz w:val="20"/>
                <w:szCs w:val="20"/>
              </w:rPr>
            </w:pPr>
            <w:r>
              <w:rPr>
                <w:rFonts w:cs="Times New Roman" w:asciiTheme="minorEastAsia" w:hAnsiTheme="minorEastAsia"/>
                <w:kern w:val="0"/>
                <w:sz w:val="20"/>
                <w:szCs w:val="20"/>
              </w:rPr>
              <w:t>参数1</w:t>
            </w:r>
            <w:r>
              <w:rPr>
                <w:rFonts w:hint="eastAsia" w:cs="Times New Roman" w:asciiTheme="minorEastAsia" w:hAnsiTheme="minorEastAsia"/>
                <w:kern w:val="0"/>
                <w:sz w:val="20"/>
                <w:szCs w:val="20"/>
              </w:rPr>
              <w:t>2</w:t>
            </w:r>
          </w:p>
        </w:tc>
        <w:tc>
          <w:tcPr>
            <w:tcW w:w="396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tLeast"/>
              <w:jc w:val="left"/>
              <w:textAlignment w:val="auto"/>
              <w:rPr>
                <w:rFonts w:asciiTheme="minorEastAsia" w:hAnsiTheme="minorEastAsia"/>
                <w:sz w:val="20"/>
                <w:szCs w:val="20"/>
              </w:rPr>
            </w:pPr>
            <w:r>
              <w:rPr>
                <w:rFonts w:hint="eastAsia" w:asciiTheme="minorEastAsia" w:hAnsiTheme="minorEastAsia"/>
                <w:sz w:val="20"/>
                <w:szCs w:val="20"/>
              </w:rPr>
              <w:t>具有断电自动保护功能</w:t>
            </w:r>
          </w:p>
        </w:tc>
        <w:tc>
          <w:tcPr>
            <w:tcW w:w="23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inorEastAsia" w:hAnsiTheme="minorEastAsia"/>
                <w:kern w:val="0"/>
                <w:sz w:val="20"/>
                <w:szCs w:val="20"/>
              </w:rPr>
            </w:pPr>
          </w:p>
        </w:tc>
      </w:tr>
      <w:tr>
        <w:tblPrEx>
          <w:tblCellMar>
            <w:top w:w="0" w:type="dxa"/>
            <w:left w:w="108" w:type="dxa"/>
            <w:bottom w:w="0" w:type="dxa"/>
            <w:right w:w="108" w:type="dxa"/>
          </w:tblCellMar>
        </w:tblPrEx>
        <w:trPr>
          <w:trHeight w:val="860" w:hRule="atLeast"/>
          <w:jc w:val="center"/>
        </w:trPr>
        <w:tc>
          <w:tcPr>
            <w:tcW w:w="734"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inorEastAsia" w:hAnsiTheme="minorEastAsia"/>
                <w:b/>
                <w:kern w:val="0"/>
                <w:sz w:val="20"/>
                <w:szCs w:val="20"/>
              </w:rPr>
            </w:pPr>
            <w:r>
              <w:rPr>
                <w:rFonts w:cs="Times New Roman" w:asciiTheme="minorEastAsia" w:hAnsiTheme="minorEastAsia"/>
                <w:b/>
                <w:kern w:val="0"/>
                <w:sz w:val="20"/>
                <w:szCs w:val="20"/>
              </w:rPr>
              <w:t>3</w:t>
            </w:r>
          </w:p>
        </w:tc>
        <w:tc>
          <w:tcPr>
            <w:tcW w:w="204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tLeast"/>
              <w:ind w:firstLine="191" w:firstLineChars="100"/>
              <w:jc w:val="center"/>
              <w:textAlignment w:val="auto"/>
              <w:rPr>
                <w:rFonts w:cs="Times New Roman" w:asciiTheme="minorEastAsia" w:hAnsiTheme="minorEastAsia"/>
                <w:b/>
                <w:bCs/>
                <w:kern w:val="0"/>
                <w:sz w:val="20"/>
                <w:szCs w:val="20"/>
              </w:rPr>
            </w:pPr>
            <w:r>
              <w:rPr>
                <w:rFonts w:cs="Times New Roman" w:asciiTheme="minorEastAsia" w:hAnsiTheme="minorEastAsia"/>
                <w:b/>
                <w:bCs/>
                <w:kern w:val="0"/>
                <w:sz w:val="20"/>
                <w:szCs w:val="20"/>
              </w:rPr>
              <w:t>配置需求（一行只写一个配置）</w:t>
            </w:r>
          </w:p>
        </w:tc>
        <w:tc>
          <w:tcPr>
            <w:tcW w:w="396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tLeast"/>
              <w:jc w:val="left"/>
              <w:textAlignment w:val="auto"/>
              <w:rPr>
                <w:rFonts w:asciiTheme="minorEastAsia" w:hAnsiTheme="minorEastAsia"/>
                <w:sz w:val="20"/>
                <w:szCs w:val="20"/>
              </w:rPr>
            </w:pPr>
          </w:p>
        </w:tc>
        <w:tc>
          <w:tcPr>
            <w:tcW w:w="2382"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inorEastAsia" w:hAnsiTheme="minorEastAsia"/>
                <w:kern w:val="0"/>
                <w:sz w:val="20"/>
                <w:szCs w:val="20"/>
              </w:rPr>
            </w:pPr>
          </w:p>
        </w:tc>
      </w:tr>
      <w:tr>
        <w:tblPrEx>
          <w:tblCellMar>
            <w:top w:w="0" w:type="dxa"/>
            <w:left w:w="108" w:type="dxa"/>
            <w:bottom w:w="0" w:type="dxa"/>
            <w:right w:w="108" w:type="dxa"/>
          </w:tblCellMar>
        </w:tblPrEx>
        <w:trPr>
          <w:trHeight w:val="623" w:hRule="atLeast"/>
          <w:jc w:val="center"/>
        </w:trPr>
        <w:tc>
          <w:tcPr>
            <w:tcW w:w="734"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inorEastAsia" w:hAnsiTheme="minorEastAsia"/>
                <w:kern w:val="0"/>
                <w:sz w:val="20"/>
                <w:szCs w:val="20"/>
              </w:rPr>
            </w:pPr>
            <w:r>
              <w:rPr>
                <w:rFonts w:cs="Times New Roman" w:asciiTheme="minorEastAsia" w:hAnsiTheme="minorEastAsia"/>
                <w:kern w:val="0"/>
                <w:sz w:val="20"/>
                <w:szCs w:val="20"/>
              </w:rPr>
              <w:t>3.1</w:t>
            </w:r>
          </w:p>
        </w:tc>
        <w:tc>
          <w:tcPr>
            <w:tcW w:w="204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inorEastAsia" w:hAnsiTheme="minorEastAsia"/>
                <w:kern w:val="0"/>
                <w:sz w:val="20"/>
                <w:szCs w:val="20"/>
              </w:rPr>
            </w:pPr>
            <w:r>
              <w:rPr>
                <w:rFonts w:cs="Times New Roman" w:asciiTheme="minorEastAsia" w:hAnsiTheme="minorEastAsia"/>
                <w:kern w:val="0"/>
                <w:sz w:val="20"/>
                <w:szCs w:val="20"/>
              </w:rPr>
              <w:t>配置1</w:t>
            </w:r>
          </w:p>
        </w:tc>
        <w:tc>
          <w:tcPr>
            <w:tcW w:w="3969"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tLeast"/>
              <w:jc w:val="left"/>
              <w:textAlignment w:val="auto"/>
              <w:rPr>
                <w:rFonts w:cs="Times New Roman" w:asciiTheme="minorEastAsia" w:hAnsiTheme="minorEastAsia"/>
                <w:kern w:val="0"/>
                <w:sz w:val="20"/>
                <w:szCs w:val="20"/>
              </w:rPr>
            </w:pPr>
            <w:r>
              <w:rPr>
                <w:rFonts w:hint="eastAsia" w:cs="Times New Roman" w:asciiTheme="minorEastAsia" w:hAnsiTheme="minorEastAsia"/>
                <w:kern w:val="0"/>
                <w:sz w:val="20"/>
                <w:szCs w:val="20"/>
              </w:rPr>
              <w:t>双槽梯度PCR</w:t>
            </w:r>
            <w:r>
              <w:rPr>
                <w:rFonts w:cs="Times New Roman" w:asciiTheme="minorEastAsia" w:hAnsiTheme="minorEastAsia"/>
                <w:kern w:val="0"/>
                <w:sz w:val="20"/>
                <w:szCs w:val="20"/>
              </w:rPr>
              <w:t>仪主机</w:t>
            </w:r>
            <w:r>
              <w:rPr>
                <w:rFonts w:hint="eastAsia" w:cs="Times New Roman" w:asciiTheme="minorEastAsia" w:hAnsiTheme="minorEastAsia"/>
                <w:kern w:val="0"/>
                <w:sz w:val="20"/>
                <w:szCs w:val="20"/>
              </w:rPr>
              <w:t>基座</w:t>
            </w:r>
            <w:r>
              <w:rPr>
                <w:rFonts w:cs="Times New Roman" w:asciiTheme="minorEastAsia" w:hAnsiTheme="minorEastAsia"/>
                <w:kern w:val="0"/>
                <w:sz w:val="20"/>
                <w:szCs w:val="20"/>
              </w:rPr>
              <w:t xml:space="preserve"> 1台</w:t>
            </w:r>
          </w:p>
        </w:tc>
        <w:tc>
          <w:tcPr>
            <w:tcW w:w="2382"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inorEastAsia" w:hAnsiTheme="minorEastAsia"/>
                <w:kern w:val="0"/>
                <w:sz w:val="20"/>
                <w:szCs w:val="20"/>
              </w:rPr>
            </w:pPr>
          </w:p>
        </w:tc>
      </w:tr>
      <w:tr>
        <w:tblPrEx>
          <w:tblCellMar>
            <w:top w:w="0" w:type="dxa"/>
            <w:left w:w="108" w:type="dxa"/>
            <w:bottom w:w="0" w:type="dxa"/>
            <w:right w:w="108" w:type="dxa"/>
          </w:tblCellMar>
        </w:tblPrEx>
        <w:trPr>
          <w:trHeight w:val="623" w:hRule="atLeast"/>
          <w:jc w:val="center"/>
        </w:trPr>
        <w:tc>
          <w:tcPr>
            <w:tcW w:w="734"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inorEastAsia" w:hAnsiTheme="minorEastAsia"/>
                <w:kern w:val="0"/>
                <w:sz w:val="20"/>
                <w:szCs w:val="20"/>
              </w:rPr>
            </w:pPr>
            <w:r>
              <w:rPr>
                <w:rFonts w:hint="eastAsia" w:cs="Times New Roman" w:asciiTheme="minorEastAsia" w:hAnsiTheme="minorEastAsia"/>
                <w:kern w:val="0"/>
                <w:sz w:val="20"/>
                <w:szCs w:val="20"/>
              </w:rPr>
              <w:t>3.2</w:t>
            </w:r>
          </w:p>
        </w:tc>
        <w:tc>
          <w:tcPr>
            <w:tcW w:w="204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inorEastAsia" w:hAnsiTheme="minorEastAsia"/>
                <w:kern w:val="0"/>
                <w:sz w:val="20"/>
                <w:szCs w:val="20"/>
              </w:rPr>
            </w:pPr>
            <w:r>
              <w:rPr>
                <w:rFonts w:cs="Times New Roman" w:asciiTheme="minorEastAsia" w:hAnsiTheme="minorEastAsia"/>
                <w:kern w:val="0"/>
                <w:sz w:val="20"/>
                <w:szCs w:val="20"/>
              </w:rPr>
              <w:t>配置2</w:t>
            </w:r>
          </w:p>
        </w:tc>
        <w:tc>
          <w:tcPr>
            <w:tcW w:w="3969"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tLeast"/>
              <w:jc w:val="left"/>
              <w:textAlignment w:val="auto"/>
              <w:rPr>
                <w:rFonts w:cs="Times New Roman" w:asciiTheme="minorEastAsia" w:hAnsiTheme="minorEastAsia"/>
                <w:kern w:val="0"/>
                <w:sz w:val="20"/>
                <w:szCs w:val="20"/>
              </w:rPr>
            </w:pPr>
            <w:r>
              <w:rPr>
                <w:rFonts w:hint="eastAsia" w:asciiTheme="minorEastAsia" w:hAnsiTheme="minorEastAsia"/>
                <w:sz w:val="20"/>
                <w:szCs w:val="20"/>
              </w:rPr>
              <w:t>96孔反应模块一个</w:t>
            </w:r>
          </w:p>
        </w:tc>
        <w:tc>
          <w:tcPr>
            <w:tcW w:w="2382"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inorEastAsia" w:hAnsiTheme="minorEastAsia"/>
                <w:kern w:val="0"/>
                <w:sz w:val="20"/>
                <w:szCs w:val="20"/>
              </w:rPr>
            </w:pPr>
          </w:p>
        </w:tc>
      </w:tr>
      <w:tr>
        <w:tblPrEx>
          <w:tblCellMar>
            <w:top w:w="0" w:type="dxa"/>
            <w:left w:w="108" w:type="dxa"/>
            <w:bottom w:w="0" w:type="dxa"/>
            <w:right w:w="108" w:type="dxa"/>
          </w:tblCellMar>
        </w:tblPrEx>
        <w:trPr>
          <w:trHeight w:val="606" w:hRule="atLeast"/>
          <w:jc w:val="center"/>
        </w:trPr>
        <w:tc>
          <w:tcPr>
            <w:tcW w:w="734"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inorEastAsia" w:hAnsiTheme="minorEastAsia"/>
                <w:kern w:val="0"/>
                <w:sz w:val="20"/>
                <w:szCs w:val="20"/>
              </w:rPr>
            </w:pPr>
            <w:r>
              <w:rPr>
                <w:rFonts w:cs="Times New Roman" w:asciiTheme="minorEastAsia" w:hAnsiTheme="minorEastAsia"/>
                <w:kern w:val="0"/>
                <w:sz w:val="20"/>
                <w:szCs w:val="20"/>
              </w:rPr>
              <w:t>3.</w:t>
            </w:r>
            <w:r>
              <w:rPr>
                <w:rFonts w:hint="eastAsia" w:cs="Times New Roman" w:asciiTheme="minorEastAsia" w:hAnsiTheme="minorEastAsia"/>
                <w:kern w:val="0"/>
                <w:sz w:val="20"/>
                <w:szCs w:val="20"/>
              </w:rPr>
              <w:t>3</w:t>
            </w:r>
          </w:p>
        </w:tc>
        <w:tc>
          <w:tcPr>
            <w:tcW w:w="204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inorEastAsia" w:hAnsiTheme="minorEastAsia"/>
                <w:kern w:val="0"/>
                <w:sz w:val="20"/>
                <w:szCs w:val="20"/>
              </w:rPr>
            </w:pPr>
            <w:r>
              <w:rPr>
                <w:rFonts w:cs="Times New Roman" w:asciiTheme="minorEastAsia" w:hAnsiTheme="minorEastAsia"/>
                <w:kern w:val="0"/>
                <w:sz w:val="20"/>
                <w:szCs w:val="20"/>
              </w:rPr>
              <w:t>配置</w:t>
            </w:r>
            <w:r>
              <w:rPr>
                <w:rFonts w:hint="eastAsia" w:cs="Times New Roman" w:asciiTheme="minorEastAsia" w:hAnsiTheme="minorEastAsia"/>
                <w:kern w:val="0"/>
                <w:sz w:val="20"/>
                <w:szCs w:val="20"/>
              </w:rPr>
              <w:t>3</w:t>
            </w:r>
          </w:p>
        </w:tc>
        <w:tc>
          <w:tcPr>
            <w:tcW w:w="3969" w:type="dxa"/>
            <w:tcBorders>
              <w:top w:val="nil"/>
              <w:left w:val="nil"/>
              <w:bottom w:val="single" w:color="auto" w:sz="4" w:space="0"/>
              <w:right w:val="single" w:color="auto" w:sz="4" w:space="0"/>
            </w:tcBorders>
            <w:vAlign w:val="center"/>
          </w:tcPr>
          <w:p>
            <w:pPr>
              <w:pStyle w:val="46"/>
              <w:keepNext w:val="0"/>
              <w:keepLines w:val="0"/>
              <w:pageBreakBefore w:val="0"/>
              <w:kinsoku/>
              <w:wordWrap/>
              <w:overflowPunct/>
              <w:topLinePunct w:val="0"/>
              <w:autoSpaceDE/>
              <w:autoSpaceDN/>
              <w:bidi w:val="0"/>
              <w:spacing w:line="240" w:lineRule="atLeast"/>
              <w:ind w:firstLine="0" w:firstLineChars="0"/>
              <w:jc w:val="left"/>
              <w:textAlignment w:val="auto"/>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电源线1根</w:t>
            </w:r>
          </w:p>
        </w:tc>
        <w:tc>
          <w:tcPr>
            <w:tcW w:w="2382"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inorEastAsia" w:hAnsiTheme="minorEastAsia"/>
                <w:kern w:val="0"/>
                <w:sz w:val="20"/>
                <w:szCs w:val="20"/>
              </w:rPr>
            </w:pPr>
          </w:p>
        </w:tc>
      </w:tr>
      <w:tr>
        <w:tblPrEx>
          <w:tblCellMar>
            <w:top w:w="0" w:type="dxa"/>
            <w:left w:w="108" w:type="dxa"/>
            <w:bottom w:w="0" w:type="dxa"/>
            <w:right w:w="108" w:type="dxa"/>
          </w:tblCellMar>
        </w:tblPrEx>
        <w:trPr>
          <w:trHeight w:val="606" w:hRule="atLeast"/>
          <w:jc w:val="center"/>
        </w:trPr>
        <w:tc>
          <w:tcPr>
            <w:tcW w:w="734"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inorEastAsia" w:hAnsiTheme="minorEastAsia"/>
                <w:kern w:val="0"/>
                <w:sz w:val="20"/>
                <w:szCs w:val="20"/>
              </w:rPr>
            </w:pPr>
            <w:r>
              <w:rPr>
                <w:rFonts w:cs="Times New Roman" w:asciiTheme="minorEastAsia" w:hAnsiTheme="minorEastAsia"/>
                <w:kern w:val="0"/>
                <w:sz w:val="20"/>
                <w:szCs w:val="20"/>
              </w:rPr>
              <w:t>3.</w:t>
            </w:r>
            <w:r>
              <w:rPr>
                <w:rFonts w:hint="eastAsia" w:cs="Times New Roman" w:asciiTheme="minorEastAsia" w:hAnsiTheme="minorEastAsia"/>
                <w:kern w:val="0"/>
                <w:sz w:val="20"/>
                <w:szCs w:val="20"/>
              </w:rPr>
              <w:t>4</w:t>
            </w:r>
          </w:p>
        </w:tc>
        <w:tc>
          <w:tcPr>
            <w:tcW w:w="204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inorEastAsia" w:hAnsiTheme="minorEastAsia"/>
                <w:kern w:val="0"/>
                <w:sz w:val="20"/>
                <w:szCs w:val="20"/>
              </w:rPr>
            </w:pPr>
            <w:r>
              <w:rPr>
                <w:rFonts w:cs="Times New Roman" w:asciiTheme="minorEastAsia" w:hAnsiTheme="minorEastAsia"/>
                <w:kern w:val="0"/>
                <w:sz w:val="20"/>
                <w:szCs w:val="20"/>
              </w:rPr>
              <w:t>配置</w:t>
            </w:r>
            <w:r>
              <w:rPr>
                <w:rFonts w:hint="eastAsia" w:cs="Times New Roman" w:asciiTheme="minorEastAsia" w:hAnsiTheme="minorEastAsia"/>
                <w:kern w:val="0"/>
                <w:sz w:val="20"/>
                <w:szCs w:val="20"/>
              </w:rPr>
              <w:t>4</w:t>
            </w:r>
          </w:p>
        </w:tc>
        <w:tc>
          <w:tcPr>
            <w:tcW w:w="3969" w:type="dxa"/>
            <w:tcBorders>
              <w:top w:val="nil"/>
              <w:left w:val="nil"/>
              <w:bottom w:val="single" w:color="auto" w:sz="4" w:space="0"/>
              <w:right w:val="single" w:color="auto" w:sz="4" w:space="0"/>
            </w:tcBorders>
            <w:vAlign w:val="center"/>
          </w:tcPr>
          <w:p>
            <w:pPr>
              <w:pStyle w:val="46"/>
              <w:keepNext w:val="0"/>
              <w:keepLines w:val="0"/>
              <w:pageBreakBefore w:val="0"/>
              <w:kinsoku/>
              <w:wordWrap/>
              <w:overflowPunct/>
              <w:topLinePunct w:val="0"/>
              <w:autoSpaceDE/>
              <w:autoSpaceDN/>
              <w:bidi w:val="0"/>
              <w:spacing w:line="240" w:lineRule="atLeast"/>
              <w:ind w:firstLine="0" w:firstLineChars="0"/>
              <w:jc w:val="left"/>
              <w:textAlignment w:val="auto"/>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起始耗材包</w:t>
            </w:r>
            <w:r>
              <w:rPr>
                <w:rFonts w:asciiTheme="minorEastAsia" w:hAnsiTheme="minorEastAsia" w:eastAsiaTheme="minorEastAsia"/>
                <w:kern w:val="0"/>
                <w:sz w:val="20"/>
                <w:szCs w:val="20"/>
              </w:rPr>
              <w:t xml:space="preserve"> 1套</w:t>
            </w:r>
          </w:p>
        </w:tc>
        <w:tc>
          <w:tcPr>
            <w:tcW w:w="2382"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inorEastAsia" w:hAnsiTheme="minorEastAsia"/>
                <w:kern w:val="0"/>
                <w:sz w:val="20"/>
                <w:szCs w:val="20"/>
              </w:rPr>
            </w:pPr>
          </w:p>
        </w:tc>
      </w:tr>
      <w:tr>
        <w:tblPrEx>
          <w:tblCellMar>
            <w:top w:w="0" w:type="dxa"/>
            <w:left w:w="108" w:type="dxa"/>
            <w:bottom w:w="0" w:type="dxa"/>
            <w:right w:w="108" w:type="dxa"/>
          </w:tblCellMar>
        </w:tblPrEx>
        <w:trPr>
          <w:trHeight w:val="575" w:hRule="atLeast"/>
          <w:jc w:val="center"/>
        </w:trPr>
        <w:tc>
          <w:tcPr>
            <w:tcW w:w="7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inorEastAsia" w:hAnsiTheme="minorEastAsia"/>
                <w:b/>
                <w:bCs/>
                <w:kern w:val="0"/>
                <w:sz w:val="20"/>
                <w:szCs w:val="20"/>
              </w:rPr>
            </w:pPr>
            <w:r>
              <w:rPr>
                <w:rFonts w:cs="Times New Roman" w:asciiTheme="minorEastAsia" w:hAnsiTheme="minorEastAsia"/>
                <w:b/>
                <w:bCs/>
                <w:kern w:val="0"/>
                <w:sz w:val="20"/>
                <w:szCs w:val="20"/>
              </w:rPr>
              <w:t>4</w:t>
            </w:r>
          </w:p>
        </w:tc>
        <w:tc>
          <w:tcPr>
            <w:tcW w:w="20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inorEastAsia" w:hAnsiTheme="minorEastAsia"/>
                <w:b/>
                <w:bCs/>
                <w:kern w:val="0"/>
                <w:sz w:val="20"/>
                <w:szCs w:val="20"/>
              </w:rPr>
            </w:pPr>
            <w:r>
              <w:rPr>
                <w:rFonts w:cs="Times New Roman" w:asciiTheme="minorEastAsia" w:hAnsiTheme="minorEastAsia"/>
                <w:b/>
                <w:bCs/>
                <w:kern w:val="0"/>
                <w:sz w:val="20"/>
                <w:szCs w:val="20"/>
              </w:rPr>
              <w:t>售后服务</w:t>
            </w:r>
          </w:p>
        </w:tc>
        <w:tc>
          <w:tcPr>
            <w:tcW w:w="396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tLeast"/>
              <w:jc w:val="left"/>
              <w:textAlignment w:val="auto"/>
              <w:rPr>
                <w:rFonts w:cs="Times New Roman" w:asciiTheme="minorEastAsia" w:hAnsiTheme="minorEastAsia"/>
                <w:b/>
                <w:bCs/>
                <w:kern w:val="0"/>
                <w:sz w:val="20"/>
                <w:szCs w:val="20"/>
              </w:rPr>
            </w:pPr>
          </w:p>
        </w:tc>
        <w:tc>
          <w:tcPr>
            <w:tcW w:w="23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inorEastAsia" w:hAnsiTheme="minorEastAsia"/>
                <w:b/>
                <w:bCs/>
                <w:kern w:val="0"/>
                <w:sz w:val="20"/>
                <w:szCs w:val="20"/>
              </w:rPr>
            </w:pPr>
          </w:p>
        </w:tc>
      </w:tr>
      <w:tr>
        <w:tblPrEx>
          <w:tblCellMar>
            <w:top w:w="0" w:type="dxa"/>
            <w:left w:w="108" w:type="dxa"/>
            <w:bottom w:w="0" w:type="dxa"/>
            <w:right w:w="108" w:type="dxa"/>
          </w:tblCellMar>
        </w:tblPrEx>
        <w:trPr>
          <w:trHeight w:val="692" w:hRule="atLeast"/>
          <w:jc w:val="center"/>
        </w:trPr>
        <w:tc>
          <w:tcPr>
            <w:tcW w:w="734"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inorEastAsia" w:hAnsiTheme="minorEastAsia"/>
                <w:kern w:val="0"/>
                <w:sz w:val="20"/>
                <w:szCs w:val="20"/>
              </w:rPr>
            </w:pPr>
            <w:r>
              <w:rPr>
                <w:rFonts w:cs="Times New Roman" w:asciiTheme="minorEastAsia" w:hAnsiTheme="minorEastAsia"/>
                <w:kern w:val="0"/>
                <w:sz w:val="20"/>
                <w:szCs w:val="20"/>
              </w:rPr>
              <w:t>4.1</w:t>
            </w:r>
          </w:p>
        </w:tc>
        <w:tc>
          <w:tcPr>
            <w:tcW w:w="204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inorEastAsia" w:hAnsiTheme="minorEastAsia"/>
                <w:kern w:val="0"/>
                <w:sz w:val="20"/>
                <w:szCs w:val="20"/>
              </w:rPr>
            </w:pPr>
            <w:r>
              <w:rPr>
                <w:rFonts w:cs="Times New Roman" w:asciiTheme="minorEastAsia" w:hAnsiTheme="minorEastAsia"/>
                <w:kern w:val="0"/>
                <w:sz w:val="20"/>
                <w:szCs w:val="20"/>
              </w:rPr>
              <w:t>保修年限</w:t>
            </w:r>
          </w:p>
        </w:tc>
        <w:tc>
          <w:tcPr>
            <w:tcW w:w="396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tLeast"/>
              <w:jc w:val="left"/>
              <w:textAlignment w:val="auto"/>
              <w:rPr>
                <w:rFonts w:cs="Times New Roman" w:asciiTheme="minorEastAsia" w:hAnsiTheme="minorEastAsia"/>
                <w:kern w:val="0"/>
                <w:sz w:val="20"/>
                <w:szCs w:val="20"/>
              </w:rPr>
            </w:pPr>
            <w:r>
              <w:rPr>
                <w:rFonts w:cs="Times New Roman" w:asciiTheme="minorEastAsia" w:hAnsiTheme="minorEastAsia"/>
                <w:kern w:val="0"/>
                <w:sz w:val="20"/>
                <w:szCs w:val="20"/>
              </w:rPr>
              <w:t>≥3年</w:t>
            </w:r>
          </w:p>
        </w:tc>
        <w:tc>
          <w:tcPr>
            <w:tcW w:w="2382"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inorEastAsia" w:hAnsiTheme="minorEastAsia"/>
                <w:kern w:val="0"/>
                <w:sz w:val="20"/>
                <w:szCs w:val="20"/>
              </w:rPr>
            </w:pPr>
          </w:p>
        </w:tc>
      </w:tr>
      <w:tr>
        <w:tblPrEx>
          <w:tblCellMar>
            <w:top w:w="0" w:type="dxa"/>
            <w:left w:w="108" w:type="dxa"/>
            <w:bottom w:w="0" w:type="dxa"/>
            <w:right w:w="108" w:type="dxa"/>
          </w:tblCellMar>
        </w:tblPrEx>
        <w:trPr>
          <w:trHeight w:val="877" w:hRule="atLeast"/>
          <w:jc w:val="center"/>
        </w:trPr>
        <w:tc>
          <w:tcPr>
            <w:tcW w:w="734"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inorEastAsia" w:hAnsiTheme="minorEastAsia"/>
                <w:kern w:val="0"/>
                <w:sz w:val="20"/>
                <w:szCs w:val="20"/>
              </w:rPr>
            </w:pPr>
            <w:r>
              <w:rPr>
                <w:rFonts w:cs="Times New Roman" w:asciiTheme="minorEastAsia" w:hAnsiTheme="minorEastAsia"/>
                <w:kern w:val="0"/>
                <w:sz w:val="20"/>
                <w:szCs w:val="20"/>
              </w:rPr>
              <w:t>4.2</w:t>
            </w:r>
          </w:p>
        </w:tc>
        <w:tc>
          <w:tcPr>
            <w:tcW w:w="204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inorEastAsia" w:hAnsiTheme="minorEastAsia"/>
                <w:kern w:val="0"/>
                <w:sz w:val="20"/>
                <w:szCs w:val="20"/>
              </w:rPr>
            </w:pPr>
            <w:r>
              <w:rPr>
                <w:rFonts w:cs="Times New Roman" w:asciiTheme="minorEastAsia" w:hAnsiTheme="minorEastAsia"/>
                <w:kern w:val="0"/>
                <w:sz w:val="20"/>
                <w:szCs w:val="20"/>
              </w:rPr>
              <w:t>出现故障回应时间</w:t>
            </w:r>
          </w:p>
        </w:tc>
        <w:tc>
          <w:tcPr>
            <w:tcW w:w="396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tLeast"/>
              <w:jc w:val="left"/>
              <w:textAlignment w:val="auto"/>
              <w:rPr>
                <w:rFonts w:cs="Times New Roman" w:asciiTheme="minorEastAsia" w:hAnsiTheme="minorEastAsia"/>
                <w:kern w:val="0"/>
                <w:sz w:val="20"/>
                <w:szCs w:val="20"/>
              </w:rPr>
            </w:pPr>
            <w:r>
              <w:rPr>
                <w:rFonts w:cs="Times New Roman" w:asciiTheme="minorEastAsia" w:hAnsiTheme="minorEastAsia"/>
                <w:kern w:val="0"/>
                <w:sz w:val="20"/>
                <w:szCs w:val="20"/>
              </w:rPr>
              <w:t>维修到达现场时间≤</w:t>
            </w:r>
            <w:r>
              <w:rPr>
                <w:rFonts w:hint="eastAsia" w:cs="Times New Roman" w:asciiTheme="minorEastAsia" w:hAnsiTheme="minorEastAsia"/>
                <w:kern w:val="0"/>
                <w:sz w:val="20"/>
                <w:szCs w:val="20"/>
              </w:rPr>
              <w:t>12</w:t>
            </w:r>
            <w:r>
              <w:rPr>
                <w:rFonts w:cs="Times New Roman" w:asciiTheme="minorEastAsia" w:hAnsiTheme="minorEastAsia"/>
                <w:kern w:val="0"/>
                <w:sz w:val="20"/>
                <w:szCs w:val="20"/>
              </w:rPr>
              <w:t>小时（本地）</w:t>
            </w:r>
            <w:r>
              <w:rPr>
                <w:rFonts w:cs="Times New Roman" w:asciiTheme="minorEastAsia" w:hAnsiTheme="minorEastAsia"/>
                <w:kern w:val="0"/>
                <w:sz w:val="20"/>
                <w:szCs w:val="20"/>
              </w:rPr>
              <w:br w:type="textWrapping"/>
            </w:r>
            <w:r>
              <w:rPr>
                <w:rFonts w:cs="Times New Roman" w:asciiTheme="minorEastAsia" w:hAnsiTheme="minorEastAsia"/>
                <w:kern w:val="0"/>
                <w:sz w:val="20"/>
                <w:szCs w:val="20"/>
              </w:rPr>
              <w:t>维修到达现场时间≤</w:t>
            </w:r>
            <w:r>
              <w:rPr>
                <w:rFonts w:hint="eastAsia" w:cs="Times New Roman" w:asciiTheme="minorEastAsia" w:hAnsiTheme="minorEastAsia"/>
                <w:kern w:val="0"/>
                <w:sz w:val="20"/>
                <w:szCs w:val="20"/>
              </w:rPr>
              <w:t>48</w:t>
            </w:r>
            <w:r>
              <w:rPr>
                <w:rFonts w:cs="Times New Roman" w:asciiTheme="minorEastAsia" w:hAnsiTheme="minorEastAsia"/>
                <w:kern w:val="0"/>
                <w:sz w:val="20"/>
                <w:szCs w:val="20"/>
              </w:rPr>
              <w:t>小时（外地）</w:t>
            </w:r>
          </w:p>
        </w:tc>
        <w:tc>
          <w:tcPr>
            <w:tcW w:w="2382"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inorEastAsia" w:hAnsiTheme="minorEastAsia"/>
                <w:kern w:val="0"/>
                <w:sz w:val="20"/>
                <w:szCs w:val="20"/>
              </w:rPr>
            </w:pPr>
          </w:p>
        </w:tc>
      </w:tr>
      <w:tr>
        <w:tblPrEx>
          <w:tblCellMar>
            <w:top w:w="0" w:type="dxa"/>
            <w:left w:w="108" w:type="dxa"/>
            <w:bottom w:w="0" w:type="dxa"/>
            <w:right w:w="108" w:type="dxa"/>
          </w:tblCellMar>
        </w:tblPrEx>
        <w:trPr>
          <w:trHeight w:val="630" w:hRule="atLeast"/>
          <w:jc w:val="center"/>
        </w:trPr>
        <w:tc>
          <w:tcPr>
            <w:tcW w:w="734"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inorEastAsia" w:hAnsiTheme="minorEastAsia"/>
                <w:kern w:val="0"/>
                <w:sz w:val="20"/>
                <w:szCs w:val="20"/>
              </w:rPr>
            </w:pPr>
            <w:r>
              <w:rPr>
                <w:rFonts w:cs="Times New Roman" w:asciiTheme="minorEastAsia" w:hAnsiTheme="minorEastAsia"/>
                <w:kern w:val="0"/>
                <w:sz w:val="20"/>
                <w:szCs w:val="20"/>
              </w:rPr>
              <w:t>4.3</w:t>
            </w:r>
          </w:p>
        </w:tc>
        <w:tc>
          <w:tcPr>
            <w:tcW w:w="204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inorEastAsia" w:hAnsiTheme="minorEastAsia"/>
                <w:kern w:val="0"/>
                <w:sz w:val="20"/>
                <w:szCs w:val="20"/>
              </w:rPr>
            </w:pPr>
            <w:r>
              <w:rPr>
                <w:rFonts w:cs="Times New Roman" w:asciiTheme="minorEastAsia" w:hAnsiTheme="minorEastAsia"/>
                <w:kern w:val="0"/>
                <w:sz w:val="20"/>
                <w:szCs w:val="20"/>
              </w:rPr>
              <w:t>维修支持</w:t>
            </w:r>
          </w:p>
        </w:tc>
        <w:tc>
          <w:tcPr>
            <w:tcW w:w="396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tLeast"/>
              <w:jc w:val="left"/>
              <w:textAlignment w:val="auto"/>
              <w:rPr>
                <w:rFonts w:cs="Times New Roman" w:asciiTheme="minorEastAsia" w:hAnsiTheme="minorEastAsia"/>
                <w:kern w:val="0"/>
                <w:sz w:val="20"/>
                <w:szCs w:val="20"/>
              </w:rPr>
            </w:pPr>
            <w:r>
              <w:rPr>
                <w:rFonts w:cs="Times New Roman" w:asciiTheme="minorEastAsia" w:hAnsiTheme="minorEastAsia"/>
                <w:kern w:val="0"/>
                <w:sz w:val="20"/>
                <w:szCs w:val="20"/>
              </w:rPr>
              <w:t>配件供应时间≥</w:t>
            </w:r>
            <w:r>
              <w:rPr>
                <w:rFonts w:hint="eastAsia" w:cs="Times New Roman" w:asciiTheme="minorEastAsia" w:hAnsiTheme="minorEastAsia"/>
                <w:kern w:val="0"/>
                <w:sz w:val="20"/>
                <w:szCs w:val="20"/>
              </w:rPr>
              <w:t>5</w:t>
            </w:r>
            <w:r>
              <w:rPr>
                <w:rFonts w:cs="Times New Roman" w:asciiTheme="minorEastAsia" w:hAnsiTheme="minorEastAsia"/>
                <w:kern w:val="0"/>
                <w:sz w:val="20"/>
                <w:szCs w:val="20"/>
              </w:rPr>
              <w:t>年</w:t>
            </w:r>
          </w:p>
        </w:tc>
        <w:tc>
          <w:tcPr>
            <w:tcW w:w="2382"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inorEastAsia" w:hAnsiTheme="minorEastAsia"/>
                <w:kern w:val="0"/>
                <w:sz w:val="20"/>
                <w:szCs w:val="20"/>
              </w:rPr>
            </w:pPr>
          </w:p>
        </w:tc>
      </w:tr>
      <w:tr>
        <w:tblPrEx>
          <w:tblCellMar>
            <w:top w:w="0" w:type="dxa"/>
            <w:left w:w="108" w:type="dxa"/>
            <w:bottom w:w="0" w:type="dxa"/>
            <w:right w:w="108" w:type="dxa"/>
          </w:tblCellMar>
        </w:tblPrEx>
        <w:trPr>
          <w:trHeight w:val="630" w:hRule="atLeast"/>
          <w:jc w:val="center"/>
        </w:trPr>
        <w:tc>
          <w:tcPr>
            <w:tcW w:w="734"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inorEastAsia" w:hAnsiTheme="minorEastAsia"/>
                <w:kern w:val="0"/>
                <w:sz w:val="20"/>
                <w:szCs w:val="20"/>
              </w:rPr>
            </w:pPr>
            <w:r>
              <w:rPr>
                <w:rFonts w:cs="Times New Roman" w:asciiTheme="minorEastAsia" w:hAnsiTheme="minorEastAsia"/>
                <w:kern w:val="0"/>
                <w:sz w:val="20"/>
                <w:szCs w:val="20"/>
              </w:rPr>
              <w:t>4.4</w:t>
            </w:r>
          </w:p>
        </w:tc>
        <w:tc>
          <w:tcPr>
            <w:tcW w:w="204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inorEastAsia" w:hAnsiTheme="minorEastAsia"/>
                <w:kern w:val="0"/>
                <w:sz w:val="20"/>
                <w:szCs w:val="20"/>
              </w:rPr>
            </w:pPr>
            <w:r>
              <w:rPr>
                <w:rFonts w:cs="Times New Roman" w:asciiTheme="minorEastAsia" w:hAnsiTheme="minorEastAsia"/>
                <w:kern w:val="0"/>
                <w:sz w:val="20"/>
                <w:szCs w:val="20"/>
              </w:rPr>
              <w:t>耗材及零配件</w:t>
            </w:r>
          </w:p>
        </w:tc>
        <w:tc>
          <w:tcPr>
            <w:tcW w:w="396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tLeast"/>
              <w:jc w:val="left"/>
              <w:textAlignment w:val="auto"/>
              <w:rPr>
                <w:rFonts w:cs="Times New Roman" w:asciiTheme="minorEastAsia" w:hAnsiTheme="minorEastAsia"/>
                <w:kern w:val="0"/>
                <w:sz w:val="20"/>
                <w:szCs w:val="20"/>
              </w:rPr>
            </w:pPr>
            <w:r>
              <w:rPr>
                <w:rFonts w:cs="Times New Roman" w:asciiTheme="minorEastAsia" w:hAnsiTheme="minorEastAsia"/>
                <w:kern w:val="0"/>
                <w:sz w:val="20"/>
                <w:szCs w:val="20"/>
              </w:rPr>
              <w:t>提供耗材及主要零配件目录（含报价）</w:t>
            </w:r>
          </w:p>
        </w:tc>
        <w:tc>
          <w:tcPr>
            <w:tcW w:w="2382"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inorEastAsia" w:hAnsiTheme="minorEastAsia"/>
                <w:kern w:val="0"/>
                <w:sz w:val="20"/>
                <w:szCs w:val="20"/>
              </w:rPr>
            </w:pPr>
          </w:p>
        </w:tc>
      </w:tr>
      <w:tr>
        <w:tblPrEx>
          <w:tblCellMar>
            <w:top w:w="0" w:type="dxa"/>
            <w:left w:w="108" w:type="dxa"/>
            <w:bottom w:w="0" w:type="dxa"/>
            <w:right w:w="108" w:type="dxa"/>
          </w:tblCellMar>
        </w:tblPrEx>
        <w:trPr>
          <w:trHeight w:val="630" w:hRule="atLeast"/>
          <w:jc w:val="center"/>
        </w:trPr>
        <w:tc>
          <w:tcPr>
            <w:tcW w:w="734"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inorEastAsia" w:hAnsiTheme="minorEastAsia"/>
                <w:kern w:val="0"/>
                <w:sz w:val="20"/>
                <w:szCs w:val="20"/>
              </w:rPr>
            </w:pPr>
            <w:r>
              <w:rPr>
                <w:rFonts w:cs="Times New Roman" w:asciiTheme="minorEastAsia" w:hAnsiTheme="minorEastAsia"/>
                <w:kern w:val="0"/>
                <w:sz w:val="20"/>
                <w:szCs w:val="20"/>
              </w:rPr>
              <w:t>4.</w:t>
            </w:r>
            <w:r>
              <w:rPr>
                <w:rFonts w:hint="eastAsia" w:cs="Times New Roman" w:asciiTheme="minorEastAsia" w:hAnsiTheme="minorEastAsia"/>
                <w:kern w:val="0"/>
                <w:sz w:val="20"/>
                <w:szCs w:val="20"/>
              </w:rPr>
              <w:t>5</w:t>
            </w:r>
          </w:p>
        </w:tc>
        <w:tc>
          <w:tcPr>
            <w:tcW w:w="204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inorEastAsia" w:hAnsiTheme="minorEastAsia"/>
                <w:kern w:val="0"/>
                <w:sz w:val="20"/>
                <w:szCs w:val="20"/>
              </w:rPr>
            </w:pPr>
            <w:r>
              <w:rPr>
                <w:rFonts w:cs="Times New Roman" w:asciiTheme="minorEastAsia" w:hAnsiTheme="minorEastAsia"/>
                <w:kern w:val="0"/>
                <w:sz w:val="20"/>
                <w:szCs w:val="20"/>
              </w:rPr>
              <w:t>维修密码支持</w:t>
            </w:r>
          </w:p>
        </w:tc>
        <w:tc>
          <w:tcPr>
            <w:tcW w:w="396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tLeast"/>
              <w:jc w:val="left"/>
              <w:textAlignment w:val="auto"/>
              <w:rPr>
                <w:rFonts w:cs="Times New Roman" w:asciiTheme="minorEastAsia" w:hAnsiTheme="minorEastAsia"/>
                <w:kern w:val="0"/>
                <w:sz w:val="20"/>
                <w:szCs w:val="20"/>
              </w:rPr>
            </w:pPr>
            <w:r>
              <w:rPr>
                <w:rFonts w:cs="Times New Roman" w:asciiTheme="minorEastAsia" w:hAnsiTheme="minorEastAsia"/>
                <w:kern w:val="0"/>
                <w:sz w:val="20"/>
                <w:szCs w:val="20"/>
              </w:rPr>
              <w:t>开放</w:t>
            </w:r>
          </w:p>
        </w:tc>
        <w:tc>
          <w:tcPr>
            <w:tcW w:w="2382"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inorEastAsia" w:hAnsiTheme="minorEastAsia"/>
                <w:kern w:val="0"/>
                <w:sz w:val="20"/>
                <w:szCs w:val="20"/>
              </w:rPr>
            </w:pPr>
          </w:p>
        </w:tc>
      </w:tr>
      <w:tr>
        <w:tblPrEx>
          <w:tblCellMar>
            <w:top w:w="0" w:type="dxa"/>
            <w:left w:w="108" w:type="dxa"/>
            <w:bottom w:w="0" w:type="dxa"/>
            <w:right w:w="108" w:type="dxa"/>
          </w:tblCellMar>
        </w:tblPrEx>
        <w:trPr>
          <w:trHeight w:val="630" w:hRule="atLeast"/>
          <w:jc w:val="center"/>
        </w:trPr>
        <w:tc>
          <w:tcPr>
            <w:tcW w:w="734"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inorEastAsia" w:hAnsiTheme="minorEastAsia"/>
                <w:kern w:val="0"/>
                <w:sz w:val="20"/>
                <w:szCs w:val="20"/>
              </w:rPr>
            </w:pPr>
            <w:r>
              <w:rPr>
                <w:rFonts w:cs="Times New Roman" w:asciiTheme="minorEastAsia" w:hAnsiTheme="minorEastAsia"/>
                <w:kern w:val="0"/>
                <w:sz w:val="20"/>
                <w:szCs w:val="20"/>
              </w:rPr>
              <w:t>4.</w:t>
            </w:r>
            <w:r>
              <w:rPr>
                <w:rFonts w:hint="eastAsia" w:cs="Times New Roman" w:asciiTheme="minorEastAsia" w:hAnsiTheme="minorEastAsia"/>
                <w:kern w:val="0"/>
                <w:sz w:val="20"/>
                <w:szCs w:val="20"/>
              </w:rPr>
              <w:t>6</w:t>
            </w:r>
          </w:p>
        </w:tc>
        <w:tc>
          <w:tcPr>
            <w:tcW w:w="204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inorEastAsia" w:hAnsiTheme="minorEastAsia"/>
                <w:kern w:val="0"/>
                <w:sz w:val="20"/>
                <w:szCs w:val="20"/>
              </w:rPr>
            </w:pPr>
            <w:r>
              <w:rPr>
                <w:rFonts w:cs="Times New Roman" w:asciiTheme="minorEastAsia" w:hAnsiTheme="minorEastAsia"/>
                <w:kern w:val="0"/>
                <w:sz w:val="20"/>
                <w:szCs w:val="20"/>
              </w:rPr>
              <w:t>升级</w:t>
            </w:r>
          </w:p>
        </w:tc>
        <w:tc>
          <w:tcPr>
            <w:tcW w:w="396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tLeast"/>
              <w:jc w:val="left"/>
              <w:textAlignment w:val="auto"/>
              <w:rPr>
                <w:rFonts w:cs="Times New Roman" w:asciiTheme="minorEastAsia" w:hAnsiTheme="minorEastAsia"/>
                <w:kern w:val="0"/>
                <w:sz w:val="20"/>
                <w:szCs w:val="20"/>
              </w:rPr>
            </w:pPr>
            <w:r>
              <w:rPr>
                <w:rFonts w:cs="Times New Roman" w:asciiTheme="minorEastAsia" w:hAnsiTheme="minorEastAsia"/>
                <w:kern w:val="0"/>
                <w:sz w:val="20"/>
                <w:szCs w:val="20"/>
              </w:rPr>
              <w:t>终身免费软件升级</w:t>
            </w:r>
          </w:p>
        </w:tc>
        <w:tc>
          <w:tcPr>
            <w:tcW w:w="2382"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inorEastAsia" w:hAnsiTheme="minorEastAsia"/>
                <w:kern w:val="0"/>
                <w:sz w:val="20"/>
                <w:szCs w:val="20"/>
              </w:rPr>
            </w:pPr>
          </w:p>
        </w:tc>
      </w:tr>
      <w:tr>
        <w:tblPrEx>
          <w:tblCellMar>
            <w:top w:w="0" w:type="dxa"/>
            <w:left w:w="108" w:type="dxa"/>
            <w:bottom w:w="0" w:type="dxa"/>
            <w:right w:w="108" w:type="dxa"/>
          </w:tblCellMar>
        </w:tblPrEx>
        <w:trPr>
          <w:trHeight w:val="630" w:hRule="atLeast"/>
          <w:jc w:val="center"/>
        </w:trPr>
        <w:tc>
          <w:tcPr>
            <w:tcW w:w="734"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inorEastAsia" w:hAnsiTheme="minorEastAsia"/>
                <w:kern w:val="0"/>
                <w:sz w:val="20"/>
                <w:szCs w:val="20"/>
              </w:rPr>
            </w:pPr>
            <w:r>
              <w:rPr>
                <w:rFonts w:cs="Times New Roman" w:asciiTheme="minorEastAsia" w:hAnsiTheme="minorEastAsia"/>
                <w:kern w:val="0"/>
                <w:sz w:val="20"/>
                <w:szCs w:val="20"/>
              </w:rPr>
              <w:t>4.</w:t>
            </w:r>
            <w:r>
              <w:rPr>
                <w:rFonts w:hint="eastAsia" w:cs="Times New Roman" w:asciiTheme="minorEastAsia" w:hAnsiTheme="minorEastAsia"/>
                <w:kern w:val="0"/>
                <w:sz w:val="20"/>
                <w:szCs w:val="20"/>
              </w:rPr>
              <w:t>7</w:t>
            </w:r>
          </w:p>
        </w:tc>
        <w:tc>
          <w:tcPr>
            <w:tcW w:w="204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inorEastAsia" w:hAnsiTheme="minorEastAsia"/>
                <w:kern w:val="0"/>
                <w:sz w:val="20"/>
                <w:szCs w:val="20"/>
              </w:rPr>
            </w:pPr>
            <w:r>
              <w:rPr>
                <w:rFonts w:cs="Times New Roman" w:asciiTheme="minorEastAsia" w:hAnsiTheme="minorEastAsia"/>
                <w:kern w:val="0"/>
                <w:sz w:val="20"/>
                <w:szCs w:val="20"/>
              </w:rPr>
              <w:t>使用培训</w:t>
            </w:r>
          </w:p>
        </w:tc>
        <w:tc>
          <w:tcPr>
            <w:tcW w:w="396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tLeast"/>
              <w:jc w:val="left"/>
              <w:textAlignment w:val="auto"/>
              <w:rPr>
                <w:rFonts w:cs="Times New Roman" w:asciiTheme="minorEastAsia" w:hAnsiTheme="minorEastAsia"/>
                <w:kern w:val="0"/>
                <w:sz w:val="20"/>
                <w:szCs w:val="20"/>
              </w:rPr>
            </w:pPr>
            <w:r>
              <w:rPr>
                <w:rFonts w:cs="Times New Roman" w:asciiTheme="minorEastAsia" w:hAnsiTheme="minorEastAsia"/>
                <w:kern w:val="0"/>
                <w:sz w:val="20"/>
                <w:szCs w:val="20"/>
              </w:rPr>
              <w:t>支持</w:t>
            </w:r>
          </w:p>
        </w:tc>
        <w:tc>
          <w:tcPr>
            <w:tcW w:w="2382"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inorEastAsia" w:hAnsiTheme="minorEastAsia"/>
                <w:kern w:val="0"/>
                <w:sz w:val="20"/>
                <w:szCs w:val="20"/>
              </w:rPr>
            </w:pPr>
          </w:p>
        </w:tc>
      </w:tr>
      <w:tr>
        <w:tblPrEx>
          <w:tblCellMar>
            <w:top w:w="0" w:type="dxa"/>
            <w:left w:w="108" w:type="dxa"/>
            <w:bottom w:w="0" w:type="dxa"/>
            <w:right w:w="108" w:type="dxa"/>
          </w:tblCellMar>
        </w:tblPrEx>
        <w:trPr>
          <w:trHeight w:val="630" w:hRule="atLeast"/>
          <w:jc w:val="center"/>
        </w:trPr>
        <w:tc>
          <w:tcPr>
            <w:tcW w:w="734"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inorEastAsia" w:hAnsiTheme="minorEastAsia"/>
                <w:kern w:val="0"/>
                <w:sz w:val="20"/>
                <w:szCs w:val="20"/>
              </w:rPr>
            </w:pPr>
            <w:r>
              <w:rPr>
                <w:rFonts w:cs="Times New Roman" w:asciiTheme="minorEastAsia" w:hAnsiTheme="minorEastAsia"/>
                <w:kern w:val="0"/>
                <w:sz w:val="20"/>
                <w:szCs w:val="20"/>
              </w:rPr>
              <w:t>4.</w:t>
            </w:r>
            <w:r>
              <w:rPr>
                <w:rFonts w:hint="eastAsia" w:cs="Times New Roman" w:asciiTheme="minorEastAsia" w:hAnsiTheme="minorEastAsia"/>
                <w:kern w:val="0"/>
                <w:sz w:val="20"/>
                <w:szCs w:val="20"/>
              </w:rPr>
              <w:t>8</w:t>
            </w:r>
          </w:p>
        </w:tc>
        <w:tc>
          <w:tcPr>
            <w:tcW w:w="204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inorEastAsia" w:hAnsiTheme="minorEastAsia"/>
                <w:kern w:val="0"/>
                <w:sz w:val="20"/>
                <w:szCs w:val="20"/>
              </w:rPr>
            </w:pPr>
            <w:r>
              <w:rPr>
                <w:rFonts w:cs="Times New Roman" w:asciiTheme="minorEastAsia" w:hAnsiTheme="minorEastAsia"/>
                <w:kern w:val="0"/>
                <w:sz w:val="20"/>
                <w:szCs w:val="20"/>
              </w:rPr>
              <w:t>工程师培训</w:t>
            </w:r>
          </w:p>
        </w:tc>
        <w:tc>
          <w:tcPr>
            <w:tcW w:w="396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tLeast"/>
              <w:jc w:val="left"/>
              <w:textAlignment w:val="auto"/>
              <w:rPr>
                <w:rFonts w:cs="Times New Roman" w:asciiTheme="minorEastAsia" w:hAnsiTheme="minorEastAsia"/>
                <w:kern w:val="0"/>
                <w:sz w:val="20"/>
                <w:szCs w:val="20"/>
              </w:rPr>
            </w:pPr>
            <w:r>
              <w:rPr>
                <w:rFonts w:cs="Times New Roman" w:asciiTheme="minorEastAsia" w:hAnsiTheme="minorEastAsia"/>
                <w:kern w:val="0"/>
                <w:sz w:val="20"/>
                <w:szCs w:val="20"/>
              </w:rPr>
              <w:t>支持</w:t>
            </w:r>
          </w:p>
        </w:tc>
        <w:tc>
          <w:tcPr>
            <w:tcW w:w="2382"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inorEastAsia" w:hAnsiTheme="minorEastAsia"/>
                <w:kern w:val="0"/>
                <w:sz w:val="20"/>
                <w:szCs w:val="20"/>
              </w:rPr>
            </w:pPr>
          </w:p>
        </w:tc>
      </w:tr>
    </w:tbl>
    <w:p>
      <w:pPr>
        <w:keepNext w:val="0"/>
        <w:keepLines w:val="0"/>
        <w:pageBreakBefore w:val="0"/>
        <w:kinsoku/>
        <w:wordWrap/>
        <w:overflowPunct/>
        <w:topLinePunct w:val="0"/>
        <w:autoSpaceDE/>
        <w:autoSpaceDN/>
        <w:bidi w:val="0"/>
        <w:spacing w:line="240" w:lineRule="atLeast"/>
        <w:jc w:val="center"/>
        <w:textAlignment w:val="auto"/>
        <w:rPr>
          <w:sz w:val="20"/>
          <w:szCs w:val="21"/>
        </w:rPr>
      </w:pPr>
    </w:p>
    <w:sectPr>
      <w:headerReference r:id="rId12" w:type="default"/>
      <w:pgSz w:w="11907" w:h="16840"/>
      <w:pgMar w:top="2098" w:right="1474" w:bottom="1985" w:left="1588" w:header="851" w:footer="964"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Dotum">
    <w:panose1 w:val="020B0600000101010101"/>
    <w:charset w:val="81"/>
    <w:family w:val="modern"/>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1</w:t>
    </w:r>
    <w:r>
      <w:rPr>
        <w:rStyle w:val="20"/>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4</w:t>
    </w:r>
    <w:r>
      <w:rPr>
        <w:rStyle w:val="20"/>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宋体"/>
        <w:sz w:val="24"/>
        <w:szCs w:val="24"/>
      </w:rPr>
    </w:pPr>
    <w:r>
      <w:rPr>
        <w:rFonts w:hint="eastAsia" w:ascii="宋体"/>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31</w:t>
    </w:r>
    <w:r>
      <w:rPr>
        <w:rStyle w:val="20"/>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谈判文件采购公告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技术和</w:t>
    </w:r>
    <w:r>
      <w:rPr>
        <w:rFonts w:hint="eastAsia" w:ascii="楷体_GB2312" w:eastAsia="楷体_GB2312"/>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               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r>
      <w:rPr>
        <w:rFonts w:hint="eastAsia" w:ascii="楷体_GB2312" w:eastAsia="楷体_GB2312"/>
        <w:sz w:val="21"/>
        <w:szCs w:val="21"/>
      </w:rPr>
      <w:t>谈判文件</w:t>
    </w:r>
    <w:r>
      <w:rPr>
        <w:rFonts w:hint="eastAsia" w:ascii="楷体_GB2312" w:hAnsi="华文中宋" w:eastAsia="楷体_GB2312"/>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 xml:space="preserve">谈判文件    </w:t>
    </w:r>
    <w:r>
      <w:rPr>
        <w:rFonts w:hint="eastAsia" w:ascii="楷体_GB2312" w:hAnsi="华文中宋" w:eastAsia="楷体_GB2312"/>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谈判文件</w:t>
    </w:r>
    <w:r>
      <w:rPr>
        <w:rFonts w:hint="eastAsia" w:ascii="楷体_GB2312" w:hAnsi="华文中宋" w:eastAsia="楷体_GB2312"/>
        <w:sz w:val="21"/>
        <w:szCs w:val="21"/>
      </w:rPr>
      <w:t xml:space="preserve">                                                      报价文件格式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hAnsi="华文中宋" w:eastAsia="楷体_GB2312"/>
        <w:sz w:val="21"/>
        <w:szCs w:val="21"/>
      </w:rPr>
    </w:pPr>
    <w:r>
      <w:rPr>
        <w:rFonts w:hint="eastAsia" w:ascii="楷体_GB2312" w:eastAsia="楷体_GB2312"/>
        <w:bCs/>
        <w:sz w:val="21"/>
        <w:szCs w:val="21"/>
      </w:rPr>
      <w:t>谈判文件</w:t>
    </w:r>
    <w:r>
      <w:rPr>
        <w:rFonts w:hint="eastAsia" w:ascii="楷体_GB2312" w:hAnsi="华文中宋" w:eastAsia="楷体_GB2312"/>
        <w:sz w:val="21"/>
        <w:szCs w:val="21"/>
      </w:rPr>
      <w:t xml:space="preserve">                                              技术指标参数要求明细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bordersDoNotSurroundHeader w:val="1"/>
  <w:bordersDoNotSurroundFooter w:val="1"/>
  <w:documentProtection w:enforcement="0"/>
  <w:defaultTabStop w:val="420"/>
  <w:drawingGridHorizontalSpacing w:val="201"/>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9EE"/>
    <w:rsid w:val="000230FD"/>
    <w:rsid w:val="0002753B"/>
    <w:rsid w:val="00027CF2"/>
    <w:rsid w:val="00037330"/>
    <w:rsid w:val="000404BD"/>
    <w:rsid w:val="00040F12"/>
    <w:rsid w:val="000532D8"/>
    <w:rsid w:val="00054C92"/>
    <w:rsid w:val="00057277"/>
    <w:rsid w:val="00057ADC"/>
    <w:rsid w:val="00064303"/>
    <w:rsid w:val="00071DFE"/>
    <w:rsid w:val="00082A64"/>
    <w:rsid w:val="0009494E"/>
    <w:rsid w:val="00094D66"/>
    <w:rsid w:val="0009631F"/>
    <w:rsid w:val="000978CB"/>
    <w:rsid w:val="000A16A1"/>
    <w:rsid w:val="000A2365"/>
    <w:rsid w:val="000A47EE"/>
    <w:rsid w:val="000A574E"/>
    <w:rsid w:val="000B6DC5"/>
    <w:rsid w:val="000C05CF"/>
    <w:rsid w:val="000C28D4"/>
    <w:rsid w:val="000D1A63"/>
    <w:rsid w:val="000D2147"/>
    <w:rsid w:val="000D6D49"/>
    <w:rsid w:val="000E0A41"/>
    <w:rsid w:val="000E203F"/>
    <w:rsid w:val="000E24CF"/>
    <w:rsid w:val="000F19EE"/>
    <w:rsid w:val="00101A4E"/>
    <w:rsid w:val="001146EE"/>
    <w:rsid w:val="001156C6"/>
    <w:rsid w:val="001175A3"/>
    <w:rsid w:val="00126E2A"/>
    <w:rsid w:val="00140433"/>
    <w:rsid w:val="00141DF3"/>
    <w:rsid w:val="00144AC9"/>
    <w:rsid w:val="00146B8C"/>
    <w:rsid w:val="00151352"/>
    <w:rsid w:val="00153547"/>
    <w:rsid w:val="00154A37"/>
    <w:rsid w:val="00156746"/>
    <w:rsid w:val="001628C4"/>
    <w:rsid w:val="00162BA1"/>
    <w:rsid w:val="00165CC1"/>
    <w:rsid w:val="00167E17"/>
    <w:rsid w:val="00172231"/>
    <w:rsid w:val="00174EC9"/>
    <w:rsid w:val="00180B18"/>
    <w:rsid w:val="001811A8"/>
    <w:rsid w:val="00187475"/>
    <w:rsid w:val="00187861"/>
    <w:rsid w:val="001A083F"/>
    <w:rsid w:val="001A14C3"/>
    <w:rsid w:val="001A4FD9"/>
    <w:rsid w:val="001B14E3"/>
    <w:rsid w:val="001B7705"/>
    <w:rsid w:val="001B7EAF"/>
    <w:rsid w:val="001D0023"/>
    <w:rsid w:val="001D1B14"/>
    <w:rsid w:val="001E3296"/>
    <w:rsid w:val="001E34F3"/>
    <w:rsid w:val="001E460B"/>
    <w:rsid w:val="001F4869"/>
    <w:rsid w:val="00214820"/>
    <w:rsid w:val="00221A52"/>
    <w:rsid w:val="00224E5F"/>
    <w:rsid w:val="00226556"/>
    <w:rsid w:val="002336F5"/>
    <w:rsid w:val="0023780A"/>
    <w:rsid w:val="002425C9"/>
    <w:rsid w:val="002474B3"/>
    <w:rsid w:val="002609CE"/>
    <w:rsid w:val="002628D1"/>
    <w:rsid w:val="00262C6B"/>
    <w:rsid w:val="00265A44"/>
    <w:rsid w:val="00282E06"/>
    <w:rsid w:val="002867DC"/>
    <w:rsid w:val="002A09F2"/>
    <w:rsid w:val="002A29CA"/>
    <w:rsid w:val="002A65C6"/>
    <w:rsid w:val="002A695D"/>
    <w:rsid w:val="002B6E50"/>
    <w:rsid w:val="002C0F66"/>
    <w:rsid w:val="002C1147"/>
    <w:rsid w:val="002C1741"/>
    <w:rsid w:val="002C6A11"/>
    <w:rsid w:val="002C7EAA"/>
    <w:rsid w:val="002D0387"/>
    <w:rsid w:val="002D12A7"/>
    <w:rsid w:val="002D331A"/>
    <w:rsid w:val="002D43B1"/>
    <w:rsid w:val="002D4DA1"/>
    <w:rsid w:val="002D5240"/>
    <w:rsid w:val="002E3D9F"/>
    <w:rsid w:val="002E5B90"/>
    <w:rsid w:val="002F06B1"/>
    <w:rsid w:val="002F1927"/>
    <w:rsid w:val="00300A5C"/>
    <w:rsid w:val="003027C7"/>
    <w:rsid w:val="00303E33"/>
    <w:rsid w:val="003060AC"/>
    <w:rsid w:val="00321D84"/>
    <w:rsid w:val="003222A0"/>
    <w:rsid w:val="003403F2"/>
    <w:rsid w:val="003407DF"/>
    <w:rsid w:val="00344422"/>
    <w:rsid w:val="00346BB9"/>
    <w:rsid w:val="003470EC"/>
    <w:rsid w:val="00353342"/>
    <w:rsid w:val="00354E1F"/>
    <w:rsid w:val="00375151"/>
    <w:rsid w:val="003813C8"/>
    <w:rsid w:val="0038362B"/>
    <w:rsid w:val="00384C3A"/>
    <w:rsid w:val="00387C50"/>
    <w:rsid w:val="0039032C"/>
    <w:rsid w:val="003927EC"/>
    <w:rsid w:val="003A0065"/>
    <w:rsid w:val="003A0B24"/>
    <w:rsid w:val="003A5637"/>
    <w:rsid w:val="003B09EC"/>
    <w:rsid w:val="003B09F3"/>
    <w:rsid w:val="003B214E"/>
    <w:rsid w:val="003B3BD0"/>
    <w:rsid w:val="003C0056"/>
    <w:rsid w:val="003C64FC"/>
    <w:rsid w:val="003C7F91"/>
    <w:rsid w:val="003D19FD"/>
    <w:rsid w:val="003E5372"/>
    <w:rsid w:val="003F338D"/>
    <w:rsid w:val="003F5B3D"/>
    <w:rsid w:val="00407420"/>
    <w:rsid w:val="004112AF"/>
    <w:rsid w:val="00412E87"/>
    <w:rsid w:val="0041496A"/>
    <w:rsid w:val="00417076"/>
    <w:rsid w:val="004201A1"/>
    <w:rsid w:val="004208CD"/>
    <w:rsid w:val="00427AEF"/>
    <w:rsid w:val="00430345"/>
    <w:rsid w:val="004350C6"/>
    <w:rsid w:val="00435208"/>
    <w:rsid w:val="00452E89"/>
    <w:rsid w:val="004569F6"/>
    <w:rsid w:val="00456C09"/>
    <w:rsid w:val="00461FFF"/>
    <w:rsid w:val="00463DD9"/>
    <w:rsid w:val="00472CF2"/>
    <w:rsid w:val="00477326"/>
    <w:rsid w:val="004B0444"/>
    <w:rsid w:val="004B75DB"/>
    <w:rsid w:val="004C0035"/>
    <w:rsid w:val="004C3916"/>
    <w:rsid w:val="004D59FE"/>
    <w:rsid w:val="004E0DFC"/>
    <w:rsid w:val="004E0F38"/>
    <w:rsid w:val="004E18EC"/>
    <w:rsid w:val="004E35E3"/>
    <w:rsid w:val="004E6AEB"/>
    <w:rsid w:val="004F142D"/>
    <w:rsid w:val="004F189A"/>
    <w:rsid w:val="004F1BF2"/>
    <w:rsid w:val="004F5E12"/>
    <w:rsid w:val="00500BAA"/>
    <w:rsid w:val="00503A7C"/>
    <w:rsid w:val="005068DB"/>
    <w:rsid w:val="00511818"/>
    <w:rsid w:val="005222C3"/>
    <w:rsid w:val="00522CA7"/>
    <w:rsid w:val="00531671"/>
    <w:rsid w:val="00532B1E"/>
    <w:rsid w:val="00533850"/>
    <w:rsid w:val="00537FF9"/>
    <w:rsid w:val="005506B8"/>
    <w:rsid w:val="005506CA"/>
    <w:rsid w:val="00554F2D"/>
    <w:rsid w:val="00564319"/>
    <w:rsid w:val="00564B59"/>
    <w:rsid w:val="00576044"/>
    <w:rsid w:val="00577DD4"/>
    <w:rsid w:val="00585142"/>
    <w:rsid w:val="00587FEE"/>
    <w:rsid w:val="005927B8"/>
    <w:rsid w:val="00592C5C"/>
    <w:rsid w:val="005A24EB"/>
    <w:rsid w:val="005A29A0"/>
    <w:rsid w:val="005A4F46"/>
    <w:rsid w:val="005B13C9"/>
    <w:rsid w:val="005B5235"/>
    <w:rsid w:val="005C5539"/>
    <w:rsid w:val="005D5EDA"/>
    <w:rsid w:val="005E2274"/>
    <w:rsid w:val="005E6410"/>
    <w:rsid w:val="005E6697"/>
    <w:rsid w:val="005F186B"/>
    <w:rsid w:val="005F2C28"/>
    <w:rsid w:val="005F3E10"/>
    <w:rsid w:val="006210E0"/>
    <w:rsid w:val="0062692F"/>
    <w:rsid w:val="006325D8"/>
    <w:rsid w:val="00632B7E"/>
    <w:rsid w:val="00635860"/>
    <w:rsid w:val="00636412"/>
    <w:rsid w:val="006419F8"/>
    <w:rsid w:val="006437F7"/>
    <w:rsid w:val="00643BF5"/>
    <w:rsid w:val="00645667"/>
    <w:rsid w:val="00647E07"/>
    <w:rsid w:val="006508EA"/>
    <w:rsid w:val="006624BA"/>
    <w:rsid w:val="00662CCA"/>
    <w:rsid w:val="006638B8"/>
    <w:rsid w:val="00672503"/>
    <w:rsid w:val="00677854"/>
    <w:rsid w:val="006846E0"/>
    <w:rsid w:val="00690F39"/>
    <w:rsid w:val="00692DE9"/>
    <w:rsid w:val="00694F67"/>
    <w:rsid w:val="0069669B"/>
    <w:rsid w:val="00696F01"/>
    <w:rsid w:val="006979A0"/>
    <w:rsid w:val="006A10C1"/>
    <w:rsid w:val="006A14FA"/>
    <w:rsid w:val="006A7511"/>
    <w:rsid w:val="006B13AA"/>
    <w:rsid w:val="006B2818"/>
    <w:rsid w:val="006B6AC3"/>
    <w:rsid w:val="006C1CF4"/>
    <w:rsid w:val="006C6D5D"/>
    <w:rsid w:val="006D2D2E"/>
    <w:rsid w:val="006D6637"/>
    <w:rsid w:val="006E18A5"/>
    <w:rsid w:val="006E1B43"/>
    <w:rsid w:val="006E2984"/>
    <w:rsid w:val="006E5F9F"/>
    <w:rsid w:val="006E67F2"/>
    <w:rsid w:val="006F15B6"/>
    <w:rsid w:val="006F181B"/>
    <w:rsid w:val="006F40A6"/>
    <w:rsid w:val="00707914"/>
    <w:rsid w:val="007122C0"/>
    <w:rsid w:val="00717C01"/>
    <w:rsid w:val="00725563"/>
    <w:rsid w:val="007264A9"/>
    <w:rsid w:val="0073357E"/>
    <w:rsid w:val="00735A12"/>
    <w:rsid w:val="0074178F"/>
    <w:rsid w:val="00742D58"/>
    <w:rsid w:val="00756021"/>
    <w:rsid w:val="0077103A"/>
    <w:rsid w:val="007824F3"/>
    <w:rsid w:val="00791442"/>
    <w:rsid w:val="0079179A"/>
    <w:rsid w:val="0079773B"/>
    <w:rsid w:val="007979B8"/>
    <w:rsid w:val="007A17FD"/>
    <w:rsid w:val="007A278C"/>
    <w:rsid w:val="007A403E"/>
    <w:rsid w:val="007B376E"/>
    <w:rsid w:val="007C03E1"/>
    <w:rsid w:val="007C0768"/>
    <w:rsid w:val="007C0CB8"/>
    <w:rsid w:val="007C3F3E"/>
    <w:rsid w:val="007C5CCC"/>
    <w:rsid w:val="007C6A99"/>
    <w:rsid w:val="007C6BF1"/>
    <w:rsid w:val="007C6F46"/>
    <w:rsid w:val="007D1C89"/>
    <w:rsid w:val="007D3780"/>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0ED2"/>
    <w:rsid w:val="0084720F"/>
    <w:rsid w:val="00853C33"/>
    <w:rsid w:val="00856888"/>
    <w:rsid w:val="008642CB"/>
    <w:rsid w:val="00864CD8"/>
    <w:rsid w:val="008711D3"/>
    <w:rsid w:val="008729B3"/>
    <w:rsid w:val="00880C74"/>
    <w:rsid w:val="00880DAF"/>
    <w:rsid w:val="00882004"/>
    <w:rsid w:val="008A52B6"/>
    <w:rsid w:val="008B3684"/>
    <w:rsid w:val="008C2787"/>
    <w:rsid w:val="008C7216"/>
    <w:rsid w:val="008D38DC"/>
    <w:rsid w:val="008D583C"/>
    <w:rsid w:val="008E0677"/>
    <w:rsid w:val="008E1538"/>
    <w:rsid w:val="008E3548"/>
    <w:rsid w:val="008E43CB"/>
    <w:rsid w:val="008E4B90"/>
    <w:rsid w:val="008F2ED3"/>
    <w:rsid w:val="008F3C8F"/>
    <w:rsid w:val="008F3D33"/>
    <w:rsid w:val="008F4528"/>
    <w:rsid w:val="008F7856"/>
    <w:rsid w:val="00900DF4"/>
    <w:rsid w:val="0090127B"/>
    <w:rsid w:val="00903989"/>
    <w:rsid w:val="00916D12"/>
    <w:rsid w:val="00932621"/>
    <w:rsid w:val="009350B3"/>
    <w:rsid w:val="00942048"/>
    <w:rsid w:val="0094231D"/>
    <w:rsid w:val="00946502"/>
    <w:rsid w:val="009478E9"/>
    <w:rsid w:val="009727C6"/>
    <w:rsid w:val="00973F58"/>
    <w:rsid w:val="00977600"/>
    <w:rsid w:val="00977E68"/>
    <w:rsid w:val="00992D81"/>
    <w:rsid w:val="00993AD3"/>
    <w:rsid w:val="009942A5"/>
    <w:rsid w:val="009959AD"/>
    <w:rsid w:val="009A0411"/>
    <w:rsid w:val="009A1A23"/>
    <w:rsid w:val="009B25A3"/>
    <w:rsid w:val="009C35C9"/>
    <w:rsid w:val="009C364C"/>
    <w:rsid w:val="009C534C"/>
    <w:rsid w:val="009D2C79"/>
    <w:rsid w:val="009D7580"/>
    <w:rsid w:val="009D7DC2"/>
    <w:rsid w:val="009E5E21"/>
    <w:rsid w:val="009F0E89"/>
    <w:rsid w:val="009F28E6"/>
    <w:rsid w:val="009F315B"/>
    <w:rsid w:val="009F44F4"/>
    <w:rsid w:val="009F5C3F"/>
    <w:rsid w:val="009F6FAB"/>
    <w:rsid w:val="00A01CE5"/>
    <w:rsid w:val="00A03B1E"/>
    <w:rsid w:val="00A072CB"/>
    <w:rsid w:val="00A11DF2"/>
    <w:rsid w:val="00A17615"/>
    <w:rsid w:val="00A20EFA"/>
    <w:rsid w:val="00A2139C"/>
    <w:rsid w:val="00A23F41"/>
    <w:rsid w:val="00A272F7"/>
    <w:rsid w:val="00A27C6B"/>
    <w:rsid w:val="00A3017C"/>
    <w:rsid w:val="00A31A63"/>
    <w:rsid w:val="00A40EB7"/>
    <w:rsid w:val="00A45B45"/>
    <w:rsid w:val="00A522F8"/>
    <w:rsid w:val="00A560DA"/>
    <w:rsid w:val="00A56167"/>
    <w:rsid w:val="00A56EAE"/>
    <w:rsid w:val="00A61580"/>
    <w:rsid w:val="00A6539D"/>
    <w:rsid w:val="00A65493"/>
    <w:rsid w:val="00A6734F"/>
    <w:rsid w:val="00A74755"/>
    <w:rsid w:val="00A77442"/>
    <w:rsid w:val="00A829B8"/>
    <w:rsid w:val="00A93B99"/>
    <w:rsid w:val="00AA43E5"/>
    <w:rsid w:val="00AA4E34"/>
    <w:rsid w:val="00AA5C32"/>
    <w:rsid w:val="00AB444E"/>
    <w:rsid w:val="00AC0603"/>
    <w:rsid w:val="00AC5A6B"/>
    <w:rsid w:val="00AC74FF"/>
    <w:rsid w:val="00AD0204"/>
    <w:rsid w:val="00AD20F1"/>
    <w:rsid w:val="00AD7FB4"/>
    <w:rsid w:val="00AE412B"/>
    <w:rsid w:val="00AE4417"/>
    <w:rsid w:val="00AE46A0"/>
    <w:rsid w:val="00AE5AAA"/>
    <w:rsid w:val="00AE6731"/>
    <w:rsid w:val="00AE75BE"/>
    <w:rsid w:val="00AF4EC1"/>
    <w:rsid w:val="00AF5267"/>
    <w:rsid w:val="00AF7CD4"/>
    <w:rsid w:val="00B01F17"/>
    <w:rsid w:val="00B0405D"/>
    <w:rsid w:val="00B05B52"/>
    <w:rsid w:val="00B0623F"/>
    <w:rsid w:val="00B06F59"/>
    <w:rsid w:val="00B078FB"/>
    <w:rsid w:val="00B10A6E"/>
    <w:rsid w:val="00B14E99"/>
    <w:rsid w:val="00B242E3"/>
    <w:rsid w:val="00B2575B"/>
    <w:rsid w:val="00B30981"/>
    <w:rsid w:val="00B32656"/>
    <w:rsid w:val="00B40B03"/>
    <w:rsid w:val="00B57CA4"/>
    <w:rsid w:val="00B6394A"/>
    <w:rsid w:val="00B66C1E"/>
    <w:rsid w:val="00B67EE1"/>
    <w:rsid w:val="00B741B4"/>
    <w:rsid w:val="00B8070C"/>
    <w:rsid w:val="00B80D48"/>
    <w:rsid w:val="00B81FFF"/>
    <w:rsid w:val="00B91398"/>
    <w:rsid w:val="00BA32A2"/>
    <w:rsid w:val="00BA55FB"/>
    <w:rsid w:val="00BB5DEA"/>
    <w:rsid w:val="00BC12B2"/>
    <w:rsid w:val="00BD07A7"/>
    <w:rsid w:val="00BD5F97"/>
    <w:rsid w:val="00BD7A73"/>
    <w:rsid w:val="00BD7E70"/>
    <w:rsid w:val="00BE6EB9"/>
    <w:rsid w:val="00BF1317"/>
    <w:rsid w:val="00BF67AD"/>
    <w:rsid w:val="00C0262E"/>
    <w:rsid w:val="00C040B7"/>
    <w:rsid w:val="00C114CF"/>
    <w:rsid w:val="00C14157"/>
    <w:rsid w:val="00C152D6"/>
    <w:rsid w:val="00C37536"/>
    <w:rsid w:val="00C37A4A"/>
    <w:rsid w:val="00C443A8"/>
    <w:rsid w:val="00C464AC"/>
    <w:rsid w:val="00C475A2"/>
    <w:rsid w:val="00C5456B"/>
    <w:rsid w:val="00C63B8C"/>
    <w:rsid w:val="00C64A94"/>
    <w:rsid w:val="00C7014A"/>
    <w:rsid w:val="00C76787"/>
    <w:rsid w:val="00C81054"/>
    <w:rsid w:val="00C8222E"/>
    <w:rsid w:val="00C827BA"/>
    <w:rsid w:val="00C834FA"/>
    <w:rsid w:val="00C840DC"/>
    <w:rsid w:val="00C84595"/>
    <w:rsid w:val="00C8795F"/>
    <w:rsid w:val="00C90116"/>
    <w:rsid w:val="00C929CC"/>
    <w:rsid w:val="00CA38FE"/>
    <w:rsid w:val="00CB02C8"/>
    <w:rsid w:val="00CB1178"/>
    <w:rsid w:val="00CB35B5"/>
    <w:rsid w:val="00CB37F9"/>
    <w:rsid w:val="00CB63CE"/>
    <w:rsid w:val="00CC1FAE"/>
    <w:rsid w:val="00CD03EE"/>
    <w:rsid w:val="00CD3A99"/>
    <w:rsid w:val="00CD46E0"/>
    <w:rsid w:val="00CD54FE"/>
    <w:rsid w:val="00CE4AC8"/>
    <w:rsid w:val="00CE5B9D"/>
    <w:rsid w:val="00CE66D3"/>
    <w:rsid w:val="00D12374"/>
    <w:rsid w:val="00D12ABC"/>
    <w:rsid w:val="00D1746D"/>
    <w:rsid w:val="00D21D08"/>
    <w:rsid w:val="00D2779B"/>
    <w:rsid w:val="00D27EB7"/>
    <w:rsid w:val="00D37ADF"/>
    <w:rsid w:val="00D40A20"/>
    <w:rsid w:val="00D47BC2"/>
    <w:rsid w:val="00D51588"/>
    <w:rsid w:val="00D53C28"/>
    <w:rsid w:val="00D562CF"/>
    <w:rsid w:val="00D7048A"/>
    <w:rsid w:val="00D706F7"/>
    <w:rsid w:val="00D81752"/>
    <w:rsid w:val="00D86222"/>
    <w:rsid w:val="00D93183"/>
    <w:rsid w:val="00D977E8"/>
    <w:rsid w:val="00DA402D"/>
    <w:rsid w:val="00DA600D"/>
    <w:rsid w:val="00DA6119"/>
    <w:rsid w:val="00DA6CAB"/>
    <w:rsid w:val="00DB05CE"/>
    <w:rsid w:val="00DB24F6"/>
    <w:rsid w:val="00DB4E01"/>
    <w:rsid w:val="00DC3285"/>
    <w:rsid w:val="00DC6C40"/>
    <w:rsid w:val="00DD114F"/>
    <w:rsid w:val="00DD189B"/>
    <w:rsid w:val="00DD59E7"/>
    <w:rsid w:val="00DD7F3E"/>
    <w:rsid w:val="00DE0F84"/>
    <w:rsid w:val="00DE1EE3"/>
    <w:rsid w:val="00DE2535"/>
    <w:rsid w:val="00DE45D1"/>
    <w:rsid w:val="00DF28D9"/>
    <w:rsid w:val="00DF72E9"/>
    <w:rsid w:val="00E014C3"/>
    <w:rsid w:val="00E01CF4"/>
    <w:rsid w:val="00E04BC0"/>
    <w:rsid w:val="00E06900"/>
    <w:rsid w:val="00E07926"/>
    <w:rsid w:val="00E12058"/>
    <w:rsid w:val="00E20928"/>
    <w:rsid w:val="00E25D8F"/>
    <w:rsid w:val="00E26A24"/>
    <w:rsid w:val="00E26DAD"/>
    <w:rsid w:val="00E3174A"/>
    <w:rsid w:val="00E33F1F"/>
    <w:rsid w:val="00E40C8E"/>
    <w:rsid w:val="00E41380"/>
    <w:rsid w:val="00E46E3C"/>
    <w:rsid w:val="00E507FF"/>
    <w:rsid w:val="00E5386A"/>
    <w:rsid w:val="00E60B3D"/>
    <w:rsid w:val="00E740F2"/>
    <w:rsid w:val="00E74634"/>
    <w:rsid w:val="00E7484E"/>
    <w:rsid w:val="00E838D5"/>
    <w:rsid w:val="00E8648F"/>
    <w:rsid w:val="00E90F02"/>
    <w:rsid w:val="00E9244B"/>
    <w:rsid w:val="00E94981"/>
    <w:rsid w:val="00EA0E56"/>
    <w:rsid w:val="00EB4742"/>
    <w:rsid w:val="00EB77AB"/>
    <w:rsid w:val="00EC796A"/>
    <w:rsid w:val="00ED3C8B"/>
    <w:rsid w:val="00F004DF"/>
    <w:rsid w:val="00F00713"/>
    <w:rsid w:val="00F01F2D"/>
    <w:rsid w:val="00F02BBD"/>
    <w:rsid w:val="00F04E70"/>
    <w:rsid w:val="00F0510A"/>
    <w:rsid w:val="00F052C5"/>
    <w:rsid w:val="00F10DAD"/>
    <w:rsid w:val="00F112AE"/>
    <w:rsid w:val="00F11CF3"/>
    <w:rsid w:val="00F23016"/>
    <w:rsid w:val="00F24887"/>
    <w:rsid w:val="00F2646C"/>
    <w:rsid w:val="00F3665A"/>
    <w:rsid w:val="00F42021"/>
    <w:rsid w:val="00F429F8"/>
    <w:rsid w:val="00F448A7"/>
    <w:rsid w:val="00F4519C"/>
    <w:rsid w:val="00F463BE"/>
    <w:rsid w:val="00F54CD2"/>
    <w:rsid w:val="00F5553D"/>
    <w:rsid w:val="00F55708"/>
    <w:rsid w:val="00F61B44"/>
    <w:rsid w:val="00F710C9"/>
    <w:rsid w:val="00F75355"/>
    <w:rsid w:val="00F76A38"/>
    <w:rsid w:val="00F77CF0"/>
    <w:rsid w:val="00F8495E"/>
    <w:rsid w:val="00F92B5E"/>
    <w:rsid w:val="00F94D11"/>
    <w:rsid w:val="00FA4E4F"/>
    <w:rsid w:val="00FB2E1B"/>
    <w:rsid w:val="00FB5116"/>
    <w:rsid w:val="00FB5E65"/>
    <w:rsid w:val="00FC15F7"/>
    <w:rsid w:val="00FC33D8"/>
    <w:rsid w:val="00FC4F28"/>
    <w:rsid w:val="00FC5EC2"/>
    <w:rsid w:val="00FD5363"/>
    <w:rsid w:val="00FE133A"/>
    <w:rsid w:val="00FE2A78"/>
    <w:rsid w:val="00FF019E"/>
    <w:rsid w:val="00FF5ABB"/>
    <w:rsid w:val="00FF768E"/>
    <w:rsid w:val="16771E6C"/>
    <w:rsid w:val="1F1C3038"/>
    <w:rsid w:val="48ED6FEB"/>
    <w:rsid w:val="4DEA04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3"/>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19">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4"/>
    <w:semiHidden/>
    <w:qFormat/>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29"/>
    <w:qFormat/>
    <w:uiPriority w:val="0"/>
    <w:rPr>
      <w:rFonts w:ascii="Times New Roman" w:hAnsi="Times New Roman" w:eastAsia="宋体" w:cs="Times New Roman"/>
      <w:kern w:val="0"/>
      <w:szCs w:val="24"/>
    </w:rPr>
  </w:style>
  <w:style w:type="paragraph" w:styleId="7">
    <w:name w:val="Body Text Indent"/>
    <w:basedOn w:val="1"/>
    <w:link w:val="28"/>
    <w:qFormat/>
    <w:uiPriority w:val="0"/>
    <w:pPr>
      <w:ind w:firstLine="555"/>
    </w:pPr>
    <w:rPr>
      <w:rFonts w:ascii="Times New Roman" w:hAnsi="Times New Roman" w:eastAsia="宋体" w:cs="Times New Roman"/>
      <w:kern w:val="0"/>
      <w:sz w:val="24"/>
      <w:szCs w:val="24"/>
    </w:rPr>
  </w:style>
  <w:style w:type="paragraph" w:styleId="8">
    <w:name w:val="Plain Text"/>
    <w:basedOn w:val="1"/>
    <w:link w:val="35"/>
    <w:qFormat/>
    <w:uiPriority w:val="0"/>
    <w:rPr>
      <w:rFonts w:ascii="宋体" w:hAnsi="Courier New" w:eastAsia="宋体" w:cs="Courier New"/>
      <w:sz w:val="24"/>
      <w:szCs w:val="21"/>
    </w:rPr>
  </w:style>
  <w:style w:type="paragraph" w:styleId="9">
    <w:name w:val="Body Text Indent 2"/>
    <w:basedOn w:val="1"/>
    <w:link w:val="27"/>
    <w:qFormat/>
    <w:uiPriority w:val="0"/>
    <w:pPr>
      <w:spacing w:line="540" w:lineRule="exact"/>
      <w:ind w:firstLine="630"/>
    </w:pPr>
    <w:rPr>
      <w:rFonts w:ascii="Times New Roman" w:hAnsi="Times New Roman" w:eastAsia="宋体" w:cs="Times New Roman"/>
      <w:kern w:val="0"/>
      <w:sz w:val="24"/>
      <w:szCs w:val="24"/>
    </w:rPr>
  </w:style>
  <w:style w:type="paragraph" w:styleId="10">
    <w:name w:val="Balloon Text"/>
    <w:basedOn w:val="1"/>
    <w:link w:val="36"/>
    <w:semiHidden/>
    <w:qFormat/>
    <w:uiPriority w:val="0"/>
    <w:rPr>
      <w:rFonts w:ascii="Times New Roman" w:hAnsi="Times New Roman" w:eastAsia="宋体" w:cs="Times New Roman"/>
      <w:kern w:val="0"/>
      <w:sz w:val="18"/>
      <w:szCs w:val="18"/>
    </w:rPr>
  </w:style>
  <w:style w:type="paragraph" w:styleId="11">
    <w:name w:val="footer"/>
    <w:basedOn w:val="1"/>
    <w:link w:val="25"/>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2">
    <w:name w:val="header"/>
    <w:basedOn w:val="1"/>
    <w:link w:val="24"/>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3">
    <w:name w:val="toc 1"/>
    <w:basedOn w:val="1"/>
    <w:next w:val="1"/>
    <w:qFormat/>
    <w:uiPriority w:val="39"/>
    <w:pPr>
      <w:tabs>
        <w:tab w:val="right" w:leader="dot" w:pos="8658"/>
      </w:tabs>
      <w:ind w:left="935" w:leftChars="400"/>
    </w:pPr>
    <w:rPr>
      <w:rFonts w:ascii="Times New Roman" w:hAnsi="Times New Roman" w:eastAsia="宋体" w:cs="Times New Roman"/>
      <w:kern w:val="0"/>
      <w:sz w:val="24"/>
      <w:szCs w:val="24"/>
    </w:rPr>
  </w:style>
  <w:style w:type="paragraph" w:styleId="14">
    <w:name w:val="Body Text 2"/>
    <w:basedOn w:val="1"/>
    <w:link w:val="30"/>
    <w:qFormat/>
    <w:uiPriority w:val="0"/>
    <w:pPr>
      <w:jc w:val="center"/>
    </w:pPr>
    <w:rPr>
      <w:rFonts w:ascii="Times New Roman" w:hAnsi="Times New Roman" w:eastAsia="宋体" w:cs="Times New Roman"/>
      <w:kern w:val="0"/>
      <w:szCs w:val="24"/>
    </w:rPr>
  </w:style>
  <w:style w:type="paragraph" w:styleId="15">
    <w:name w:val="Normal (Web)"/>
    <w:basedOn w:val="1"/>
    <w:unhideWhenUsed/>
    <w:qFormat/>
    <w:uiPriority w:val="99"/>
    <w:pPr>
      <w:spacing w:line="360" w:lineRule="auto"/>
    </w:pPr>
    <w:rPr>
      <w:rFonts w:ascii="Calibri" w:hAnsi="Calibri" w:eastAsia="宋体" w:cs="Times New Roman"/>
      <w:sz w:val="24"/>
      <w:szCs w:val="24"/>
    </w:rPr>
  </w:style>
  <w:style w:type="paragraph" w:styleId="16">
    <w:name w:val="index 1"/>
    <w:basedOn w:val="1"/>
    <w:next w:val="1"/>
    <w:semiHidden/>
    <w:qFormat/>
    <w:uiPriority w:val="0"/>
    <w:rPr>
      <w:rFonts w:ascii="Times New Roman" w:hAnsi="Times New Roman" w:eastAsia="宋体" w:cs="Times New Roman"/>
      <w:kern w:val="0"/>
      <w:sz w:val="24"/>
      <w:szCs w:val="24"/>
    </w:rPr>
  </w:style>
  <w:style w:type="table" w:styleId="18">
    <w:name w:val="Table Grid"/>
    <w:basedOn w:val="17"/>
    <w:qFormat/>
    <w:uiPriority w:val="0"/>
    <w:rPr>
      <w:rFonts w:ascii="Times New Roman" w:hAnsi="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page number"/>
    <w:basedOn w:val="19"/>
    <w:qFormat/>
    <w:uiPriority w:val="0"/>
    <w:rPr>
      <w:rFonts w:cs="Times New Roman"/>
    </w:rPr>
  </w:style>
  <w:style w:type="character" w:styleId="21">
    <w:name w:val="Hyperlink"/>
    <w:basedOn w:val="19"/>
    <w:qFormat/>
    <w:uiPriority w:val="99"/>
    <w:rPr>
      <w:rFonts w:cs="Times New Roman"/>
      <w:color w:val="0000FF"/>
      <w:u w:val="single"/>
    </w:rPr>
  </w:style>
  <w:style w:type="character" w:customStyle="1" w:styleId="22">
    <w:name w:val="标题 1 Char"/>
    <w:basedOn w:val="19"/>
    <w:link w:val="2"/>
    <w:qFormat/>
    <w:uiPriority w:val="0"/>
    <w:rPr>
      <w:rFonts w:ascii="Times New Roman" w:hAnsi="Times New Roman" w:eastAsia="宋体" w:cs="Times New Roman"/>
      <w:b/>
      <w:bCs/>
      <w:kern w:val="44"/>
      <w:sz w:val="44"/>
      <w:szCs w:val="44"/>
    </w:rPr>
  </w:style>
  <w:style w:type="character" w:customStyle="1" w:styleId="23">
    <w:name w:val="标题 2 Char"/>
    <w:basedOn w:val="19"/>
    <w:link w:val="3"/>
    <w:qFormat/>
    <w:uiPriority w:val="0"/>
    <w:rPr>
      <w:rFonts w:ascii="Arial" w:hAnsi="Arial" w:eastAsia="黑体" w:cs="Times New Roman"/>
      <w:b/>
      <w:kern w:val="0"/>
      <w:sz w:val="32"/>
      <w:szCs w:val="20"/>
    </w:rPr>
  </w:style>
  <w:style w:type="character" w:customStyle="1" w:styleId="24">
    <w:name w:val="页眉 Char"/>
    <w:basedOn w:val="19"/>
    <w:link w:val="12"/>
    <w:qFormat/>
    <w:uiPriority w:val="0"/>
    <w:rPr>
      <w:rFonts w:ascii="Times New Roman" w:hAnsi="Times New Roman" w:eastAsia="宋体" w:cs="Times New Roman"/>
      <w:kern w:val="0"/>
      <w:sz w:val="18"/>
      <w:szCs w:val="18"/>
    </w:rPr>
  </w:style>
  <w:style w:type="character" w:customStyle="1" w:styleId="25">
    <w:name w:val="页脚 Char"/>
    <w:basedOn w:val="19"/>
    <w:link w:val="11"/>
    <w:qFormat/>
    <w:uiPriority w:val="0"/>
    <w:rPr>
      <w:rFonts w:ascii="Times New Roman" w:hAnsi="Times New Roman" w:eastAsia="宋体" w:cs="Times New Roman"/>
      <w:kern w:val="0"/>
      <w:sz w:val="18"/>
      <w:szCs w:val="18"/>
    </w:rPr>
  </w:style>
  <w:style w:type="paragraph" w:customStyle="1" w:styleId="26">
    <w:name w:val="正文文字缩进"/>
    <w:qFormat/>
    <w:uiPriority w:val="0"/>
    <w:pPr>
      <w:spacing w:line="351" w:lineRule="atLeast"/>
      <w:ind w:firstLine="555"/>
      <w:textAlignment w:val="baseline"/>
    </w:pPr>
    <w:rPr>
      <w:rFonts w:ascii="Times New Roman" w:hAnsi="Times New Roman" w:eastAsia="宋体" w:cs="Times New Roman"/>
      <w:color w:val="000000"/>
      <w:sz w:val="28"/>
      <w:u w:color="000000"/>
      <w:lang w:val="en-US" w:eastAsia="zh-CN" w:bidi="ar-SA"/>
    </w:rPr>
  </w:style>
  <w:style w:type="character" w:customStyle="1" w:styleId="27">
    <w:name w:val="正文文本缩进 2 Char"/>
    <w:basedOn w:val="19"/>
    <w:link w:val="9"/>
    <w:qFormat/>
    <w:uiPriority w:val="0"/>
    <w:rPr>
      <w:rFonts w:ascii="Times New Roman" w:hAnsi="Times New Roman" w:eastAsia="宋体" w:cs="Times New Roman"/>
      <w:kern w:val="0"/>
      <w:sz w:val="24"/>
      <w:szCs w:val="24"/>
    </w:rPr>
  </w:style>
  <w:style w:type="character" w:customStyle="1" w:styleId="28">
    <w:name w:val="正文文本缩进 Char"/>
    <w:basedOn w:val="19"/>
    <w:link w:val="7"/>
    <w:qFormat/>
    <w:uiPriority w:val="0"/>
    <w:rPr>
      <w:rFonts w:ascii="Times New Roman" w:hAnsi="Times New Roman" w:eastAsia="宋体" w:cs="Times New Roman"/>
      <w:kern w:val="0"/>
      <w:sz w:val="24"/>
      <w:szCs w:val="24"/>
    </w:rPr>
  </w:style>
  <w:style w:type="character" w:customStyle="1" w:styleId="29">
    <w:name w:val="正文文本 Char"/>
    <w:basedOn w:val="19"/>
    <w:link w:val="6"/>
    <w:qFormat/>
    <w:uiPriority w:val="0"/>
    <w:rPr>
      <w:rFonts w:ascii="Times New Roman" w:hAnsi="Times New Roman" w:eastAsia="宋体" w:cs="Times New Roman"/>
      <w:kern w:val="0"/>
      <w:szCs w:val="24"/>
    </w:rPr>
  </w:style>
  <w:style w:type="character" w:customStyle="1" w:styleId="30">
    <w:name w:val="正文文本 2 Char"/>
    <w:basedOn w:val="19"/>
    <w:link w:val="14"/>
    <w:qFormat/>
    <w:uiPriority w:val="0"/>
    <w:rPr>
      <w:rFonts w:ascii="Times New Roman" w:hAnsi="Times New Roman" w:eastAsia="宋体" w:cs="Times New Roman"/>
      <w:kern w:val="0"/>
      <w:szCs w:val="24"/>
    </w:rPr>
  </w:style>
  <w:style w:type="paragraph" w:customStyle="1" w:styleId="31">
    <w:name w:val="样式1"/>
    <w:basedOn w:val="2"/>
    <w:qFormat/>
    <w:uiPriority w:val="0"/>
    <w:pPr>
      <w:spacing w:line="640" w:lineRule="exact"/>
      <w:jc w:val="center"/>
    </w:pPr>
    <w:rPr>
      <w:rFonts w:ascii="方正小标宋简体" w:hAnsi="华文中宋" w:eastAsia="方正小标宋简体"/>
      <w:b w:val="0"/>
    </w:rPr>
  </w:style>
  <w:style w:type="paragraph" w:customStyle="1" w:styleId="32">
    <w:name w:val="样式2"/>
    <w:basedOn w:val="2"/>
    <w:qFormat/>
    <w:uiPriority w:val="0"/>
    <w:pPr>
      <w:spacing w:line="640" w:lineRule="exact"/>
      <w:jc w:val="center"/>
    </w:pPr>
    <w:rPr>
      <w:rFonts w:ascii="方正小标宋简体" w:hAnsi="华文中宋" w:eastAsia="方正小标宋简体"/>
      <w:b w:val="0"/>
    </w:rPr>
  </w:style>
  <w:style w:type="paragraph" w:customStyle="1" w:styleId="33">
    <w:name w:val="样式3"/>
    <w:basedOn w:val="2"/>
    <w:qFormat/>
    <w:uiPriority w:val="0"/>
    <w:pPr>
      <w:spacing w:line="640" w:lineRule="exact"/>
      <w:jc w:val="center"/>
    </w:pPr>
    <w:rPr>
      <w:rFonts w:ascii="方正小标宋简体" w:hAnsi="华文中宋" w:eastAsia="方正小标宋简体"/>
      <w:b w:val="0"/>
    </w:rPr>
  </w:style>
  <w:style w:type="character" w:customStyle="1" w:styleId="34">
    <w:name w:val="文档结构图 Char"/>
    <w:basedOn w:val="19"/>
    <w:link w:val="5"/>
    <w:semiHidden/>
    <w:qFormat/>
    <w:uiPriority w:val="0"/>
    <w:rPr>
      <w:rFonts w:ascii="Times New Roman" w:hAnsi="Times New Roman" w:eastAsia="宋体" w:cs="Times New Roman"/>
      <w:kern w:val="0"/>
      <w:sz w:val="24"/>
      <w:szCs w:val="24"/>
      <w:shd w:val="clear" w:color="auto" w:fill="000080"/>
    </w:rPr>
  </w:style>
  <w:style w:type="character" w:customStyle="1" w:styleId="35">
    <w:name w:val="纯文本 Char"/>
    <w:basedOn w:val="19"/>
    <w:link w:val="8"/>
    <w:qFormat/>
    <w:uiPriority w:val="0"/>
    <w:rPr>
      <w:rFonts w:ascii="宋体" w:hAnsi="Courier New" w:eastAsia="宋体" w:cs="Courier New"/>
      <w:sz w:val="24"/>
      <w:szCs w:val="21"/>
    </w:rPr>
  </w:style>
  <w:style w:type="character" w:customStyle="1" w:styleId="36">
    <w:name w:val="批注框文本 Char"/>
    <w:basedOn w:val="19"/>
    <w:link w:val="10"/>
    <w:semiHidden/>
    <w:qFormat/>
    <w:uiPriority w:val="0"/>
    <w:rPr>
      <w:rFonts w:ascii="Times New Roman" w:hAnsi="Times New Roman" w:eastAsia="宋体" w:cs="Times New Roman"/>
      <w:kern w:val="0"/>
      <w:sz w:val="18"/>
      <w:szCs w:val="18"/>
    </w:rPr>
  </w:style>
  <w:style w:type="paragraph" w:customStyle="1" w:styleId="37">
    <w:name w:val="列出段落1"/>
    <w:basedOn w:val="1"/>
    <w:link w:val="41"/>
    <w:qFormat/>
    <w:uiPriority w:val="99"/>
    <w:pPr>
      <w:widowControl/>
      <w:ind w:left="720" w:firstLine="360"/>
      <w:jc w:val="left"/>
    </w:pPr>
    <w:rPr>
      <w:rFonts w:ascii="Calibri" w:hAnsi="Calibri" w:eastAsia="宋体" w:cs="Times New Roman"/>
      <w:kern w:val="0"/>
      <w:sz w:val="22"/>
      <w:szCs w:val="20"/>
      <w:lang w:eastAsia="en-US"/>
    </w:rPr>
  </w:style>
  <w:style w:type="paragraph" w:customStyle="1" w:styleId="38">
    <w:name w:val="1111111199999"/>
    <w:basedOn w:val="1"/>
    <w:link w:val="39"/>
    <w:qFormat/>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39">
    <w:name w:val="1111111199999 Char"/>
    <w:link w:val="38"/>
    <w:qFormat/>
    <w:locked/>
    <w:uiPriority w:val="0"/>
    <w:rPr>
      <w:rFonts w:ascii="Times New Roman" w:hAnsi="Times New Roman" w:eastAsia="宋体" w:cs="Times New Roman"/>
      <w:kern w:val="0"/>
      <w:szCs w:val="20"/>
    </w:rPr>
  </w:style>
  <w:style w:type="character" w:customStyle="1" w:styleId="40">
    <w:name w:val="apple-style-span"/>
    <w:qFormat/>
    <w:uiPriority w:val="0"/>
  </w:style>
  <w:style w:type="character" w:customStyle="1" w:styleId="41">
    <w:name w:val="List Paragraph Char"/>
    <w:link w:val="37"/>
    <w:qFormat/>
    <w:locked/>
    <w:uiPriority w:val="0"/>
    <w:rPr>
      <w:rFonts w:ascii="Calibri" w:hAnsi="Calibri" w:eastAsia="宋体" w:cs="Times New Roman"/>
      <w:kern w:val="0"/>
      <w:sz w:val="22"/>
      <w:szCs w:val="20"/>
      <w:lang w:eastAsia="en-US"/>
    </w:rPr>
  </w:style>
  <w:style w:type="paragraph" w:customStyle="1" w:styleId="42">
    <w:name w:val="Char Char Char Char"/>
    <w:basedOn w:val="1"/>
    <w:qFormat/>
    <w:uiPriority w:val="0"/>
    <w:rPr>
      <w:rFonts w:ascii="Times New Roman" w:hAnsi="Times New Roman" w:eastAsia="宋体" w:cs="Times New Roman"/>
      <w:sz w:val="24"/>
      <w:szCs w:val="36"/>
    </w:rPr>
  </w:style>
  <w:style w:type="character" w:customStyle="1" w:styleId="43">
    <w:name w:val="Char Char4"/>
    <w:qFormat/>
    <w:locked/>
    <w:uiPriority w:val="0"/>
    <w:rPr>
      <w:rFonts w:ascii="宋体" w:hAnsi="Courier New" w:eastAsia="宋体"/>
      <w:kern w:val="2"/>
      <w:sz w:val="21"/>
      <w:lang w:bidi="ar-SA"/>
    </w:rPr>
  </w:style>
  <w:style w:type="character" w:customStyle="1" w:styleId="44">
    <w:name w:val="样式 (中文) 仿宋_GB2312 三号"/>
    <w:basedOn w:val="19"/>
    <w:qFormat/>
    <w:uiPriority w:val="0"/>
    <w:rPr>
      <w:rFonts w:hint="eastAsia" w:ascii="仿宋_GB2312" w:eastAsia="仿宋_GB2312"/>
      <w:sz w:val="32"/>
    </w:rPr>
  </w:style>
  <w:style w:type="character" w:customStyle="1" w:styleId="45">
    <w:name w:val="Char Char3"/>
    <w:basedOn w:val="19"/>
    <w:qFormat/>
    <w:locked/>
    <w:uiPriority w:val="0"/>
    <w:rPr>
      <w:rFonts w:ascii="宋体" w:hAnsi="宋体" w:eastAsia="宋体"/>
      <w:sz w:val="18"/>
      <w:szCs w:val="18"/>
      <w:lang w:val="en-US" w:eastAsia="zh-CN" w:bidi="ar-SA"/>
    </w:rPr>
  </w:style>
  <w:style w:type="paragraph" w:styleId="46">
    <w:name w:val="List Paragraph"/>
    <w:basedOn w:val="1"/>
    <w:qFormat/>
    <w:uiPriority w:val="34"/>
    <w:pPr>
      <w:ind w:firstLine="420" w:firstLineChars="200"/>
    </w:pPr>
    <w:rPr>
      <w:rFonts w:ascii="等线" w:hAnsi="等线" w:eastAsia="等线" w:cs="Times New Roman"/>
    </w:rPr>
  </w:style>
  <w:style w:type="paragraph" w:customStyle="1" w:styleId="47">
    <w:name w:val="msolistparagraph"/>
    <w:qFormat/>
    <w:uiPriority w:val="0"/>
    <w:pPr>
      <w:widowControl w:val="0"/>
      <w:ind w:firstLine="420" w:firstLineChars="20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6F99AF-F1A9-4530-A564-C18AF01B64F1}">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53</Pages>
  <Words>23258</Words>
  <Characters>4548</Characters>
  <Lines>37</Lines>
  <Paragraphs>55</Paragraphs>
  <TotalTime>1</TotalTime>
  <ScaleCrop>false</ScaleCrop>
  <LinksUpToDate>false</LinksUpToDate>
  <CharactersWithSpaces>27751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2021-02-08T11:03:00Z</dcterms:created>
  <dc:creator>Administrator</dc:creator>
  <cp:lastModifiedBy>150----7325</cp:lastModifiedBy>
  <cp:lastPrinted>2020-10-12T06:44:00Z</cp:lastPrinted>
  <dcterms:modified xsi:type="dcterms:W3CDTF">2021-02-20T03:31:37Z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