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SZ学科建设</w:t>
      </w:r>
      <w:r>
        <w:rPr>
          <w:rFonts w:hint="eastAsia" w:ascii="宋体" w:hAnsi="宋体" w:eastAsia="宋体" w:cs="Times New Roman"/>
          <w:kern w:val="0"/>
          <w:sz w:val="36"/>
          <w:szCs w:val="36"/>
          <w:u w:val="single"/>
          <w:lang w:eastAsia="zh-CN"/>
        </w:rPr>
        <w:t>设备</w:t>
      </w:r>
      <w:r>
        <w:rPr>
          <w:rFonts w:hint="eastAsia" w:ascii="宋体" w:hAnsi="宋体" w:eastAsia="宋体" w:cs="Times New Roman"/>
          <w:kern w:val="0"/>
          <w:sz w:val="36"/>
          <w:szCs w:val="36"/>
          <w:u w:val="single"/>
        </w:rPr>
        <w:t xml:space="preserve">（5）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2020-XNYY-YQ-</w:t>
      </w:r>
      <w:r>
        <w:rPr>
          <w:rFonts w:hint="eastAsia" w:ascii="宋体" w:hAnsi="宋体" w:eastAsia="宋体" w:cs="Times New Roman"/>
          <w:kern w:val="0"/>
          <w:sz w:val="36"/>
          <w:szCs w:val="36"/>
          <w:u w:val="single"/>
        </w:rPr>
        <w:t xml:space="preserve">150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13</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39</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bookmarkStart w:id="25" w:name="_GoBack"/>
      <w:r>
        <w:rPr>
          <w:rFonts w:hint="eastAsia" w:ascii="Tahoma" w:hAnsi="Tahoma" w:cs="Tahoma"/>
          <w:b/>
          <w:bCs/>
          <w:kern w:val="0"/>
          <w:sz w:val="28"/>
          <w:szCs w:val="28"/>
        </w:rPr>
        <w:t>关于多光谱脑功能区检测系统的采购</w:t>
      </w:r>
      <w:r>
        <w:rPr>
          <w:rFonts w:ascii="Tahoma" w:hAnsi="Tahoma" w:cs="Tahoma"/>
          <w:b/>
          <w:bCs/>
          <w:kern w:val="0"/>
          <w:sz w:val="28"/>
          <w:szCs w:val="28"/>
        </w:rPr>
        <w:t>公告</w:t>
      </w:r>
      <w:r>
        <w:rPr>
          <w:rFonts w:ascii="Tahoma" w:hAnsi="Tahoma" w:cs="Tahoma"/>
          <w:kern w:val="0"/>
          <w:sz w:val="28"/>
          <w:szCs w:val="28"/>
        </w:rPr>
        <w:t>20</w:t>
      </w:r>
      <w:r>
        <w:rPr>
          <w:rFonts w:hint="eastAsia" w:ascii="Tahoma" w:hAnsi="Tahoma" w:cs="Tahoma"/>
          <w:kern w:val="0"/>
          <w:sz w:val="28"/>
          <w:szCs w:val="28"/>
        </w:rPr>
        <w:t>20</w:t>
      </w:r>
      <w:r>
        <w:rPr>
          <w:rFonts w:ascii="Tahoma" w:hAnsi="Tahoma" w:cs="Tahoma"/>
          <w:kern w:val="0"/>
          <w:sz w:val="28"/>
          <w:szCs w:val="28"/>
        </w:rPr>
        <w:t>-XNYY-YQ-</w:t>
      </w:r>
      <w:r>
        <w:rPr>
          <w:rFonts w:hint="eastAsia" w:ascii="Tahoma" w:hAnsi="Tahoma" w:cs="Tahoma"/>
          <w:kern w:val="0"/>
          <w:sz w:val="28"/>
          <w:szCs w:val="28"/>
        </w:rPr>
        <w:t>150</w:t>
      </w:r>
      <w:r>
        <w:rPr>
          <w:rFonts w:hint="eastAsia" w:ascii="Tahoma" w:hAnsi="Tahoma" w:cs="Tahoma"/>
          <w:kern w:val="0"/>
          <w:sz w:val="28"/>
          <w:szCs w:val="28"/>
          <w:lang w:eastAsia="zh-CN"/>
        </w:rPr>
        <w:t>（第二次）</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SZ学科建设</w:t>
      </w:r>
      <w:r>
        <w:rPr>
          <w:rFonts w:hint="eastAsia" w:cs="Times New Roman" w:asciiTheme="minorEastAsia" w:hAnsiTheme="minorEastAsia"/>
          <w:b/>
          <w:kern w:val="0"/>
          <w:sz w:val="24"/>
          <w:szCs w:val="24"/>
          <w:lang w:eastAsia="zh-CN"/>
        </w:rPr>
        <w:t>设备</w:t>
      </w:r>
      <w:r>
        <w:rPr>
          <w:rFonts w:hint="eastAsia" w:cs="Times New Roman" w:asciiTheme="minorEastAsia" w:hAnsiTheme="minorEastAsia"/>
          <w:b/>
          <w:kern w:val="0"/>
          <w:sz w:val="24"/>
          <w:szCs w:val="24"/>
        </w:rPr>
        <w:t>（5）</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项目编号：2020-XNYY-YQ-</w:t>
      </w:r>
      <w:r>
        <w:rPr>
          <w:rFonts w:hint="eastAsia" w:cs="Times New Roman" w:asciiTheme="minorEastAsia" w:hAnsiTheme="minorEastAsia"/>
          <w:b/>
          <w:kern w:val="0"/>
          <w:sz w:val="24"/>
          <w:szCs w:val="24"/>
        </w:rPr>
        <w:t>150</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98"/>
        <w:gridCol w:w="709"/>
        <w:gridCol w:w="1119"/>
        <w:gridCol w:w="756"/>
        <w:gridCol w:w="756"/>
        <w:gridCol w:w="1169"/>
        <w:gridCol w:w="1219"/>
        <w:gridCol w:w="989"/>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序号</w:t>
            </w:r>
          </w:p>
        </w:tc>
        <w:tc>
          <w:tcPr>
            <w:tcW w:w="10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1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kern w:val="0"/>
                <w:szCs w:val="21"/>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9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多光谱脑功能区检测系统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1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批</w:t>
            </w:r>
          </w:p>
        </w:tc>
        <w:tc>
          <w:tcPr>
            <w:tcW w:w="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2</w:t>
            </w:r>
          </w:p>
        </w:tc>
        <w:tc>
          <w:tcPr>
            <w:tcW w:w="11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40</w:t>
            </w: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80</w:t>
            </w:r>
          </w:p>
        </w:tc>
        <w:tc>
          <w:tcPr>
            <w:tcW w:w="9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85"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hint="eastAsia" w:cs="Times New Roman" w:asciiTheme="minorEastAsia" w:hAnsiTheme="minorEastAsia"/>
                <w:kern w:val="0"/>
                <w:szCs w:val="21"/>
              </w:rPr>
            </w:pPr>
            <w:r>
              <w:rPr>
                <w:rFonts w:hint="eastAsia" w:cs="Times New Roman" w:asciiTheme="minorEastAsia" w:hAnsiTheme="minorEastAsia"/>
                <w:kern w:val="0"/>
                <w:szCs w:val="21"/>
              </w:rPr>
              <w:t>2.</w:t>
            </w:r>
            <w:r>
              <w:rPr>
                <w:rFonts w:hint="eastAsia" w:ascii="宋体" w:hAnsi="宋体"/>
              </w:rPr>
              <w:t xml:space="preserve"> 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5</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xml:space="preserve"> 月 </w:t>
      </w:r>
      <w:r>
        <w:rPr>
          <w:rFonts w:hint="eastAsia" w:cs="Times New Roman" w:asciiTheme="minorEastAsia" w:hAnsiTheme="minorEastAsia"/>
          <w:kern w:val="0"/>
          <w:sz w:val="24"/>
          <w:szCs w:val="24"/>
          <w:lang w:val="en-US" w:eastAsia="zh-CN"/>
        </w:rPr>
        <w:t>7</w:t>
      </w:r>
      <w:r>
        <w:rPr>
          <w:rFonts w:hint="eastAsia" w:cs="Times New Roman" w:asciiTheme="minorEastAsia" w:hAnsiTheme="minorEastAsia"/>
          <w:kern w:val="0"/>
          <w:sz w:val="24"/>
          <w:szCs w:val="24"/>
        </w:rPr>
        <w:t xml:space="preserve"> 日</w:t>
      </w:r>
      <w:bookmarkEnd w:id="25"/>
    </w:p>
    <w:p>
      <w:pPr>
        <w:rPr>
          <w:rFonts w:hint="eastAsia" w:ascii="黑体" w:hAnsi="黑体" w:eastAsia="黑体"/>
          <w:kern w:val="0"/>
          <w:sz w:val="32"/>
          <w:szCs w:val="32"/>
          <w:lang w:val="zh-CN"/>
        </w:rPr>
      </w:pPr>
      <w:bookmarkStart w:id="4" w:name="_Toc37172688"/>
      <w:bookmarkStart w:id="5" w:name="_Toc285612594"/>
      <w:bookmarkStart w:id="6" w:name="_Toc435540979"/>
      <w:bookmarkStart w:id="7" w:name="_Toc390713967"/>
      <w:r>
        <w:rPr>
          <w:rFonts w:hint="eastAsia" w:ascii="黑体" w:hAnsi="黑体" w:eastAsia="黑体"/>
          <w:kern w:val="0"/>
          <w:sz w:val="32"/>
          <w:szCs w:val="32"/>
          <w:lang w:val="zh-CN"/>
        </w:rPr>
        <w:br w:type="page"/>
      </w:r>
    </w:p>
    <w:p>
      <w:pPr>
        <w:pStyle w:val="2"/>
        <w:adjustRightInd w:val="0"/>
        <w:snapToGrid w:val="0"/>
        <w:spacing w:line="440" w:lineRule="exact"/>
        <w:jc w:val="center"/>
        <w:rPr>
          <w:rFonts w:ascii="黑体" w:hAnsi="黑体" w:eastAsia="黑体"/>
          <w:kern w:val="0"/>
          <w:sz w:val="32"/>
          <w:szCs w:val="32"/>
          <w:lang w:val="zh-CN"/>
        </w:rPr>
      </w:pPr>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bookmarkEnd w:id="8"/>
    <w:tbl>
      <w:tblPr>
        <w:tblStyle w:val="17"/>
        <w:tblW w:w="4862" w:type="pct"/>
        <w:jc w:val="center"/>
        <w:tblLayout w:type="autofit"/>
        <w:tblCellMar>
          <w:top w:w="0" w:type="dxa"/>
          <w:left w:w="108" w:type="dxa"/>
          <w:bottom w:w="0" w:type="dxa"/>
          <w:right w:w="108" w:type="dxa"/>
        </w:tblCellMar>
      </w:tblPr>
      <w:tblGrid>
        <w:gridCol w:w="851"/>
        <w:gridCol w:w="2483"/>
        <w:gridCol w:w="1060"/>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48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483"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多光谱脑功能区检测系统</w:t>
            </w:r>
          </w:p>
        </w:tc>
        <w:tc>
          <w:tcPr>
            <w:tcW w:w="1060"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批</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2</w:t>
            </w:r>
          </w:p>
        </w:tc>
      </w:tr>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cs="宋体" w:asciiTheme="minorEastAsia" w:hAnsiTheme="minorEastAsia"/>
          <w:bCs/>
          <w:color w:val="000000"/>
          <w:kern w:val="0"/>
          <w:sz w:val="32"/>
          <w:szCs w:val="32"/>
        </w:rPr>
        <w:t>多光谱脑功能区检测系统</w:t>
      </w:r>
      <w:r>
        <w:rPr>
          <w:rFonts w:hint="eastAsia" w:ascii="宋体" w:hAnsi="宋体" w:eastAsia="宋体" w:cs="宋体"/>
          <w:bCs/>
          <w:kern w:val="0"/>
          <w:sz w:val="32"/>
          <w:szCs w:val="32"/>
        </w:rPr>
        <w:t>技术要求</w:t>
      </w:r>
    </w:p>
    <w:tbl>
      <w:tblPr>
        <w:tblStyle w:val="17"/>
        <w:tblW w:w="9087" w:type="dxa"/>
        <w:jc w:val="center"/>
        <w:tblLayout w:type="fixed"/>
        <w:tblCellMar>
          <w:top w:w="0" w:type="dxa"/>
          <w:left w:w="108" w:type="dxa"/>
          <w:bottom w:w="0" w:type="dxa"/>
          <w:right w:w="108" w:type="dxa"/>
        </w:tblCellMar>
      </w:tblPr>
      <w:tblGrid>
        <w:gridCol w:w="892"/>
        <w:gridCol w:w="2349"/>
        <w:gridCol w:w="4313"/>
        <w:gridCol w:w="1533"/>
      </w:tblGrid>
      <w:tr>
        <w:tblPrEx>
          <w:tblCellMar>
            <w:top w:w="0" w:type="dxa"/>
            <w:left w:w="108" w:type="dxa"/>
            <w:bottom w:w="0" w:type="dxa"/>
            <w:right w:w="108" w:type="dxa"/>
          </w:tblCellMar>
        </w:tblPrEx>
        <w:trPr>
          <w:trHeight w:val="824" w:hRule="atLeast"/>
          <w:jc w:val="center"/>
        </w:trPr>
        <w:tc>
          <w:tcPr>
            <w:tcW w:w="892"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2349"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技术和性能参数名称</w:t>
            </w:r>
          </w:p>
        </w:tc>
        <w:tc>
          <w:tcPr>
            <w:tcW w:w="4313"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技术参数和性能要求</w:t>
            </w:r>
          </w:p>
        </w:tc>
        <w:tc>
          <w:tcPr>
            <w:tcW w:w="1533" w:type="dxa"/>
            <w:tcBorders>
              <w:top w:val="single" w:color="auto" w:sz="8" w:space="0"/>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备注</w:t>
            </w:r>
          </w:p>
        </w:tc>
      </w:tr>
      <w:tr>
        <w:tblPrEx>
          <w:tblCellMar>
            <w:top w:w="0" w:type="dxa"/>
            <w:left w:w="108" w:type="dxa"/>
            <w:bottom w:w="0" w:type="dxa"/>
            <w:right w:w="108" w:type="dxa"/>
          </w:tblCellMar>
        </w:tblPrEx>
        <w:trPr>
          <w:trHeight w:val="844"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1</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设备使用需求</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脑科学基础与临床研究</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　</w:t>
            </w:r>
          </w:p>
        </w:tc>
      </w:tr>
      <w:tr>
        <w:tblPrEx>
          <w:tblCellMar>
            <w:top w:w="0" w:type="dxa"/>
            <w:left w:w="108" w:type="dxa"/>
            <w:bottom w:w="0" w:type="dxa"/>
            <w:right w:w="108" w:type="dxa"/>
          </w:tblCellMar>
        </w:tblPrEx>
        <w:trPr>
          <w:trHeight w:val="1038"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设备用途</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脑功能区定位</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13" w:hRule="atLeast"/>
          <w:jc w:val="center"/>
        </w:trPr>
        <w:tc>
          <w:tcPr>
            <w:tcW w:w="892"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1.2</w:t>
            </w:r>
          </w:p>
        </w:tc>
        <w:tc>
          <w:tcPr>
            <w:tcW w:w="2349"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实验对象</w:t>
            </w:r>
          </w:p>
        </w:tc>
        <w:tc>
          <w:tcPr>
            <w:tcW w:w="4313"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spacing w:line="360" w:lineRule="atLeas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大动物、人</w:t>
            </w:r>
          </w:p>
        </w:tc>
        <w:tc>
          <w:tcPr>
            <w:tcW w:w="1533"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99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2</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主要技术参数</w:t>
            </w:r>
            <w:r>
              <w:rPr>
                <w:rFonts w:hint="eastAsia" w:cs="宋体" w:asciiTheme="minorEastAsia" w:hAnsiTheme="minorEastAsia"/>
                <w:b/>
                <w:bCs/>
                <w:color w:val="000000"/>
                <w:kern w:val="0"/>
                <w:szCs w:val="21"/>
              </w:rPr>
              <w:br w:type="textWrapping"/>
            </w:r>
            <w:r>
              <w:rPr>
                <w:rFonts w:hint="eastAsia" w:cs="宋体" w:asciiTheme="minorEastAsia" w:hAnsiTheme="minorEastAsia"/>
                <w:b/>
                <w:bCs/>
                <w:color w:val="000000"/>
                <w:kern w:val="0"/>
                <w:szCs w:val="21"/>
              </w:rPr>
              <w:t>（一行只写一个参数）</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cs="宋体" w:asciiTheme="minorEastAsia" w:hAnsiTheme="minorEastAsia"/>
                <w:color w:val="000000"/>
                <w:kern w:val="0"/>
                <w:szCs w:val="21"/>
              </w:rPr>
            </w:pP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332"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2.1</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★参数</w:t>
            </w:r>
            <w:r>
              <w:rPr>
                <w:rFonts w:cs="宋体" w:asciiTheme="minorEastAsia" w:hAnsiTheme="minorEastAsia"/>
                <w:color w:val="000000"/>
                <w:kern w:val="0"/>
                <w:szCs w:val="21"/>
              </w:rPr>
              <w:t>1</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 xml:space="preserve">高灵敏度相机：黑白 </w:t>
            </w:r>
            <w:r>
              <w:rPr>
                <w:rFonts w:asciiTheme="minorEastAsia" w:hAnsiTheme="minorEastAsia" w:eastAsiaTheme="minorEastAsia"/>
                <w:szCs w:val="21"/>
              </w:rPr>
              <w:t>CCD</w:t>
            </w:r>
            <w:r>
              <w:rPr>
                <w:rFonts w:hint="eastAsia" w:asciiTheme="minorEastAsia" w:hAnsiTheme="minorEastAsia" w:eastAsiaTheme="minorEastAsia"/>
                <w:szCs w:val="21"/>
              </w:rPr>
              <w:t>物理像素≥40</w:t>
            </w:r>
            <w:r>
              <w:rPr>
                <w:rFonts w:asciiTheme="minorEastAsia" w:hAnsiTheme="minorEastAsia" w:eastAsiaTheme="minorEastAsia"/>
                <w:szCs w:val="21"/>
              </w:rPr>
              <w:t>0</w:t>
            </w:r>
            <w:r>
              <w:rPr>
                <w:rFonts w:hint="eastAsia" w:asciiTheme="minorEastAsia" w:hAnsiTheme="minorEastAsia" w:eastAsiaTheme="minorEastAsia"/>
                <w:szCs w:val="21"/>
              </w:rPr>
              <w:t>万,</w:t>
            </w:r>
            <w:r>
              <w:rPr>
                <w:rFonts w:asciiTheme="minorEastAsia" w:hAnsiTheme="minorEastAsia" w:eastAsiaTheme="minorEastAsia"/>
                <w:szCs w:val="21"/>
              </w:rPr>
              <w:t>S</w:t>
            </w:r>
            <w:r>
              <w:rPr>
                <w:rFonts w:hint="eastAsia" w:asciiTheme="minorEastAsia" w:hAnsiTheme="minorEastAsia" w:eastAsiaTheme="minorEastAsia"/>
                <w:szCs w:val="21"/>
              </w:rPr>
              <w:t>ensor</w:t>
            </w:r>
            <w:r>
              <w:rPr>
                <w:rFonts w:asciiTheme="minorEastAsia" w:hAnsiTheme="minorEastAsia" w:eastAsiaTheme="minorEastAsia"/>
                <w:szCs w:val="21"/>
              </w:rPr>
              <w:t xml:space="preserve"> S</w:t>
            </w:r>
            <w:r>
              <w:rPr>
                <w:rFonts w:hint="eastAsia" w:asciiTheme="minorEastAsia" w:hAnsiTheme="minorEastAsia" w:eastAsiaTheme="minorEastAsia"/>
                <w:szCs w:val="21"/>
              </w:rPr>
              <w:t>ize：≥</w:t>
            </w:r>
            <w:r>
              <w:rPr>
                <w:rFonts w:asciiTheme="minorEastAsia" w:hAnsiTheme="minorEastAsia" w:eastAsiaTheme="minorEastAsia"/>
                <w:szCs w:val="21"/>
              </w:rPr>
              <w:t>4/3”</w:t>
            </w:r>
            <w:r>
              <w:rPr>
                <w:rFonts w:hint="eastAsia" w:asciiTheme="minorEastAsia" w:hAnsiTheme="minorEastAsia" w:eastAsiaTheme="minorEastAsia"/>
                <w:szCs w:val="21"/>
              </w:rPr>
              <w:t>;</w:t>
            </w:r>
            <w:r>
              <w:rPr>
                <w:rFonts w:asciiTheme="minorEastAsia" w:hAnsiTheme="minorEastAsia" w:eastAsiaTheme="minorEastAsia"/>
                <w:szCs w:val="21"/>
              </w:rPr>
              <w:t>AD</w:t>
            </w:r>
            <w:r>
              <w:rPr>
                <w:rFonts w:hint="eastAsia" w:asciiTheme="minorEastAsia" w:hAnsiTheme="minorEastAsia" w:eastAsiaTheme="minorEastAsia"/>
                <w:szCs w:val="21"/>
              </w:rPr>
              <w:t>≥</w:t>
            </w:r>
            <w:r>
              <w:rPr>
                <w:rFonts w:asciiTheme="minorEastAsia" w:hAnsiTheme="minorEastAsia" w:eastAsiaTheme="minorEastAsia"/>
                <w:szCs w:val="21"/>
              </w:rPr>
              <w:t>14-bit,QE</w:t>
            </w:r>
            <w:r>
              <w:rPr>
                <w:rFonts w:hint="eastAsia" w:asciiTheme="minorEastAsia" w:hAnsiTheme="minorEastAsia" w:eastAsiaTheme="minorEastAsia"/>
                <w:szCs w:val="21"/>
              </w:rPr>
              <w:t>：≥55%@450nm；运行环境温度：</w:t>
            </w:r>
            <w:r>
              <w:rPr>
                <w:rFonts w:asciiTheme="minorEastAsia" w:hAnsiTheme="minorEastAsia" w:eastAsiaTheme="minorEastAsia"/>
                <w:szCs w:val="21"/>
              </w:rPr>
              <w:t xml:space="preserve">-40°C </w:t>
            </w:r>
            <w:r>
              <w:rPr>
                <w:rFonts w:hint="eastAsia" w:asciiTheme="minorEastAsia" w:hAnsiTheme="minorEastAsia" w:eastAsiaTheme="minorEastAsia"/>
                <w:szCs w:val="21"/>
              </w:rPr>
              <w:t>到</w:t>
            </w:r>
            <w:r>
              <w:rPr>
                <w:rFonts w:asciiTheme="minorEastAsia" w:hAnsiTheme="minorEastAsia" w:eastAsiaTheme="minorEastAsia"/>
                <w:szCs w:val="21"/>
              </w:rPr>
              <w:t xml:space="preserve"> +85°C,MTBF &gt;660000h</w:t>
            </w:r>
            <w:r>
              <w:rPr>
                <w:rFonts w:hint="eastAsia" w:asciiTheme="minorEastAsia" w:hAnsiTheme="minorEastAsia" w:eastAsiaTheme="minorEastAsia"/>
                <w:szCs w:val="21"/>
              </w:rPr>
              <w:t>，数据接口U</w:t>
            </w:r>
            <w:r>
              <w:rPr>
                <w:rFonts w:asciiTheme="minorEastAsia" w:hAnsiTheme="minorEastAsia" w:eastAsiaTheme="minorEastAsia"/>
                <w:szCs w:val="21"/>
              </w:rPr>
              <w:t>SB3.0</w:t>
            </w:r>
            <w:r>
              <w:rPr>
                <w:rFonts w:hint="eastAsia" w:asciiTheme="minorEastAsia" w:hAnsiTheme="minorEastAsia" w:eastAsiaTheme="minorEastAsia"/>
                <w:szCs w:val="21"/>
              </w:rPr>
              <w:t>或者GigE以上接口。</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332"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.2</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★参数2</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图像配准功能; 确保在拍摄对象头部轻微晃动状态下，准确配准拍摄对象的同一功能区</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332"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.3</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bookmarkStart w:id="9" w:name="_Hlk536390667"/>
            <w:r>
              <w:rPr>
                <w:rFonts w:hint="eastAsia" w:cs="宋体" w:asciiTheme="minorEastAsia" w:hAnsiTheme="minorEastAsia"/>
                <w:color w:val="000000"/>
                <w:kern w:val="0"/>
                <w:szCs w:val="21"/>
              </w:rPr>
              <w:t>★参数</w:t>
            </w:r>
            <w:bookmarkEnd w:id="9"/>
            <w:r>
              <w:rPr>
                <w:rFonts w:hint="eastAsia" w:cs="宋体" w:asciiTheme="minorEastAsia" w:hAnsiTheme="minorEastAsia"/>
                <w:color w:val="000000"/>
                <w:kern w:val="0"/>
                <w:szCs w:val="21"/>
              </w:rPr>
              <w:t>3</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远心偏正分光系统：可见光通过该系统，平分成波长分别为540nm和620nm两路，分光系统整体透射率≥45%，W</w:t>
            </w:r>
            <w:r>
              <w:rPr>
                <w:rFonts w:asciiTheme="minorEastAsia" w:hAnsiTheme="minorEastAsia" w:eastAsiaTheme="minorEastAsia"/>
                <w:szCs w:val="21"/>
              </w:rPr>
              <w:t>D</w:t>
            </w:r>
            <w:r>
              <w:rPr>
                <w:rFonts w:hint="eastAsia" w:asciiTheme="minorEastAsia" w:hAnsiTheme="minorEastAsia" w:eastAsiaTheme="minorEastAsia"/>
                <w:szCs w:val="21"/>
              </w:rPr>
              <w:t>：260mm，D</w:t>
            </w:r>
            <w:r>
              <w:rPr>
                <w:rFonts w:asciiTheme="minorEastAsia" w:hAnsiTheme="minorEastAsia" w:eastAsiaTheme="minorEastAsia"/>
                <w:szCs w:val="21"/>
              </w:rPr>
              <w:t>OF:</w:t>
            </w:r>
            <w:r>
              <w:rPr>
                <w:rFonts w:hint="eastAsia" w:asciiTheme="minorEastAsia" w:hAnsiTheme="minorEastAsia" w:eastAsiaTheme="minorEastAsia"/>
                <w:szCs w:val="21"/>
              </w:rPr>
              <w:t xml:space="preserve"> ≥1mm，配置放大倍率分别为0.27</w:t>
            </w:r>
            <w:r>
              <w:rPr>
                <w:rFonts w:asciiTheme="minorEastAsia" w:hAnsiTheme="minorEastAsia" w:eastAsiaTheme="minorEastAsia"/>
                <w:szCs w:val="21"/>
              </w:rPr>
              <w:t>X</w:t>
            </w:r>
            <w:r>
              <w:rPr>
                <w:rFonts w:hint="eastAsia" w:asciiTheme="minorEastAsia" w:hAnsiTheme="minorEastAsia" w:eastAsiaTheme="minorEastAsia"/>
                <w:szCs w:val="21"/>
              </w:rPr>
              <w:t>和0.38</w:t>
            </w:r>
            <w:r>
              <w:rPr>
                <w:rFonts w:asciiTheme="minorEastAsia" w:hAnsiTheme="minorEastAsia" w:eastAsiaTheme="minorEastAsia"/>
                <w:szCs w:val="21"/>
              </w:rPr>
              <w:t>X</w:t>
            </w:r>
            <w:r>
              <w:rPr>
                <w:rFonts w:hint="eastAsia" w:asciiTheme="minorEastAsia" w:hAnsiTheme="minorEastAsia" w:eastAsiaTheme="minorEastAsia"/>
                <w:szCs w:val="21"/>
              </w:rPr>
              <w:t>的两款高分辨率光学镜头，偏正态可调。</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332"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.4</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★参数4</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双谱段偏振光源：（540nm和620nm）， 均匀性≥，照射范围：200mm*200mm，单个谱段可以数字程序可调，调整范围为0-255</w:t>
            </w:r>
            <w:r>
              <w:rPr>
                <w:rFonts w:asciiTheme="minorEastAsia" w:hAnsiTheme="minorEastAsia" w:eastAsiaTheme="minorEastAsia"/>
                <w:szCs w:val="21"/>
              </w:rPr>
              <w:t>.</w:t>
            </w:r>
            <w:r>
              <w:rPr>
                <w:rFonts w:hint="eastAsia" w:asciiTheme="minorEastAsia" w:hAnsiTheme="minorEastAsia" w:eastAsiaTheme="minorEastAsia"/>
                <w:szCs w:val="21"/>
              </w:rPr>
              <w:t>使用寿命大于60000小时。</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332"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.5</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★参数5</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光学系统集成装置：全部光学系统放置在集成装置内，安装维护便捷，体积小巧、整套光学系统最大重量不能超过10kg，并通过合理设计与吊塔旋臂进行连接。</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9"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6</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参数6</w:t>
            </w:r>
          </w:p>
        </w:tc>
        <w:tc>
          <w:tcPr>
            <w:tcW w:w="4313"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Theme="minorEastAsia" w:hAnsiTheme="minorEastAsia"/>
                <w:szCs w:val="21"/>
              </w:rPr>
            </w:pPr>
            <w:r>
              <w:rPr>
                <w:rFonts w:hint="eastAsia" w:asciiTheme="minorEastAsia" w:hAnsiTheme="minorEastAsia"/>
                <w:szCs w:val="21"/>
              </w:rPr>
              <w:t>相机参数实现调节系统指令控制</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332"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.7</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参数7</w:t>
            </w:r>
          </w:p>
        </w:tc>
        <w:tc>
          <w:tcPr>
            <w:tcW w:w="4313"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Theme="minorEastAsia" w:hAnsiTheme="minorEastAsia"/>
                <w:szCs w:val="21"/>
              </w:rPr>
            </w:pPr>
            <w:r>
              <w:rPr>
                <w:rFonts w:hint="eastAsia" w:asciiTheme="minorEastAsia" w:hAnsiTheme="minorEastAsia"/>
                <w:szCs w:val="21"/>
              </w:rPr>
              <w:t>双相机图像采集系统：基于相机驱动和同步信号发生器，确保同时采集，两张图像间隔小于10us。</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94"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8</w:t>
            </w:r>
          </w:p>
        </w:tc>
        <w:tc>
          <w:tcPr>
            <w:tcW w:w="2349" w:type="dxa"/>
            <w:tcBorders>
              <w:top w:val="nil"/>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color w:val="000000"/>
                <w:szCs w:val="21"/>
              </w:rPr>
            </w:pPr>
            <w:r>
              <w:rPr>
                <w:rFonts w:hint="eastAsia" w:cs="宋体" w:asciiTheme="minorEastAsia" w:hAnsiTheme="minorEastAsia"/>
                <w:color w:val="000000"/>
                <w:kern w:val="0"/>
                <w:szCs w:val="21"/>
              </w:rPr>
              <w:t>参数8</w:t>
            </w:r>
          </w:p>
        </w:tc>
        <w:tc>
          <w:tcPr>
            <w:tcW w:w="4313"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Theme="minorEastAsia" w:hAnsiTheme="minorEastAsia"/>
                <w:szCs w:val="21"/>
              </w:rPr>
            </w:pPr>
            <w:r>
              <w:rPr>
                <w:rFonts w:hint="eastAsia" w:asciiTheme="minorEastAsia" w:hAnsiTheme="minorEastAsia"/>
                <w:szCs w:val="21"/>
              </w:rPr>
              <w:t>双相机图像显示系统：实时显示当前采集图像</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58"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Theme="minorEastAsia" w:hAnsiTheme="minorEastAsia"/>
                <w:szCs w:val="21"/>
              </w:rPr>
            </w:pPr>
            <w:r>
              <w:rPr>
                <w:rFonts w:hint="eastAsia" w:asciiTheme="minorEastAsia" w:hAnsiTheme="minorEastAsia"/>
                <w:szCs w:val="21"/>
              </w:rPr>
              <w:t>2</w:t>
            </w:r>
            <w:r>
              <w:rPr>
                <w:rFonts w:hint="eastAsia" w:cs="宋体" w:asciiTheme="minorEastAsia" w:hAnsiTheme="minorEastAsia"/>
                <w:color w:val="000000"/>
                <w:kern w:val="0"/>
                <w:szCs w:val="21"/>
              </w:rPr>
              <w:t>.</w:t>
            </w:r>
            <w:r>
              <w:rPr>
                <w:rFonts w:cs="宋体" w:asciiTheme="minorEastAsia" w:hAnsiTheme="minorEastAsia"/>
                <w:color w:val="000000"/>
                <w:kern w:val="0"/>
                <w:szCs w:val="21"/>
              </w:rPr>
              <w:t>9</w:t>
            </w:r>
          </w:p>
        </w:tc>
        <w:tc>
          <w:tcPr>
            <w:tcW w:w="2349" w:type="dxa"/>
            <w:tcBorders>
              <w:top w:val="nil"/>
              <w:left w:val="nil"/>
              <w:bottom w:val="single" w:color="auto" w:sz="4" w:space="0"/>
              <w:right w:val="single" w:color="auto" w:sz="4" w:space="0"/>
            </w:tcBorders>
            <w:vAlign w:val="center"/>
          </w:tcPr>
          <w:p>
            <w:pPr>
              <w:adjustRightInd w:val="0"/>
              <w:snapToGrid w:val="0"/>
              <w:spacing w:line="360" w:lineRule="atLeast"/>
              <w:jc w:val="center"/>
              <w:rPr>
                <w:rFonts w:hint="eastAsia" w:asciiTheme="minorEastAsia" w:hAnsiTheme="minorEastAsia" w:eastAsiaTheme="minorEastAsia"/>
                <w:szCs w:val="21"/>
                <w:lang w:eastAsia="zh-CN"/>
              </w:rPr>
            </w:pPr>
            <w:r>
              <w:rPr>
                <w:rFonts w:hint="eastAsia" w:asciiTheme="minorEastAsia" w:hAnsiTheme="minorEastAsia"/>
                <w:szCs w:val="21"/>
              </w:rPr>
              <w:t>参数</w:t>
            </w:r>
            <w:r>
              <w:rPr>
                <w:rFonts w:hint="eastAsia" w:asciiTheme="minorEastAsia" w:hAnsiTheme="minorEastAsia"/>
                <w:szCs w:val="21"/>
                <w:lang w:val="en-US" w:eastAsia="zh-CN"/>
              </w:rPr>
              <w:t>9</w:t>
            </w:r>
          </w:p>
        </w:tc>
        <w:tc>
          <w:tcPr>
            <w:tcW w:w="4313"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Theme="minorEastAsia" w:hAnsiTheme="minorEastAsia"/>
                <w:szCs w:val="21"/>
              </w:rPr>
            </w:pPr>
            <w:r>
              <w:rPr>
                <w:rFonts w:hint="eastAsia" w:asciiTheme="minorEastAsia" w:hAnsiTheme="minorEastAsia"/>
                <w:szCs w:val="21"/>
              </w:rPr>
              <w:t>光源亮度调节系统：通过软件对光源控制器进行控制，可以分别调节多个通道光源的亮度</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Theme="minorEastAsia" w:hAnsiTheme="minorEastAsia"/>
                <w:color w:val="000000"/>
                <w:szCs w:val="21"/>
              </w:rPr>
            </w:pPr>
          </w:p>
        </w:tc>
      </w:tr>
      <w:tr>
        <w:tblPrEx>
          <w:tblCellMar>
            <w:top w:w="0" w:type="dxa"/>
            <w:left w:w="108" w:type="dxa"/>
            <w:bottom w:w="0" w:type="dxa"/>
            <w:right w:w="108" w:type="dxa"/>
          </w:tblCellMar>
        </w:tblPrEx>
        <w:trPr>
          <w:trHeight w:val="798"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10</w:t>
            </w:r>
          </w:p>
        </w:tc>
        <w:tc>
          <w:tcPr>
            <w:tcW w:w="2349" w:type="dxa"/>
            <w:tcBorders>
              <w:top w:val="nil"/>
              <w:left w:val="nil"/>
              <w:bottom w:val="single" w:color="auto" w:sz="4" w:space="0"/>
              <w:right w:val="single" w:color="auto" w:sz="4" w:space="0"/>
            </w:tcBorders>
            <w:vAlign w:val="center"/>
          </w:tcPr>
          <w:p>
            <w:pPr>
              <w:adjustRightInd w:val="0"/>
              <w:snapToGrid w:val="0"/>
              <w:spacing w:line="360" w:lineRule="atLeast"/>
              <w:jc w:val="center"/>
              <w:rPr>
                <w:rFonts w:hint="default" w:asciiTheme="minorEastAsia" w:hAnsiTheme="minorEastAsia" w:eastAsiaTheme="minorEastAsia"/>
                <w:color w:val="000000"/>
                <w:szCs w:val="21"/>
                <w:lang w:val="en-US" w:eastAsia="zh-CN"/>
              </w:rPr>
            </w:pPr>
            <w:r>
              <w:rPr>
                <w:rFonts w:hint="eastAsia" w:cs="宋体" w:asciiTheme="minorEastAsia" w:hAnsiTheme="minorEastAsia"/>
                <w:color w:val="000000"/>
                <w:kern w:val="0"/>
                <w:szCs w:val="21"/>
              </w:rPr>
              <w:t>参数</w:t>
            </w:r>
            <w:r>
              <w:rPr>
                <w:rFonts w:hint="eastAsia" w:cs="宋体" w:asciiTheme="minorEastAsia" w:hAnsiTheme="minorEastAsia"/>
                <w:color w:val="000000"/>
                <w:kern w:val="0"/>
                <w:szCs w:val="21"/>
                <w:lang w:val="en-US" w:eastAsia="zh-CN"/>
              </w:rPr>
              <w:t>10</w:t>
            </w:r>
          </w:p>
        </w:tc>
        <w:tc>
          <w:tcPr>
            <w:tcW w:w="4313"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Theme="minorEastAsia" w:hAnsiTheme="minorEastAsia"/>
                <w:szCs w:val="21"/>
              </w:rPr>
            </w:pPr>
            <w:r>
              <w:rPr>
                <w:rFonts w:hint="eastAsia" w:asciiTheme="minorEastAsia" w:hAnsiTheme="minorEastAsia"/>
                <w:szCs w:val="21"/>
              </w:rPr>
              <w:t>三轴落地吊塔旋臂：旋转范围≥200°，升降高度≥500mm，整体高度≤1500mm。</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rPr>
                <w:rFonts w:asciiTheme="minorEastAsia" w:hAnsiTheme="minorEastAsia"/>
                <w:color w:val="000000"/>
                <w:szCs w:val="21"/>
              </w:rPr>
            </w:pPr>
          </w:p>
        </w:tc>
      </w:tr>
      <w:tr>
        <w:tblPrEx>
          <w:tblCellMar>
            <w:top w:w="0" w:type="dxa"/>
            <w:left w:w="108" w:type="dxa"/>
            <w:bottom w:w="0" w:type="dxa"/>
            <w:right w:w="108" w:type="dxa"/>
          </w:tblCellMar>
        </w:tblPrEx>
        <w:trPr>
          <w:trHeight w:val="993"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11</w:t>
            </w:r>
          </w:p>
        </w:tc>
        <w:tc>
          <w:tcPr>
            <w:tcW w:w="2349" w:type="dxa"/>
            <w:tcBorders>
              <w:top w:val="nil"/>
              <w:left w:val="nil"/>
              <w:bottom w:val="single" w:color="auto" w:sz="4" w:space="0"/>
              <w:right w:val="single" w:color="auto" w:sz="4" w:space="0"/>
            </w:tcBorders>
            <w:vAlign w:val="center"/>
          </w:tcPr>
          <w:p>
            <w:pPr>
              <w:adjustRightInd w:val="0"/>
              <w:snapToGrid w:val="0"/>
              <w:spacing w:line="360" w:lineRule="atLeast"/>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rPr>
              <w:t>参数1</w:t>
            </w:r>
            <w:r>
              <w:rPr>
                <w:rFonts w:hint="eastAsia" w:cs="宋体" w:asciiTheme="minorEastAsia" w:hAnsiTheme="minorEastAsia"/>
                <w:color w:val="000000"/>
                <w:kern w:val="0"/>
                <w:szCs w:val="21"/>
                <w:lang w:val="en-US" w:eastAsia="zh-CN"/>
              </w:rPr>
              <w:t>1</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设备系统总成：设备整体机械设计和电气设计符合相应医疗器械标准。</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rPr>
                <w:rFonts w:asciiTheme="minorEastAsia" w:hAnsiTheme="minorEastAsia"/>
                <w:color w:val="000000"/>
                <w:szCs w:val="21"/>
              </w:rPr>
            </w:pPr>
          </w:p>
        </w:tc>
      </w:tr>
      <w:tr>
        <w:tblPrEx>
          <w:tblCellMar>
            <w:top w:w="0" w:type="dxa"/>
            <w:left w:w="108" w:type="dxa"/>
            <w:bottom w:w="0" w:type="dxa"/>
            <w:right w:w="108" w:type="dxa"/>
          </w:tblCellMar>
        </w:tblPrEx>
        <w:trPr>
          <w:trHeight w:val="796"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12</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rPr>
              <w:t>参数1</w:t>
            </w:r>
            <w:r>
              <w:rPr>
                <w:rFonts w:hint="eastAsia" w:cs="宋体" w:asciiTheme="minorEastAsia" w:hAnsiTheme="minorEastAsia"/>
                <w:color w:val="000000"/>
                <w:kern w:val="0"/>
                <w:szCs w:val="21"/>
                <w:lang w:val="en-US" w:eastAsia="zh-CN"/>
              </w:rPr>
              <w:t>2</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智能图像分析处理单元： 整体性能优于Core</w:t>
            </w:r>
            <w:r>
              <w:rPr>
                <w:rFonts w:asciiTheme="minorEastAsia" w:hAnsiTheme="minorEastAsia"/>
                <w:szCs w:val="21"/>
              </w:rPr>
              <w:t xml:space="preserve"> i7-8700,32G DDR4 2400 RAM;256GB SATA SSD;2.5寸</w:t>
            </w:r>
            <w:r>
              <w:rPr>
                <w:rFonts w:hint="eastAsia" w:asciiTheme="minorEastAsia" w:hAnsiTheme="minorEastAsia"/>
                <w:szCs w:val="21"/>
              </w:rPr>
              <w:t xml:space="preserve"> </w:t>
            </w:r>
            <w:r>
              <w:rPr>
                <w:rFonts w:asciiTheme="minorEastAsia" w:hAnsiTheme="minorEastAsia"/>
                <w:szCs w:val="21"/>
              </w:rPr>
              <w:t>1TB HDD,2080Ti GPU C</w:t>
            </w:r>
            <w:r>
              <w:rPr>
                <w:rFonts w:hint="eastAsia" w:asciiTheme="minorEastAsia" w:hAnsiTheme="minorEastAsia"/>
                <w:szCs w:val="21"/>
              </w:rPr>
              <w:t>a</w:t>
            </w:r>
            <w:r>
              <w:rPr>
                <w:rFonts w:asciiTheme="minorEastAsia" w:hAnsiTheme="minorEastAsia"/>
                <w:szCs w:val="21"/>
              </w:rPr>
              <w:t>rd,6 GigE</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96"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.13</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参数1</w:t>
            </w:r>
            <w:r>
              <w:rPr>
                <w:rFonts w:cs="宋体" w:asciiTheme="minorEastAsia" w:hAnsiTheme="minorEastAsia"/>
                <w:color w:val="000000"/>
                <w:kern w:val="0"/>
                <w:szCs w:val="21"/>
              </w:rPr>
              <w:t>3</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脑功能区活跃程度智能判定：利用深度学习，对实时图像进行分析。给出拍摄对象的不同区域的活跃程度系数。</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96"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.14</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参数1</w:t>
            </w:r>
            <w:r>
              <w:rPr>
                <w:rFonts w:cs="宋体" w:asciiTheme="minorEastAsia" w:hAnsiTheme="minorEastAsia"/>
                <w:color w:val="000000"/>
                <w:kern w:val="0"/>
                <w:szCs w:val="21"/>
              </w:rPr>
              <w:t>4</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动态伪彩色显示功能：通过不同色彩和颜色深度，区分拍摄对象的不同区域的活跃程度，并实时显示和存储</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96"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15</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参数 </w:t>
            </w:r>
            <w:r>
              <w:rPr>
                <w:rFonts w:cs="宋体" w:asciiTheme="minorEastAsia" w:hAnsiTheme="minorEastAsia"/>
                <w:color w:val="000000"/>
                <w:kern w:val="0"/>
                <w:szCs w:val="21"/>
              </w:rPr>
              <w:t>15</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外置深度学习模块</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81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3</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配置需求</w:t>
            </w:r>
            <w:r>
              <w:rPr>
                <w:rFonts w:hint="eastAsia" w:cs="宋体" w:asciiTheme="minorEastAsia" w:hAnsiTheme="minorEastAsia"/>
                <w:b/>
                <w:bCs/>
                <w:color w:val="000000"/>
                <w:kern w:val="0"/>
                <w:szCs w:val="21"/>
              </w:rPr>
              <w:br w:type="textWrapping"/>
            </w:r>
            <w:r>
              <w:rPr>
                <w:rFonts w:hint="eastAsia" w:cs="宋体" w:asciiTheme="minorEastAsia" w:hAnsiTheme="minorEastAsia"/>
                <w:b/>
                <w:bCs/>
                <w:color w:val="000000"/>
                <w:kern w:val="0"/>
                <w:szCs w:val="21"/>
              </w:rPr>
              <w:t>（一行只写一个配置）</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23"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3.1</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配置1</w:t>
            </w:r>
          </w:p>
        </w:tc>
        <w:tc>
          <w:tcPr>
            <w:tcW w:w="4313"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Theme="minorEastAsia" w:hAnsiTheme="minorEastAsia"/>
                <w:szCs w:val="21"/>
              </w:rPr>
            </w:pPr>
            <w:r>
              <w:rPr>
                <w:rFonts w:hint="eastAsia" w:asciiTheme="minorEastAsia" w:hAnsiTheme="minorEastAsia"/>
                <w:szCs w:val="21"/>
              </w:rPr>
              <w:t xml:space="preserve">高灵敏度相机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2</w:t>
            </w:r>
            <w:r>
              <w:rPr>
                <w:rFonts w:hint="eastAsia" w:asciiTheme="minorEastAsia" w:hAnsiTheme="minorEastAsia"/>
                <w:szCs w:val="21"/>
              </w:rPr>
              <w:t>套</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17"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3.2</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配置2</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 xml:space="preserve">远心偏正分光系统 </w:t>
            </w:r>
            <w:r>
              <w:rPr>
                <w:rFonts w:asciiTheme="minorEastAsia" w:hAnsiTheme="minorEastAsia" w:eastAsiaTheme="minorEastAsia"/>
                <w:szCs w:val="21"/>
              </w:rPr>
              <w:t xml:space="preserve">       </w:t>
            </w:r>
            <w:r>
              <w:rPr>
                <w:rFonts w:hint="eastAsia" w:asciiTheme="minorEastAsia" w:hAnsiTheme="minorEastAsia" w:eastAsiaTheme="minorEastAsia"/>
                <w:szCs w:val="21"/>
              </w:rPr>
              <w:t>1套</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06"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3.3 </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Theme="minorEastAsia" w:hAnsiTheme="minorEastAsia"/>
                <w:bCs/>
                <w:color w:val="000000"/>
                <w:szCs w:val="21"/>
              </w:rPr>
            </w:pPr>
            <w:r>
              <w:rPr>
                <w:rFonts w:hint="eastAsia" w:asciiTheme="minorEastAsia" w:hAnsiTheme="minorEastAsia"/>
                <w:bCs/>
                <w:color w:val="000000"/>
                <w:szCs w:val="21"/>
              </w:rPr>
              <w:t>配置3</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 xml:space="preserve">双谱段偏振光源 </w:t>
            </w:r>
            <w:r>
              <w:rPr>
                <w:rFonts w:asciiTheme="minorEastAsia" w:hAnsiTheme="minorEastAsia" w:eastAsiaTheme="minorEastAsia"/>
                <w:szCs w:val="21"/>
              </w:rPr>
              <w:t xml:space="preserve">         </w:t>
            </w:r>
            <w:r>
              <w:rPr>
                <w:rFonts w:hint="eastAsia" w:asciiTheme="minorEastAsia" w:hAnsiTheme="minorEastAsia" w:eastAsiaTheme="minorEastAsia"/>
                <w:szCs w:val="21"/>
              </w:rPr>
              <w:t>1套</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06"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3.4</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Theme="minorEastAsia" w:hAnsiTheme="minorEastAsia"/>
                <w:bCs/>
                <w:color w:val="000000"/>
                <w:szCs w:val="21"/>
              </w:rPr>
            </w:pPr>
            <w:r>
              <w:rPr>
                <w:rFonts w:hint="eastAsia" w:asciiTheme="minorEastAsia" w:hAnsiTheme="minorEastAsia"/>
                <w:bCs/>
                <w:color w:val="000000"/>
                <w:szCs w:val="21"/>
              </w:rPr>
              <w:t>配置4</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 xml:space="preserve">三轴落地吊塔旋臂 </w:t>
            </w:r>
            <w:r>
              <w:rPr>
                <w:rFonts w:asciiTheme="minorEastAsia" w:hAnsiTheme="minorEastAsia" w:eastAsiaTheme="minorEastAsia"/>
                <w:szCs w:val="21"/>
              </w:rPr>
              <w:t xml:space="preserve">       </w:t>
            </w:r>
            <w:r>
              <w:rPr>
                <w:rFonts w:hint="eastAsia" w:asciiTheme="minorEastAsia" w:hAnsiTheme="minorEastAsia" w:eastAsiaTheme="minorEastAsia"/>
                <w:szCs w:val="21"/>
              </w:rPr>
              <w:t>1套</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06"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r>
              <w:rPr>
                <w:rFonts w:cs="宋体" w:asciiTheme="minorEastAsia" w:hAnsiTheme="minorEastAsia"/>
                <w:color w:val="000000"/>
                <w:kern w:val="0"/>
                <w:szCs w:val="21"/>
              </w:rPr>
              <w:t>.5</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Theme="minorEastAsia" w:hAnsiTheme="minorEastAsia"/>
                <w:bCs/>
                <w:color w:val="000000"/>
                <w:szCs w:val="21"/>
              </w:rPr>
            </w:pPr>
            <w:r>
              <w:rPr>
                <w:rFonts w:hint="eastAsia" w:asciiTheme="minorEastAsia" w:hAnsiTheme="minorEastAsia"/>
                <w:bCs/>
                <w:color w:val="000000"/>
                <w:szCs w:val="21"/>
              </w:rPr>
              <w:t>配置5</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 xml:space="preserve">系统集成 </w:t>
            </w:r>
            <w:r>
              <w:rPr>
                <w:rFonts w:asciiTheme="minorEastAsia" w:hAnsiTheme="minorEastAsia" w:eastAsiaTheme="minorEastAsia"/>
                <w:szCs w:val="21"/>
              </w:rPr>
              <w:t xml:space="preserve">               </w:t>
            </w:r>
            <w:r>
              <w:rPr>
                <w:rFonts w:hint="eastAsia" w:asciiTheme="minorEastAsia" w:hAnsiTheme="minorEastAsia" w:eastAsiaTheme="minorEastAsia"/>
                <w:szCs w:val="21"/>
              </w:rPr>
              <w:t>1套</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06"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r>
              <w:rPr>
                <w:rFonts w:cs="宋体" w:asciiTheme="minorEastAsia" w:hAnsiTheme="minorEastAsia"/>
                <w:color w:val="000000"/>
                <w:kern w:val="0"/>
                <w:szCs w:val="21"/>
              </w:rPr>
              <w:t>.6</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Theme="minorEastAsia" w:hAnsiTheme="minorEastAsia"/>
                <w:bCs/>
                <w:color w:val="000000"/>
                <w:szCs w:val="21"/>
              </w:rPr>
            </w:pPr>
            <w:r>
              <w:rPr>
                <w:rFonts w:hint="eastAsia" w:asciiTheme="minorEastAsia" w:hAnsiTheme="minorEastAsia"/>
                <w:bCs/>
                <w:color w:val="000000"/>
                <w:szCs w:val="21"/>
              </w:rPr>
              <w:t>配置6</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 xml:space="preserve">智能图像分析处理单元 </w:t>
            </w:r>
            <w:r>
              <w:rPr>
                <w:rFonts w:asciiTheme="minorEastAsia" w:hAnsiTheme="minorEastAsia" w:eastAsiaTheme="minorEastAsia"/>
                <w:szCs w:val="21"/>
              </w:rPr>
              <w:t xml:space="preserve">   </w:t>
            </w:r>
            <w:r>
              <w:rPr>
                <w:rFonts w:hint="eastAsia" w:asciiTheme="minorEastAsia" w:hAnsiTheme="minorEastAsia" w:eastAsiaTheme="minorEastAsia"/>
                <w:szCs w:val="21"/>
              </w:rPr>
              <w:t>1套</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06"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3.7</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Theme="minorEastAsia" w:hAnsiTheme="minorEastAsia"/>
                <w:bCs/>
                <w:color w:val="000000"/>
                <w:szCs w:val="21"/>
              </w:rPr>
            </w:pPr>
            <w:r>
              <w:rPr>
                <w:rFonts w:hint="eastAsia" w:asciiTheme="minorEastAsia" w:hAnsiTheme="minorEastAsia"/>
                <w:bCs/>
                <w:color w:val="000000"/>
                <w:szCs w:val="21"/>
              </w:rPr>
              <w:t>配置7</w:t>
            </w:r>
          </w:p>
        </w:tc>
        <w:tc>
          <w:tcPr>
            <w:tcW w:w="4313" w:type="dxa"/>
            <w:tcBorders>
              <w:top w:val="nil"/>
              <w:left w:val="nil"/>
              <w:bottom w:val="single" w:color="auto" w:sz="4" w:space="0"/>
              <w:right w:val="single" w:color="auto" w:sz="4" w:space="0"/>
            </w:tcBorders>
            <w:vAlign w:val="center"/>
          </w:tcPr>
          <w:p>
            <w:pPr>
              <w:pStyle w:val="46"/>
              <w:adjustRightInd w:val="0"/>
              <w:snapToGrid w:val="0"/>
              <w:spacing w:line="360" w:lineRule="atLeas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外置深度学习模块</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75"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4</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售后服务</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　</w:t>
            </w:r>
          </w:p>
        </w:tc>
      </w:tr>
      <w:tr>
        <w:tblPrEx>
          <w:tblCellMar>
            <w:top w:w="0" w:type="dxa"/>
            <w:left w:w="108" w:type="dxa"/>
            <w:bottom w:w="0" w:type="dxa"/>
            <w:right w:w="108" w:type="dxa"/>
          </w:tblCellMar>
        </w:tblPrEx>
        <w:trPr>
          <w:trHeight w:val="692"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4.1</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保修年限</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≥3年</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889"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4.2</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出现故障回应时间</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维修到达现场时间≤ 6小时（本地）</w:t>
            </w:r>
            <w:r>
              <w:rPr>
                <w:rFonts w:hint="eastAsia" w:asciiTheme="minorEastAsia" w:hAnsiTheme="minorEastAsia"/>
                <w:szCs w:val="21"/>
              </w:rPr>
              <w:br w:type="textWrapping"/>
            </w:r>
            <w:r>
              <w:rPr>
                <w:rFonts w:hint="eastAsia" w:asciiTheme="minorEastAsia" w:hAnsiTheme="minorEastAsia"/>
                <w:szCs w:val="21"/>
              </w:rPr>
              <w:t>维修到达现场时间≤24小时（外地）</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4.3</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维修支持</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配件供应时间≥10年</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4.4</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耗材及零配件</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提供耗材及主要零配件目录（含报价）</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4.5</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维修资料</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提供详细操作手册、维修保养手册、安装手册等</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4.6</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维修工具</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提供维修专用工具1套</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4.7</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保修期内提供定期维护保养服务</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4.8</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维修密码支持</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开放</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4.9</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升级</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终身免费软件升级</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4.10</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使用培训</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支持</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92"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4.11</w:t>
            </w:r>
          </w:p>
        </w:tc>
        <w:tc>
          <w:tcPr>
            <w:tcW w:w="2349"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工程师培训</w:t>
            </w:r>
          </w:p>
        </w:tc>
        <w:tc>
          <w:tcPr>
            <w:tcW w:w="4313"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Theme="minorEastAsia" w:hAnsiTheme="minorEastAsia"/>
                <w:szCs w:val="21"/>
              </w:rPr>
            </w:pPr>
            <w:r>
              <w:rPr>
                <w:rFonts w:hint="eastAsia" w:asciiTheme="minorEastAsia" w:hAnsiTheme="minorEastAsia"/>
                <w:szCs w:val="21"/>
              </w:rPr>
              <w:t>支持</w:t>
            </w:r>
          </w:p>
        </w:tc>
        <w:tc>
          <w:tcPr>
            <w:tcW w:w="1533"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3" w:type="default"/>
          <w:footerReference r:id="rId4"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10" w:name="_Toc285612601"/>
      <w:bookmarkStart w:id="11" w:name="_Toc37172689"/>
      <w:bookmarkStart w:id="12" w:name="_Toc390713968"/>
      <w:bookmarkStart w:id="13" w:name="_Toc435540980"/>
      <w:bookmarkStart w:id="14"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10"/>
      <w:bookmarkEnd w:id="11"/>
      <w:bookmarkEnd w:id="12"/>
      <w:bookmarkEnd w:id="13"/>
      <w:bookmarkEnd w:id="14"/>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(9)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r>
              <w:rPr>
                <w:rFonts w:hint="eastAsia" w:cs="Times New Roman" w:asciiTheme="minorEastAsia" w:hAnsiTheme="minorEastAsia"/>
                <w:kern w:val="0"/>
                <w:sz w:val="21"/>
                <w:szCs w:val="21"/>
                <w:lang w:val="en-US" w:eastAsia="zh-CN"/>
              </w:rPr>
              <w:t>7</w:t>
            </w:r>
            <w:r>
              <w:rPr>
                <w:rFonts w:hint="eastAsia" w:cs="Times New Roman" w:asciiTheme="minorEastAsia" w:hAnsiTheme="minorEastAsia" w:eastAsiaTheme="minorEastAsia"/>
                <w:kern w:val="0"/>
                <w:sz w:val="21"/>
                <w:szCs w:val="21"/>
              </w:rPr>
              <w:t>分）</w:t>
            </w:r>
          </w:p>
        </w:tc>
        <w:tc>
          <w:tcPr>
            <w:tcW w:w="6946" w:type="dxa"/>
            <w:noWrap/>
            <w:vAlign w:val="to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to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to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to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to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to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top"/>
          </w:tcPr>
          <w:p>
            <w:pPr>
              <w:spacing w:line="440" w:lineRule="exact"/>
              <w:rPr>
                <w:rFonts w:hint="eastAsia"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tabs>
                <w:tab w:val="left" w:pos="2613"/>
              </w:tabs>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 xml:space="preserve">★高灵敏度相机：黑白 </w:t>
            </w:r>
            <w:r>
              <w:rPr>
                <w:rFonts w:cs="Times New Roman" w:asciiTheme="minorEastAsia" w:hAnsiTheme="minorEastAsia" w:eastAsiaTheme="minorEastAsia"/>
                <w:kern w:val="0"/>
                <w:sz w:val="21"/>
                <w:szCs w:val="21"/>
              </w:rPr>
              <w:t>CCD</w:t>
            </w:r>
            <w:r>
              <w:rPr>
                <w:rFonts w:hint="eastAsia" w:cs="Times New Roman" w:asciiTheme="minorEastAsia" w:hAnsiTheme="minorEastAsia" w:eastAsiaTheme="minorEastAsia"/>
                <w:kern w:val="0"/>
                <w:sz w:val="21"/>
                <w:szCs w:val="21"/>
              </w:rPr>
              <w:t>物理像素≥40</w:t>
            </w:r>
            <w:r>
              <w:rPr>
                <w:rFonts w:cs="Times New Roman" w:asciiTheme="minorEastAsia" w:hAnsiTheme="minorEastAsia" w:eastAsiaTheme="minorEastAsia"/>
                <w:kern w:val="0"/>
                <w:sz w:val="21"/>
                <w:szCs w:val="21"/>
              </w:rPr>
              <w:t>0</w:t>
            </w:r>
            <w:r>
              <w:rPr>
                <w:rFonts w:hint="eastAsia" w:cs="Times New Roman" w:asciiTheme="minorEastAsia" w:hAnsiTheme="minorEastAsia" w:eastAsiaTheme="minorEastAsia"/>
                <w:kern w:val="0"/>
                <w:sz w:val="21"/>
                <w:szCs w:val="21"/>
              </w:rPr>
              <w:t>万,</w:t>
            </w:r>
            <w:r>
              <w:rPr>
                <w:rFonts w:cs="Times New Roman" w:asciiTheme="minorEastAsia" w:hAnsiTheme="minorEastAsia" w:eastAsiaTheme="minorEastAsia"/>
                <w:kern w:val="0"/>
                <w:sz w:val="21"/>
                <w:szCs w:val="21"/>
              </w:rPr>
              <w:t>S</w:t>
            </w:r>
            <w:r>
              <w:rPr>
                <w:rFonts w:hint="eastAsia" w:cs="Times New Roman" w:asciiTheme="minorEastAsia" w:hAnsiTheme="minorEastAsia" w:eastAsiaTheme="minorEastAsia"/>
                <w:kern w:val="0"/>
                <w:sz w:val="21"/>
                <w:szCs w:val="21"/>
              </w:rPr>
              <w:t>ensor</w:t>
            </w:r>
            <w:r>
              <w:rPr>
                <w:rFonts w:cs="Times New Roman" w:asciiTheme="minorEastAsia" w:hAnsiTheme="minorEastAsia" w:eastAsiaTheme="minorEastAsia"/>
                <w:kern w:val="0"/>
                <w:sz w:val="21"/>
                <w:szCs w:val="21"/>
              </w:rPr>
              <w:t xml:space="preserve"> S</w:t>
            </w:r>
            <w:r>
              <w:rPr>
                <w:rFonts w:hint="eastAsia" w:cs="Times New Roman" w:asciiTheme="minorEastAsia" w:hAnsiTheme="minorEastAsia" w:eastAsiaTheme="minorEastAsia"/>
                <w:kern w:val="0"/>
                <w:sz w:val="21"/>
                <w:szCs w:val="21"/>
              </w:rPr>
              <w:t>ize：≥</w:t>
            </w:r>
            <w:r>
              <w:rPr>
                <w:rFonts w:cs="Times New Roman" w:asciiTheme="minorEastAsia" w:hAnsiTheme="minorEastAsia" w:eastAsiaTheme="minorEastAsia"/>
                <w:kern w:val="0"/>
                <w:sz w:val="21"/>
                <w:szCs w:val="21"/>
              </w:rPr>
              <w:t>4/3”</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AD</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14-bit,QE</w:t>
            </w:r>
            <w:r>
              <w:rPr>
                <w:rFonts w:hint="eastAsia" w:cs="Times New Roman" w:asciiTheme="minorEastAsia" w:hAnsiTheme="minorEastAsia" w:eastAsiaTheme="minorEastAsia"/>
                <w:kern w:val="0"/>
                <w:sz w:val="21"/>
                <w:szCs w:val="21"/>
              </w:rPr>
              <w:t>：≥55%@450nm；运行环境温度：</w:t>
            </w:r>
            <w:r>
              <w:rPr>
                <w:rFonts w:cs="Times New Roman" w:asciiTheme="minorEastAsia" w:hAnsiTheme="minorEastAsia" w:eastAsiaTheme="minorEastAsia"/>
                <w:kern w:val="0"/>
                <w:sz w:val="21"/>
                <w:szCs w:val="21"/>
              </w:rPr>
              <w:t xml:space="preserve">-40°C </w:t>
            </w:r>
            <w:r>
              <w:rPr>
                <w:rFonts w:hint="eastAsia" w:cs="Times New Roman" w:asciiTheme="minorEastAsia" w:hAnsiTheme="minorEastAsia" w:eastAsiaTheme="minorEastAsia"/>
                <w:kern w:val="0"/>
                <w:sz w:val="21"/>
                <w:szCs w:val="21"/>
              </w:rPr>
              <w:t>到</w:t>
            </w:r>
            <w:r>
              <w:rPr>
                <w:rFonts w:cs="Times New Roman" w:asciiTheme="minorEastAsia" w:hAnsiTheme="minorEastAsia" w:eastAsiaTheme="minorEastAsia"/>
                <w:kern w:val="0"/>
                <w:sz w:val="21"/>
                <w:szCs w:val="21"/>
              </w:rPr>
              <w:t xml:space="preserve"> +85°C,MTBF &gt;660000h</w:t>
            </w:r>
            <w:r>
              <w:rPr>
                <w:rFonts w:hint="eastAsia" w:cs="Times New Roman" w:asciiTheme="minorEastAsia" w:hAnsiTheme="minorEastAsia" w:eastAsiaTheme="minorEastAsia"/>
                <w:kern w:val="0"/>
                <w:sz w:val="21"/>
                <w:szCs w:val="21"/>
              </w:rPr>
              <w:t>，数据接口U</w:t>
            </w:r>
            <w:r>
              <w:rPr>
                <w:rFonts w:cs="Times New Roman" w:asciiTheme="minorEastAsia" w:hAnsiTheme="minorEastAsia" w:eastAsiaTheme="minorEastAsia"/>
                <w:kern w:val="0"/>
                <w:sz w:val="21"/>
                <w:szCs w:val="21"/>
              </w:rPr>
              <w:t>SB3.0</w:t>
            </w:r>
            <w:r>
              <w:rPr>
                <w:rFonts w:hint="eastAsia" w:cs="Times New Roman" w:asciiTheme="minorEastAsia" w:hAnsiTheme="minorEastAsia" w:eastAsiaTheme="minorEastAsia"/>
                <w:kern w:val="0"/>
                <w:sz w:val="21"/>
                <w:szCs w:val="21"/>
              </w:rPr>
              <w:t>或者GigE以上接口。</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★图像配准功能; 确保在拍摄对象头部轻微晃动状态下，准确配准拍摄对象的同一功能区</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★远心偏正分光系统：可见光通过该系统，平分成波长分别为540nm和620nm两路，分光系统整体透射率≥45%，W</w:t>
            </w:r>
            <w:r>
              <w:rPr>
                <w:rFonts w:cs="Times New Roman" w:asciiTheme="minorEastAsia" w:hAnsiTheme="minorEastAsia" w:eastAsiaTheme="minorEastAsia"/>
                <w:kern w:val="0"/>
                <w:sz w:val="21"/>
                <w:szCs w:val="21"/>
              </w:rPr>
              <w:t>D</w:t>
            </w:r>
            <w:r>
              <w:rPr>
                <w:rFonts w:hint="eastAsia" w:cs="Times New Roman" w:asciiTheme="minorEastAsia" w:hAnsiTheme="minorEastAsia" w:eastAsiaTheme="minorEastAsia"/>
                <w:kern w:val="0"/>
                <w:sz w:val="21"/>
                <w:szCs w:val="21"/>
              </w:rPr>
              <w:t>：260mm，D</w:t>
            </w:r>
            <w:r>
              <w:rPr>
                <w:rFonts w:cs="Times New Roman" w:asciiTheme="minorEastAsia" w:hAnsiTheme="minorEastAsia" w:eastAsiaTheme="minorEastAsia"/>
                <w:kern w:val="0"/>
                <w:sz w:val="21"/>
                <w:szCs w:val="21"/>
              </w:rPr>
              <w:t>OF:</w:t>
            </w:r>
            <w:r>
              <w:rPr>
                <w:rFonts w:hint="eastAsia" w:cs="Times New Roman" w:asciiTheme="minorEastAsia" w:hAnsiTheme="minorEastAsia" w:eastAsiaTheme="minorEastAsia"/>
                <w:kern w:val="0"/>
                <w:sz w:val="21"/>
                <w:szCs w:val="21"/>
              </w:rPr>
              <w:t xml:space="preserve"> ≥1mm，配置放大倍率分别为0.27</w:t>
            </w:r>
            <w:r>
              <w:rPr>
                <w:rFonts w:cs="Times New Roman" w:asciiTheme="minorEastAsia" w:hAnsiTheme="minorEastAsia" w:eastAsiaTheme="minorEastAsia"/>
                <w:kern w:val="0"/>
                <w:sz w:val="21"/>
                <w:szCs w:val="21"/>
              </w:rPr>
              <w:t>X</w:t>
            </w:r>
            <w:r>
              <w:rPr>
                <w:rFonts w:hint="eastAsia" w:cs="Times New Roman" w:asciiTheme="minorEastAsia" w:hAnsiTheme="minorEastAsia" w:eastAsiaTheme="minorEastAsia"/>
                <w:kern w:val="0"/>
                <w:sz w:val="21"/>
                <w:szCs w:val="21"/>
              </w:rPr>
              <w:t>和0.38</w:t>
            </w:r>
            <w:r>
              <w:rPr>
                <w:rFonts w:cs="Times New Roman" w:asciiTheme="minorEastAsia" w:hAnsiTheme="minorEastAsia" w:eastAsiaTheme="minorEastAsia"/>
                <w:kern w:val="0"/>
                <w:sz w:val="21"/>
                <w:szCs w:val="21"/>
              </w:rPr>
              <w:t>X</w:t>
            </w:r>
            <w:r>
              <w:rPr>
                <w:rFonts w:hint="eastAsia" w:cs="Times New Roman" w:asciiTheme="minorEastAsia" w:hAnsiTheme="minorEastAsia" w:eastAsiaTheme="minorEastAsia"/>
                <w:kern w:val="0"/>
                <w:sz w:val="21"/>
                <w:szCs w:val="21"/>
              </w:rPr>
              <w:t>的两款高分辨率光学镜头，偏正态可调。</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★双谱段偏振光源：（540nm和620nm）， 均匀性≥，照射范围：200mm*200mm，单个谱段可以数字程序可调，调整范围为0-255</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使用寿命大于60000小时。</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★光学系统集成装置：全部光学系统放置在集成装置内，安装维护便捷，体积小巧、整套光学系统最大重量不能超过10kg，并通过合理设计与吊塔旋臂进行连接。</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相机参数实现调节系统指令控制</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adjustRightInd w:val="0"/>
              <w:snapToGrid w:val="0"/>
              <w:spacing w:line="440" w:lineRule="exact"/>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双相机图像采集系统：基于相机驱动和同步信号发生器，确保同时采集，两张图像间隔小于10us。</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adjustRightInd w:val="0"/>
              <w:snapToGrid w:val="0"/>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双相机图像显示系统：实时显示当前采集图像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adjustRightInd w:val="0"/>
              <w:snapToGrid w:val="0"/>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光源亮度调节系统：通过软件对光源控制器进行控制，可以分别调节多个通道光源的亮度</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三轴落地吊塔旋臂：旋转范围≥200°，升降高度≥500mm，整体高度≤1500mm。</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设备系统总成：设备整体机械设计和电气设计符合相应医疗器械标准。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tabs>
                <w:tab w:val="left" w:pos="4623"/>
              </w:tabs>
              <w:adjustRightInd w:val="0"/>
              <w:snapToGrid w:val="0"/>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智能图像分析处理单元： 整体性能优于Core</w:t>
            </w:r>
            <w:r>
              <w:rPr>
                <w:rFonts w:cs="Times New Roman" w:asciiTheme="minorEastAsia" w:hAnsiTheme="minorEastAsia" w:eastAsiaTheme="minorEastAsia"/>
                <w:kern w:val="0"/>
                <w:sz w:val="21"/>
                <w:szCs w:val="21"/>
              </w:rPr>
              <w:t xml:space="preserve"> i7-8700,32G DDR4 2400 RAM;256GB SATA SSD;2.5寸</w:t>
            </w:r>
            <w:r>
              <w:rPr>
                <w:rFonts w:hint="eastAsia" w:cs="Times New Roman" w:asciiTheme="minorEastAsia" w:hAnsiTheme="minorEastAsia" w:eastAsiaTheme="minorEastAsia"/>
                <w:kern w:val="0"/>
                <w:sz w:val="21"/>
                <w:szCs w:val="21"/>
              </w:rPr>
              <w:t xml:space="preserve"> </w:t>
            </w:r>
            <w:r>
              <w:rPr>
                <w:rFonts w:cs="Times New Roman" w:asciiTheme="minorEastAsia" w:hAnsiTheme="minorEastAsia" w:eastAsiaTheme="minorEastAsia"/>
                <w:kern w:val="0"/>
                <w:sz w:val="21"/>
                <w:szCs w:val="21"/>
              </w:rPr>
              <w:t>1TB HDD,2080Ti GPU C</w:t>
            </w:r>
            <w:r>
              <w:rPr>
                <w:rFonts w:hint="eastAsia" w:cs="Times New Roman" w:asciiTheme="minorEastAsia" w:hAnsiTheme="minorEastAsia" w:eastAsiaTheme="minorEastAsia"/>
                <w:kern w:val="0"/>
                <w:sz w:val="21"/>
                <w:szCs w:val="21"/>
              </w:rPr>
              <w:t>a</w:t>
            </w:r>
            <w:r>
              <w:rPr>
                <w:rFonts w:cs="Times New Roman" w:asciiTheme="minorEastAsia" w:hAnsiTheme="minorEastAsia" w:eastAsiaTheme="minorEastAsia"/>
                <w:kern w:val="0"/>
                <w:sz w:val="21"/>
                <w:szCs w:val="21"/>
              </w:rPr>
              <w:t>rd,6 GigE</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脑功能区活跃程度智能判定：利用深度学习，对实时图像进行分析。给出拍摄对象的不同区域的活跃程度系数。</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动态伪彩色显示功能：通过不同色彩和颜色深度，区分拍摄对象的不同区域的活跃程度，并实时显示和存储</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tabs>
                <w:tab w:val="left" w:pos="1407"/>
              </w:tabs>
              <w:adjustRightInd w:val="0"/>
              <w:snapToGrid w:val="0"/>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外置深度学习模块</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vAlign w:val="top"/>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top"/>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top"/>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top"/>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vAlign w:val="top"/>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vAlign w:val="top"/>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vAlign w:val="top"/>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5"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5" w:name="_Toc390713969"/>
      <w:bookmarkStart w:id="16" w:name="_Toc435540981"/>
      <w:bookmarkStart w:id="17" w:name="_Toc37172690"/>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6" w:type="default"/>
          <w:footerReference r:id="rId7"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90713970"/>
      <w:bookmarkStart w:id="21" w:name="_Toc37172691"/>
      <w:bookmarkStart w:id="22" w:name="_Toc285612604"/>
      <w:bookmarkStart w:id="23" w:name="_Toc435540982"/>
      <w:r>
        <w:rPr>
          <w:rFonts w:hint="eastAsia" w:ascii="黑体" w:hAnsi="黑体" w:eastAsia="黑体" w:cs="Times New Roman"/>
          <w:kern w:val="0"/>
          <w:sz w:val="32"/>
          <w:szCs w:val="32"/>
        </w:rPr>
        <w:t>第五部分  附件/投标文件格式</w:t>
      </w:r>
      <w:bookmarkEnd w:id="19"/>
      <w:bookmarkEnd w:id="20"/>
      <w:bookmarkEnd w:id="21"/>
      <w:bookmarkEnd w:id="22"/>
      <w:bookmarkEnd w:id="23"/>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9"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4"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4"/>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5"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6"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7"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8"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p>
      <w:pPr>
        <w:widowControl/>
        <w:jc w:val="left"/>
        <w:rPr>
          <w:rFonts w:cs="Times New Roman" w:asciiTheme="majorEastAsia" w:hAnsiTheme="majorEastAsia" w:eastAsiaTheme="majorEastAsia"/>
          <w:kern w:val="0"/>
          <w:sz w:val="28"/>
          <w:szCs w:val="28"/>
        </w:rPr>
      </w:pPr>
    </w:p>
    <w:sectPr>
      <w:headerReference r:id="rId10" w:type="default"/>
      <w:footerReference r:id="rId11"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35</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62</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08AD"/>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57218"/>
    <w:rsid w:val="0007237B"/>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6516"/>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2551"/>
    <w:rsid w:val="001946ED"/>
    <w:rsid w:val="00194A09"/>
    <w:rsid w:val="00195A35"/>
    <w:rsid w:val="001967E6"/>
    <w:rsid w:val="001A1748"/>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3FEA"/>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46B6C"/>
    <w:rsid w:val="00350CE6"/>
    <w:rsid w:val="00353505"/>
    <w:rsid w:val="00356BD1"/>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5D4C"/>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5A0D"/>
    <w:rsid w:val="00447DED"/>
    <w:rsid w:val="00452784"/>
    <w:rsid w:val="00455BD3"/>
    <w:rsid w:val="0045635E"/>
    <w:rsid w:val="00456462"/>
    <w:rsid w:val="004569F6"/>
    <w:rsid w:val="00456AED"/>
    <w:rsid w:val="0046063F"/>
    <w:rsid w:val="00463F09"/>
    <w:rsid w:val="00464557"/>
    <w:rsid w:val="00472142"/>
    <w:rsid w:val="00475253"/>
    <w:rsid w:val="00476487"/>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3F11"/>
    <w:rsid w:val="005A4B13"/>
    <w:rsid w:val="005A4B8A"/>
    <w:rsid w:val="005A63B3"/>
    <w:rsid w:val="005B1A5E"/>
    <w:rsid w:val="005B2EA3"/>
    <w:rsid w:val="005B3948"/>
    <w:rsid w:val="005C0D9D"/>
    <w:rsid w:val="005C1F06"/>
    <w:rsid w:val="005C3150"/>
    <w:rsid w:val="005D0B03"/>
    <w:rsid w:val="005E60DB"/>
    <w:rsid w:val="005F4A22"/>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57"/>
    <w:rsid w:val="00666127"/>
    <w:rsid w:val="0067109C"/>
    <w:rsid w:val="00671BDE"/>
    <w:rsid w:val="0067234D"/>
    <w:rsid w:val="006753D8"/>
    <w:rsid w:val="00680410"/>
    <w:rsid w:val="00681868"/>
    <w:rsid w:val="006819DA"/>
    <w:rsid w:val="00682719"/>
    <w:rsid w:val="00684B77"/>
    <w:rsid w:val="0068595F"/>
    <w:rsid w:val="006933F0"/>
    <w:rsid w:val="006940AD"/>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239C"/>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2750"/>
    <w:rsid w:val="00844B61"/>
    <w:rsid w:val="00846F55"/>
    <w:rsid w:val="00847A59"/>
    <w:rsid w:val="00850279"/>
    <w:rsid w:val="008552E8"/>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1A6B"/>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2E3B"/>
    <w:rsid w:val="00B24395"/>
    <w:rsid w:val="00B2575B"/>
    <w:rsid w:val="00B25CCF"/>
    <w:rsid w:val="00B312BF"/>
    <w:rsid w:val="00B33EB7"/>
    <w:rsid w:val="00B36D3D"/>
    <w:rsid w:val="00B3727D"/>
    <w:rsid w:val="00B40D8F"/>
    <w:rsid w:val="00B42007"/>
    <w:rsid w:val="00B45248"/>
    <w:rsid w:val="00B47566"/>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4684"/>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01CF"/>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434"/>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 w:val="08A1559C"/>
    <w:rsid w:val="16587487"/>
    <w:rsid w:val="1A284178"/>
    <w:rsid w:val="1A5A2EC2"/>
    <w:rsid w:val="34C57DC6"/>
    <w:rsid w:val="38BA0EE6"/>
    <w:rsid w:val="3F364F13"/>
    <w:rsid w:val="476C62EE"/>
    <w:rsid w:val="52FA50CA"/>
    <w:rsid w:val="5E92535D"/>
    <w:rsid w:val="5EE24002"/>
    <w:rsid w:val="5FCB2600"/>
    <w:rsid w:val="61815A02"/>
    <w:rsid w:val="64D0786E"/>
    <w:rsid w:val="68196145"/>
    <w:rsid w:val="6FF4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uiPriority w:val="39"/>
    <w:pPr>
      <w:ind w:left="420" w:leftChars="200"/>
    </w:pPr>
  </w:style>
  <w:style w:type="paragraph" w:styleId="15">
    <w:name w:val="Body Text 2"/>
    <w:basedOn w:val="1"/>
    <w:link w:val="30"/>
    <w:uiPriority w:val="0"/>
    <w:pPr>
      <w:jc w:val="center"/>
    </w:pPr>
    <w:rPr>
      <w:rFonts w:ascii="Times New Roman" w:hAnsi="Times New Roman" w:eastAsia="宋体" w:cs="Times New Roman"/>
      <w:kern w:val="0"/>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3D351-55DF-4F9A-AA78-C44F9ADA9F2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66</Pages>
  <Words>5395</Words>
  <Characters>30753</Characters>
  <Lines>256</Lines>
  <Paragraphs>72</Paragraphs>
  <TotalTime>1</TotalTime>
  <ScaleCrop>false</ScaleCrop>
  <LinksUpToDate>false</LinksUpToDate>
  <CharactersWithSpaces>36076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2021-02-04T07:13:05Z</cp:lastPrinted>
  <dcterms:modified xsi:type="dcterms:W3CDTF">2021-02-04T07:14:54Z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