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电泳仪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2021-JL13(03)-W30076</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bookmarkStart w:id="26" w:name="_GoBack"/>
            <w:r>
              <w:rPr>
                <w:rFonts w:hint="eastAsia" w:ascii="宋体" w:hAnsi="宋体" w:eastAsia="宋体" w:cs="Times New Roman"/>
                <w:kern w:val="0"/>
                <w:szCs w:val="21"/>
                <w:lang w:eastAsia="zh-CN"/>
              </w:rPr>
              <w:t>电泳仪</w:t>
            </w:r>
            <w:bookmarkEnd w:id="26"/>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22</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1</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435540979"/>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4</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435540980"/>
      <w:bookmarkStart w:id="10" w:name="_Toc390713968"/>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37780286"/>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
              </w:rPr>
              <w:t>单位名</w:t>
            </w:r>
            <w:r>
              <w:rPr>
                <w:rFonts w:hint="eastAsia" w:ascii="宋体" w:hAnsi="宋体" w:eastAsia="宋体" w:cs="Times New Roman"/>
                <w:bCs/>
                <w:spacing w:val="3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8"/>
              </w:rPr>
              <w:t>联系电</w:t>
            </w:r>
            <w:r>
              <w:rPr>
                <w:rFonts w:hint="eastAsia" w:ascii="宋体" w:hAnsi="宋体" w:eastAsia="宋体" w:cs="Times New Roman"/>
                <w:bCs/>
                <w:spacing w:val="3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9"/>
              </w:rPr>
              <w:t>联系电</w:t>
            </w:r>
            <w:r>
              <w:rPr>
                <w:rFonts w:hint="eastAsia" w:ascii="宋体" w:hAnsi="宋体" w:eastAsia="宋体" w:cs="Times New Roman"/>
                <w:bCs/>
                <w:spacing w:val="3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0"/>
              </w:rPr>
              <w:t>通讯地</w:t>
            </w:r>
            <w:r>
              <w:rPr>
                <w:rFonts w:hint="eastAsia" w:ascii="宋体" w:hAnsi="宋体" w:eastAsia="宋体" w:cs="Times New Roman"/>
                <w:bCs/>
                <w:spacing w:val="3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1"/>
              </w:rPr>
              <w:t>通讯地</w:t>
            </w:r>
            <w:r>
              <w:rPr>
                <w:rFonts w:hint="eastAsia" w:ascii="宋体" w:hAnsi="宋体" w:eastAsia="宋体" w:cs="Times New Roman"/>
                <w:bCs/>
                <w:spacing w:val="3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2"/>
              </w:rPr>
              <w:t>邮政编</w:t>
            </w:r>
            <w:r>
              <w:rPr>
                <w:rFonts w:hint="eastAsia" w:ascii="宋体" w:hAnsi="宋体" w:eastAsia="宋体" w:cs="Times New Roman"/>
                <w:bCs/>
                <w:spacing w:val="3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3"/>
              </w:rPr>
              <w:t>邮政编</w:t>
            </w:r>
            <w:r>
              <w:rPr>
                <w:rFonts w:hint="eastAsia" w:ascii="宋体" w:hAnsi="宋体" w:eastAsia="宋体" w:cs="Times New Roman"/>
                <w:bCs/>
                <w:spacing w:val="3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4"/>
              </w:rPr>
              <w:t>付款单</w:t>
            </w:r>
            <w:r>
              <w:rPr>
                <w:rFonts w:hint="eastAsia" w:ascii="宋体" w:hAnsi="宋体" w:eastAsia="宋体" w:cs="Times New Roman"/>
                <w:bCs/>
                <w:spacing w:val="3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5"/>
              </w:rPr>
              <w:t>开户名</w:t>
            </w:r>
            <w:r>
              <w:rPr>
                <w:rFonts w:hint="eastAsia" w:ascii="宋体" w:hAnsi="宋体" w:eastAsia="宋体" w:cs="Times New Roman"/>
                <w:bCs/>
                <w:spacing w:val="3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6"/>
              </w:rPr>
              <w:t>开户银</w:t>
            </w:r>
            <w:r>
              <w:rPr>
                <w:rFonts w:hint="eastAsia" w:ascii="宋体" w:hAnsi="宋体" w:eastAsia="宋体" w:cs="Times New Roman"/>
                <w:bCs/>
                <w:spacing w:val="3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7"/>
              </w:rPr>
              <w:t>开户银</w:t>
            </w:r>
            <w:r>
              <w:rPr>
                <w:rFonts w:hint="eastAsia" w:ascii="宋体" w:hAnsi="宋体" w:eastAsia="宋体" w:cs="Times New Roman"/>
                <w:bCs/>
                <w:spacing w:val="3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8"/>
              </w:rPr>
              <w:t>银行账</w:t>
            </w:r>
            <w:r>
              <w:rPr>
                <w:rFonts w:hint="eastAsia" w:ascii="宋体" w:hAnsi="宋体" w:eastAsia="宋体" w:cs="Times New Roman"/>
                <w:bCs/>
                <w:spacing w:val="3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5"/>
                <w:kern w:val="0"/>
                <w:szCs w:val="21"/>
                <w:fitText w:val="1170" w:id="19"/>
              </w:rPr>
              <w:t>银行账</w:t>
            </w:r>
            <w:r>
              <w:rPr>
                <w:rFonts w:hint="eastAsia" w:ascii="宋体" w:hAnsi="宋体" w:eastAsia="宋体" w:cs="Times New Roman"/>
                <w:bCs/>
                <w:spacing w:val="3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7172691"/>
      <w:bookmarkStart w:id="22" w:name="_Toc435540982"/>
      <w:bookmarkStart w:id="23" w:name="_Toc285612604"/>
      <w:bookmarkStart w:id="24" w:name="_Toc390713970"/>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rPr>
        <w:t>电泳仪技术参</w:t>
      </w:r>
      <w:r>
        <w:rPr>
          <w:rFonts w:hint="eastAsia" w:ascii="方正小标宋简体" w:hAnsi="宋体" w:eastAsia="方正小标宋简体" w:cs="宋体"/>
          <w:bCs/>
          <w:kern w:val="0"/>
          <w:sz w:val="40"/>
          <w:szCs w:val="44"/>
          <w:lang w:eastAsia="zh-CN"/>
        </w:rPr>
        <w:t>要求</w:t>
      </w:r>
    </w:p>
    <w:tbl>
      <w:tblPr>
        <w:tblStyle w:val="17"/>
        <w:tblW w:w="9165" w:type="dxa"/>
        <w:jc w:val="center"/>
        <w:tblLayout w:type="fixed"/>
        <w:tblCellMar>
          <w:top w:w="0" w:type="dxa"/>
          <w:left w:w="0" w:type="dxa"/>
          <w:bottom w:w="0" w:type="dxa"/>
          <w:right w:w="0" w:type="dxa"/>
        </w:tblCellMar>
      </w:tblPr>
      <w:tblGrid>
        <w:gridCol w:w="762"/>
        <w:gridCol w:w="1789"/>
        <w:gridCol w:w="5895"/>
        <w:gridCol w:w="719"/>
      </w:tblGrid>
      <w:tr>
        <w:tblPrEx>
          <w:tblCellMar>
            <w:top w:w="0" w:type="dxa"/>
            <w:left w:w="0" w:type="dxa"/>
            <w:bottom w:w="0" w:type="dxa"/>
            <w:right w:w="0" w:type="dxa"/>
          </w:tblCellMar>
        </w:tblPrEx>
        <w:trPr>
          <w:trHeight w:val="570" w:hRule="atLeast"/>
          <w:tblHeader/>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序号</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kern w:val="0"/>
                <w:szCs w:val="21"/>
                <w:lang w:bidi="ar"/>
              </w:rPr>
            </w:pPr>
            <w:r>
              <w:rPr>
                <w:rFonts w:hint="eastAsia" w:cs="宋体" w:asciiTheme="minorEastAsia" w:hAnsiTheme="minorEastAsia"/>
                <w:b/>
                <w:color w:val="000000"/>
                <w:kern w:val="0"/>
                <w:szCs w:val="21"/>
                <w:lang w:bidi="ar"/>
              </w:rPr>
              <w:t>技术和性能参数</w:t>
            </w:r>
          </w:p>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名称</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技术参数和性能要求</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备注</w:t>
            </w: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设备使用需求</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b/>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设备用途</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用于为大型垂直电泳、半干转印等各种电泳输出电源。</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368"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1.2</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实验对象</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1.3</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特殊功能需求</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2</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主要技术参数</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556"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输出电压：10–500V</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36"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2.2</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★参数2</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输出电流：0.05–2.5A</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118"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2.3</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asciiTheme="minorEastAsia" w:hAnsiTheme="minorEastAsia"/>
                <w:kern w:val="0"/>
                <w:szCs w:val="21"/>
                <w:lang w:val="zh-CN"/>
              </w:rPr>
              <w:t>▲</w:t>
            </w:r>
            <w:r>
              <w:rPr>
                <w:rFonts w:hint="eastAsia" w:cs="宋体" w:asciiTheme="minorEastAsia" w:hAnsiTheme="minorEastAsia"/>
                <w:color w:val="000000"/>
                <w:kern w:val="0"/>
                <w:szCs w:val="21"/>
                <w:lang w:bidi="ar"/>
              </w:rPr>
              <w:t>参数3</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输出方式: 恒压、恒流和恒功率三种方式</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471"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2.4</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asciiTheme="minorEastAsia" w:hAnsiTheme="minorEastAsia"/>
                <w:kern w:val="0"/>
                <w:szCs w:val="21"/>
                <w:lang w:val="zh-CN"/>
              </w:rPr>
              <w:t>▲</w:t>
            </w:r>
            <w:r>
              <w:rPr>
                <w:rFonts w:hint="eastAsia" w:cs="宋体" w:asciiTheme="minorEastAsia" w:hAnsiTheme="minorEastAsia"/>
                <w:color w:val="000000"/>
                <w:kern w:val="0"/>
                <w:szCs w:val="21"/>
                <w:lang w:bidi="ar"/>
              </w:rPr>
              <w:t>参数4</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功率：≥480W</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461"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2.5</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asciiTheme="minorEastAsia" w:hAnsiTheme="minorEastAsia"/>
                <w:kern w:val="0"/>
                <w:szCs w:val="21"/>
                <w:lang w:val="zh-CN"/>
              </w:rPr>
              <w:t>▲</w:t>
            </w:r>
            <w:r>
              <w:rPr>
                <w:rFonts w:hint="eastAsia" w:cs="宋体" w:asciiTheme="minorEastAsia" w:hAnsiTheme="minorEastAsia"/>
                <w:color w:val="000000"/>
                <w:kern w:val="0"/>
                <w:szCs w:val="21"/>
                <w:lang w:bidi="ar"/>
              </w:rPr>
              <w:t>参数5</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有伏特/小时控制功能</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color w:val="000000"/>
                <w:szCs w:val="21"/>
              </w:rPr>
            </w:pPr>
          </w:p>
        </w:tc>
      </w:tr>
      <w:tr>
        <w:tblPrEx>
          <w:tblCellMar>
            <w:top w:w="0" w:type="dxa"/>
            <w:left w:w="0" w:type="dxa"/>
            <w:bottom w:w="0" w:type="dxa"/>
            <w:right w:w="0" w:type="dxa"/>
          </w:tblCellMar>
        </w:tblPrEx>
        <w:trPr>
          <w:trHeight w:val="59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2.6</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参数6</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tLeast"/>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具有编程功能：可储存不少于5个程序，每个程序最少5个步骤</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13"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2.7</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参数7</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内置实时时钟，方便计时</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2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2.8</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参数8</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有断电后自动恢复功能</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97"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2.9</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参数9</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安全性能: 空载监测；荷载突变监测；过载/短路监测；过压保护</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444"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参数10</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输出插孔: 4对并联，可同时对四个同类型的电泳槽进行电泳</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2"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2.11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参数11</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通过国际安全标准—IEC1010-1认证</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3</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配置需求</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配置1</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通用电泳电源1台</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4</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b/>
                <w:color w:val="000000"/>
                <w:szCs w:val="21"/>
              </w:rPr>
            </w:pPr>
            <w:r>
              <w:rPr>
                <w:rFonts w:hint="eastAsia" w:cs="宋体" w:asciiTheme="minorEastAsia" w:hAnsiTheme="minorEastAsia"/>
                <w:b/>
                <w:color w:val="000000"/>
                <w:kern w:val="0"/>
                <w:szCs w:val="21"/>
                <w:lang w:bidi="ar"/>
              </w:rPr>
              <w:t>售后服务</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b/>
                <w:color w:val="000000"/>
                <w:szCs w:val="21"/>
              </w:rPr>
            </w:pP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b/>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保修年限</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≥3年</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4.2</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出现故障回应时间</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维修到达现场时间≤ 6小时（本地）</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维修到达现场时间≤24小时（外地）</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4.3</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维修支持</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配件供应时间≥10年</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4.4</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耗材及零配件</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提供耗材及主要零配件目录（含报价）</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4.5</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维修资料</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提供详细操作手册、维修保养手册、安装手册等</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4.6</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维修工具</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提供维修专用工具1套</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4.7</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预防性维修</w:t>
            </w:r>
            <w:r>
              <w:rPr>
                <w:rFonts w:hint="eastAsia" w:cs="宋体" w:asciiTheme="minorEastAsia" w:hAnsiTheme="minorEastAsia"/>
                <w:color w:val="000000"/>
                <w:kern w:val="0"/>
                <w:szCs w:val="21"/>
                <w:lang w:bidi="ar"/>
              </w:rPr>
              <w:br w:type="textWrapping"/>
            </w:r>
            <w:r>
              <w:rPr>
                <w:rFonts w:hint="eastAsia" w:cs="宋体" w:asciiTheme="minorEastAsia" w:hAnsiTheme="minorEastAsia"/>
                <w:color w:val="000000"/>
                <w:kern w:val="0"/>
                <w:szCs w:val="21"/>
                <w:lang w:bidi="ar"/>
              </w:rPr>
              <w:t>/定期维护保养</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保修期内提供定期维护保养服务</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4.8</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维修密码支持</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开放</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4.9</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升级</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终身免费软件升级</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使用培训</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r>
        <w:tblPrEx>
          <w:tblCellMar>
            <w:top w:w="0" w:type="dxa"/>
            <w:left w:w="0" w:type="dxa"/>
            <w:bottom w:w="0" w:type="dxa"/>
            <w:right w:w="0" w:type="dxa"/>
          </w:tblCellMar>
        </w:tblPrEx>
        <w:trPr>
          <w:trHeight w:val="600" w:hRule="atLeast"/>
          <w:jc w:val="center"/>
        </w:trPr>
        <w:tc>
          <w:tcPr>
            <w:tcW w:w="7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4.11</w:t>
            </w:r>
          </w:p>
        </w:tc>
        <w:tc>
          <w:tcPr>
            <w:tcW w:w="17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工程师培训</w:t>
            </w:r>
          </w:p>
        </w:tc>
        <w:tc>
          <w:tcPr>
            <w:tcW w:w="58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color w:val="000000"/>
                <w:szCs w:val="21"/>
              </w:rPr>
            </w:pPr>
            <w:r>
              <w:rPr>
                <w:rFonts w:hint="eastAsia" w:cs="宋体" w:asciiTheme="minorEastAsia" w:hAnsiTheme="minorEastAsia"/>
                <w:color w:val="000000"/>
                <w:kern w:val="0"/>
                <w:szCs w:val="21"/>
                <w:lang w:bidi="ar"/>
              </w:rPr>
              <w:t>支持</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宋体" w:asciiTheme="minorEastAsia" w:hAnsiTheme="minorEastAsia"/>
                <w:color w:val="000000"/>
                <w:szCs w:val="21"/>
              </w:rPr>
            </w:pPr>
          </w:p>
        </w:tc>
      </w:tr>
    </w:tbl>
    <w:p>
      <w:pPr>
        <w:rPr>
          <w:rFonts w:ascii="黑体" w:hAnsi="黑体" w:eastAsia="黑体"/>
          <w:sz w:val="32"/>
          <w:szCs w:val="32"/>
        </w:rPr>
      </w:pPr>
    </w:p>
    <w:p>
      <w:pPr>
        <w:spacing w:line="240" w:lineRule="atLeast"/>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E98286B"/>
    <w:rsid w:val="1EEF51FE"/>
    <w:rsid w:val="1F1C3038"/>
    <w:rsid w:val="28721247"/>
    <w:rsid w:val="3BB30E33"/>
    <w:rsid w:val="464E6EBE"/>
    <w:rsid w:val="47881864"/>
    <w:rsid w:val="48ED6FEB"/>
    <w:rsid w:val="541A0AD3"/>
    <w:rsid w:val="54507F18"/>
    <w:rsid w:val="60931FBB"/>
    <w:rsid w:val="648F679F"/>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3</TotalTime>
  <ScaleCrop>false</ScaleCrop>
  <LinksUpToDate>false</LinksUpToDate>
  <CharactersWithSpaces>27715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2021-02-17T02:27:00Z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