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lang w:eastAsia="zh-CN"/>
        </w:rPr>
        <w:t>竞争性</w:t>
      </w:r>
      <w:r>
        <w:rPr>
          <w:rFonts w:hint="eastAsia" w:ascii="Times New Roman" w:hAnsi="Times New Roman" w:eastAsia="方正小标宋简体" w:cs="Times New Roman"/>
          <w:kern w:val="0"/>
          <w:sz w:val="84"/>
          <w:szCs w:val="84"/>
        </w:rPr>
        <w:t>谈判</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生物安全建设设备（</w:t>
      </w:r>
      <w:r>
        <w:rPr>
          <w:rFonts w:hint="eastAsia" w:ascii="宋体" w:hAnsi="宋体" w:eastAsia="宋体" w:cs="Times New Roman"/>
          <w:kern w:val="0"/>
          <w:sz w:val="36"/>
          <w:szCs w:val="36"/>
          <w:u w:val="single"/>
          <w:lang w:val="en-US" w:eastAsia="zh-CN"/>
        </w:rPr>
        <w:t>6</w:t>
      </w:r>
      <w:r>
        <w:rPr>
          <w:rFonts w:hint="eastAsia" w:ascii="宋体" w:hAnsi="宋体" w:eastAsia="宋体" w:cs="Times New Roman"/>
          <w:kern w:val="0"/>
          <w:sz w:val="36"/>
          <w:szCs w:val="36"/>
          <w:u w:val="single"/>
        </w:rPr>
        <w:t>）</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 xml:space="preserve">   </w:t>
      </w:r>
      <w:r>
        <w:rPr>
          <w:rFonts w:hint="eastAsia" w:ascii="宋体" w:hAnsi="宋体" w:eastAsia="宋体" w:cs="Times New Roman"/>
          <w:kern w:val="0"/>
          <w:sz w:val="36"/>
          <w:szCs w:val="36"/>
          <w:u w:val="single"/>
        </w:rPr>
        <w:t>2020-XNYY-YQ-1</w:t>
      </w:r>
      <w:r>
        <w:rPr>
          <w:rFonts w:hint="eastAsia" w:ascii="宋体" w:hAnsi="宋体" w:eastAsia="宋体" w:cs="Times New Roman"/>
          <w:kern w:val="0"/>
          <w:sz w:val="36"/>
          <w:szCs w:val="36"/>
          <w:u w:val="single"/>
          <w:lang w:val="en-US" w:eastAsia="zh-CN"/>
        </w:rPr>
        <w:t>81</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5</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29</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32</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default" w:ascii="Tahoma" w:hAnsi="Tahoma" w:cs="Tahoma" w:eastAsiaTheme="minorEastAsia"/>
          <w:b/>
          <w:bCs/>
          <w:kern w:val="0"/>
          <w:sz w:val="28"/>
          <w:szCs w:val="28"/>
          <w:lang w:val="en-US" w:eastAsia="zh-CN"/>
        </w:rPr>
      </w:pPr>
      <w:r>
        <w:rPr>
          <w:rFonts w:hint="eastAsia" w:ascii="Tahoma" w:hAnsi="Tahoma" w:cs="Tahoma"/>
          <w:b/>
          <w:bCs/>
          <w:kern w:val="0"/>
          <w:sz w:val="28"/>
          <w:szCs w:val="28"/>
        </w:rPr>
        <w:t>关于生物安全建设设备（</w:t>
      </w:r>
      <w:r>
        <w:rPr>
          <w:rFonts w:hint="eastAsia" w:ascii="Tahoma" w:hAnsi="Tahoma" w:cs="Tahoma"/>
          <w:b/>
          <w:bCs/>
          <w:kern w:val="0"/>
          <w:sz w:val="28"/>
          <w:szCs w:val="28"/>
          <w:lang w:val="en-US" w:eastAsia="zh-CN"/>
        </w:rPr>
        <w:t>6</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rPr>
        <w:t>2020-XNYY-YQ-1</w:t>
      </w:r>
      <w:r>
        <w:rPr>
          <w:rFonts w:hint="eastAsia" w:ascii="Tahoma" w:hAnsi="Tahoma" w:cs="Tahoma"/>
          <w:kern w:val="0"/>
          <w:sz w:val="28"/>
          <w:szCs w:val="28"/>
          <w:lang w:val="en-US" w:eastAsia="zh-CN"/>
        </w:rPr>
        <w:t>81（第二次）</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生物安全建设设备（</w:t>
      </w:r>
      <w:r>
        <w:rPr>
          <w:rFonts w:hint="eastAsia" w:ascii="宋体" w:hAnsi="宋体" w:eastAsia="宋体" w:cs="Times New Roman"/>
          <w:kern w:val="0"/>
          <w:sz w:val="24"/>
          <w:szCs w:val="24"/>
          <w:lang w:val="en-US" w:eastAsia="zh-CN"/>
        </w:rPr>
        <w:t>6</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rPr>
        <w:t>2020-XNYY-YQ-1</w:t>
      </w:r>
      <w:r>
        <w:rPr>
          <w:rFonts w:hint="eastAsia" w:ascii="宋体" w:hAnsi="宋体" w:eastAsia="宋体" w:cs="Times New Roman"/>
          <w:kern w:val="0"/>
          <w:sz w:val="24"/>
          <w:szCs w:val="24"/>
          <w:lang w:val="en-US" w:eastAsia="zh-CN"/>
        </w:rPr>
        <w:t>81</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2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104"/>
        <w:gridCol w:w="696"/>
        <w:gridCol w:w="960"/>
        <w:gridCol w:w="697"/>
        <w:gridCol w:w="626"/>
        <w:gridCol w:w="1058"/>
        <w:gridCol w:w="1058"/>
        <w:gridCol w:w="1058"/>
        <w:gridCol w:w="896"/>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1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9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6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w:t>
            </w:r>
            <w:r>
              <w:rPr>
                <w:rFonts w:hint="eastAsia" w:cs="Times New Roman" w:asciiTheme="minorEastAsia" w:hAnsiTheme="minorEastAsia"/>
                <w:snapToGrid w:val="0"/>
                <w:kern w:val="0"/>
                <w:szCs w:val="21"/>
                <w:lang w:eastAsia="zh-CN"/>
              </w:rPr>
              <w:t>单价</w:t>
            </w: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Cs w:val="21"/>
                <w:lang w:eastAsia="zh-CN"/>
              </w:rPr>
              <w:t>项目</w:t>
            </w:r>
            <w:r>
              <w:rPr>
                <w:rFonts w:hint="eastAsia" w:cs="Times New Roman" w:asciiTheme="minorEastAsia" w:hAnsiTheme="minorEastAsia"/>
                <w:snapToGrid w:val="0"/>
                <w:kern w:val="0"/>
                <w:szCs w:val="21"/>
              </w:rPr>
              <w:t>预算（万元）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1</w:t>
            </w:r>
          </w:p>
        </w:tc>
        <w:tc>
          <w:tcPr>
            <w:tcW w:w="11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全波长</w:t>
            </w:r>
          </w:p>
          <w:p>
            <w:pPr>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酶标仪</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zCs w:val="21"/>
              </w:rPr>
            </w:pPr>
            <w:r>
              <w:rPr>
                <w:rFonts w:hint="eastAsia" w:cs="Times New Roman" w:asciiTheme="minorEastAsia" w:hAnsiTheme="minorEastAsia"/>
                <w:szCs w:val="21"/>
              </w:rPr>
              <w:t>/</w:t>
            </w:r>
          </w:p>
        </w:tc>
        <w:tc>
          <w:tcPr>
            <w:tcW w:w="960" w:type="dxa"/>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zCs w:val="21"/>
              </w:rPr>
            </w:pPr>
            <w:r>
              <w:rPr>
                <w:rFonts w:hint="eastAsia" w:cs="Times New Roman" w:asciiTheme="minorEastAsia" w:hAnsiTheme="minorEastAsia"/>
                <w:szCs w:val="21"/>
              </w:rPr>
              <w:t>详见谈判文件附件23</w:t>
            </w:r>
          </w:p>
        </w:tc>
        <w:tc>
          <w:tcPr>
            <w:tcW w:w="6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lang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14</w:t>
            </w:r>
          </w:p>
        </w:tc>
        <w:tc>
          <w:tcPr>
            <w:tcW w:w="1058" w:type="dxa"/>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14</w:t>
            </w:r>
          </w:p>
        </w:tc>
        <w:tc>
          <w:tcPr>
            <w:tcW w:w="1058" w:type="dxa"/>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96" w:type="dxa"/>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zCs w:val="21"/>
              </w:rPr>
            </w:pPr>
            <w:r>
              <w:rPr>
                <w:rFonts w:hint="eastAsia" w:cs="Times New Roman" w:asciiTheme="minorEastAsia" w:hAnsiTheme="minorEastAsia"/>
                <w:szCs w:val="21"/>
              </w:rPr>
              <w:t>重庆市</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849" w:type="dxa"/>
            <w:gridSpan w:val="10"/>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240" w:lineRule="auto"/>
              <w:rPr>
                <w:rFonts w:hint="eastAsia" w:asciiTheme="minorEastAsia" w:hAnsiTheme="minorEastAsia"/>
                <w:szCs w:val="21"/>
              </w:rPr>
            </w:pPr>
            <w:r>
              <w:rPr>
                <w:rFonts w:hint="eastAsia" w:asciiTheme="minorEastAsia" w:hAnsiTheme="minorEastAsia"/>
                <w:szCs w:val="21"/>
              </w:rPr>
              <w:t>报价应包括物资供应、运输、安装、培训、售后服务等价格。</w:t>
            </w:r>
          </w:p>
          <w:p>
            <w:pPr>
              <w:numPr>
                <w:ilvl w:val="0"/>
                <w:numId w:val="1"/>
              </w:numPr>
              <w:adjustRightInd w:val="0"/>
              <w:snapToGrid w:val="0"/>
              <w:spacing w:line="240" w:lineRule="auto"/>
              <w:rPr>
                <w:rFonts w:hint="eastAsia" w:asciiTheme="minorEastAsia" w:hAnsiTheme="minorEastAsia"/>
                <w:szCs w:val="21"/>
              </w:rPr>
            </w:pPr>
            <w:r>
              <w:rPr>
                <w:rFonts w:hint="eastAsia" w:asciiTheme="minorEastAsia" w:hAnsiTheme="minorEastAsia"/>
                <w:color w:val="auto"/>
                <w:szCs w:val="21"/>
              </w:rPr>
              <w:t>以上物资可单独报名。</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24</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lang w:eastAsia="zh-CN"/>
        </w:rPr>
        <w:t>中国政府采购网（www.ccgp.gov.cn）</w:t>
      </w:r>
      <w:r>
        <w:rPr>
          <w:rFonts w:hint="eastAsia" w:cs="Times New Roman" w:asciiTheme="minorEastAsia" w:hAnsiTheme="minorEastAsia"/>
          <w:b/>
          <w:kern w:val="0"/>
          <w:sz w:val="24"/>
          <w:szCs w:val="24"/>
        </w:rPr>
        <w:t>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w:t>
      </w:r>
      <w:r>
        <w:rPr>
          <w:rFonts w:hint="eastAsia" w:ascii="宋体" w:hAnsi="宋体" w:eastAsia="宋体" w:cs="Times New Roman"/>
          <w:kern w:val="0"/>
          <w:sz w:val="24"/>
          <w:szCs w:val="24"/>
          <w:lang w:val="en-US" w:eastAsia="zh-CN"/>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24</w:t>
      </w:r>
      <w:bookmarkStart w:id="26" w:name="_GoBack"/>
      <w:bookmarkEnd w:id="26"/>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w:t>
      </w:r>
    </w:p>
    <w:p>
      <w:pPr>
        <w:pStyle w:val="2"/>
        <w:adjustRightInd w:val="0"/>
        <w:spacing w:line="360" w:lineRule="atLeast"/>
        <w:jc w:val="center"/>
        <w:rPr>
          <w:rFonts w:ascii="黑体" w:hAnsi="黑体" w:eastAsia="黑体"/>
          <w:kern w:val="0"/>
          <w:sz w:val="32"/>
          <w:szCs w:val="32"/>
          <w:lang w:val="zh-CN"/>
        </w:rPr>
      </w:pPr>
      <w:bookmarkStart w:id="4" w:name="_Toc435540979"/>
      <w:bookmarkStart w:id="5" w:name="_Toc285612594"/>
      <w:bookmarkStart w:id="6" w:name="_Toc390713967"/>
      <w:bookmarkStart w:id="7" w:name="_Toc3778028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全波长</w:t>
            </w:r>
          </w:p>
          <w:p>
            <w:pPr>
              <w:adjustRightInd w:val="0"/>
              <w:snapToGrid w:val="0"/>
              <w:spacing w:line="240" w:lineRule="auto"/>
              <w:jc w:val="center"/>
              <w:rPr>
                <w:rFonts w:cs="Times New Roman" w:asciiTheme="minorEastAsia" w:hAnsiTheme="minorEastAsia"/>
                <w:szCs w:val="21"/>
              </w:rPr>
            </w:pPr>
            <w:r>
              <w:rPr>
                <w:rFonts w:hint="eastAsia" w:cs="Times New Roman" w:asciiTheme="minorEastAsia" w:hAnsiTheme="minorEastAsia"/>
                <w:szCs w:val="21"/>
                <w:lang w:val="en-US" w:eastAsia="zh-CN"/>
              </w:rPr>
              <w:t>酶标仪</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240" w:lineRule="auto"/>
              <w:jc w:val="center"/>
              <w:rPr>
                <w:rFonts w:cs="Times New Roman" w:asciiTheme="minorEastAsia" w:hAnsiTheme="minorEastAsia"/>
                <w:szCs w:val="21"/>
              </w:rPr>
            </w:pPr>
            <w:r>
              <w:rPr>
                <w:rFonts w:hint="eastAsia" w:cs="Times New Roman" w:asciiTheme="minorEastAsia" w:hAnsiTheme="minorEastAsia"/>
                <w:szCs w:val="21"/>
                <w:lang w:val="en-US" w:eastAsia="zh-CN"/>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pStyle w:val="2"/>
        <w:adjustRightInd w:val="0"/>
        <w:snapToGrid w:val="0"/>
        <w:spacing w:line="360" w:lineRule="atLeast"/>
        <w:jc w:val="center"/>
        <w:rPr>
          <w:rFonts w:ascii="黑体" w:hAnsi="黑体" w:eastAsia="黑体"/>
          <w:kern w:val="0"/>
          <w:sz w:val="32"/>
          <w:szCs w:val="32"/>
        </w:rPr>
      </w:pPr>
      <w:bookmarkStart w:id="9" w:name="_Toc285612601"/>
      <w:bookmarkStart w:id="10" w:name="_Toc37780285"/>
      <w:bookmarkStart w:id="11" w:name="_Toc435540980"/>
      <w:bookmarkStart w:id="12" w:name="_Toc240432230"/>
      <w:bookmarkStart w:id="13" w:name="_Toc390713968"/>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通过中国政府采购网（www.ccgp.gov.cn）及我院官网（www.xnyy.cn）公开发布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(15)</w:t>
      </w:r>
      <w:r>
        <w:rPr>
          <w:rFonts w:hint="eastAsia" w:cs="Times New Roman" w:asciiTheme="minorEastAsia" w:hAnsiTheme="minorEastAsia"/>
          <w:kern w:val="0"/>
          <w:sz w:val="24"/>
          <w:szCs w:val="24"/>
        </w:rPr>
        <w:t>技术评审表（附件14）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hint="eastAsia" w:cs="Times New Roman" w:asciiTheme="minorEastAsia" w:hAnsiTheme="minorEastAsia"/>
          <w:kern w:val="0"/>
          <w:sz w:val="24"/>
          <w:szCs w:val="24"/>
        </w:rPr>
        <w:t>商务评审表（附件15）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(18)报价方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生产企业对代理公司参与报价的授权书（进口产品需提供原产厂家对中国总代的中英文授权书复印件或同步翻译件。附件22）</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(16)报价方认为需要加以说明的其他内容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8.</w:t>
            </w:r>
            <w:r>
              <w:rPr>
                <w:rFonts w:hint="eastAsia"/>
              </w:rPr>
              <w:t xml:space="preserve"> </w:t>
            </w:r>
            <w:r>
              <w:rPr>
                <w:rFonts w:hint="eastAsia" w:ascii="宋体" w:hAnsi="宋体" w:eastAsia="宋体" w:cs="宋体"/>
                <w:kern w:val="0"/>
                <w:szCs w:val="21"/>
              </w:rPr>
              <w:t>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10.</w:t>
            </w:r>
            <w:r>
              <w:rPr>
                <w:rFonts w:hint="eastAsia"/>
              </w:rPr>
              <w:t xml:space="preserve"> </w:t>
            </w:r>
            <w:r>
              <w:rPr>
                <w:rFonts w:hint="eastAsia" w:ascii="宋体" w:hAnsi="宋体" w:eastAsia="宋体" w:cs="宋体"/>
                <w:kern w:val="0"/>
                <w:szCs w:val="21"/>
              </w:rPr>
              <w:t>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11.</w:t>
            </w:r>
            <w:r>
              <w:rPr>
                <w:rFonts w:hint="eastAsia"/>
              </w:rPr>
              <w:t xml:space="preserve"> </w:t>
            </w:r>
            <w:r>
              <w:rPr>
                <w:rFonts w:hint="eastAsia" w:ascii="宋体" w:hAnsi="宋体" w:eastAsia="宋体" w:cs="宋体"/>
                <w:kern w:val="0"/>
                <w:szCs w:val="21"/>
              </w:rPr>
              <w:t>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12.</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满足谈判文件要求且报价最低的为评审基准价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 w:val="20"/>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 w:val="21"/>
                <w:szCs w:val="21"/>
                <w:lang w:val="zh-CN"/>
              </w:rPr>
            </w:pPr>
            <w:r>
              <w:rPr>
                <w:rFonts w:hint="eastAsia" w:cs="Times New Roman" w:asciiTheme="majorEastAsia" w:hAnsiTheme="majorEastAsia" w:eastAsiaTheme="majorEastAsia"/>
                <w:kern w:val="0"/>
                <w:sz w:val="21"/>
                <w:szCs w:val="21"/>
              </w:rPr>
              <w:t>2.</w:t>
            </w:r>
            <w:r>
              <w:rPr>
                <w:rFonts w:hint="eastAsia" w:cs="Times New Roman" w:asciiTheme="minorEastAsia" w:hAnsiTheme="minorEastAsia" w:eastAsiaTheme="minorEastAsia"/>
                <w:kern w:val="0"/>
                <w:sz w:val="24"/>
                <w:szCs w:val="24"/>
                <w:lang w:val="zh-CN"/>
              </w:rPr>
              <w:t xml:space="preserve"> </w:t>
            </w:r>
            <w:r>
              <w:rPr>
                <w:rFonts w:hint="eastAsia" w:cs="Times New Roman" w:asciiTheme="majorEastAsia" w:hAnsiTheme="majorEastAsia" w:eastAsiaTheme="majorEastAsia"/>
                <w:kern w:val="0"/>
                <w:sz w:val="21"/>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lang w:val="zh-CN"/>
              </w:rPr>
              <w:t>3.</w:t>
            </w:r>
            <w:r>
              <w:rPr>
                <w:rFonts w:hint="eastAsia" w:cs="Times New Roman" w:asciiTheme="majorEastAsia" w:hAnsiTheme="majorEastAsia" w:eastAsiaTheme="majorEastAsia"/>
                <w:kern w:val="0"/>
                <w:sz w:val="21"/>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w:t>
            </w:r>
            <w:r>
              <w:rPr>
                <w:rFonts w:hint="eastAsia" w:cs="Times New Roman" w:asciiTheme="majorEastAsia" w:hAnsiTheme="majorEastAsia" w:eastAsiaTheme="majorEastAsia"/>
                <w:kern w:val="0"/>
                <w:sz w:val="21"/>
                <w:szCs w:val="21"/>
                <w:lang w:val="zh-CN"/>
              </w:rPr>
              <w:t xml:space="preserve"> 一般技术指标参数</w:t>
            </w:r>
            <w:r>
              <w:rPr>
                <w:rFonts w:hint="eastAsia" w:cs="Times New Roman" w:asciiTheme="majorEastAsia" w:hAnsiTheme="majorEastAsia" w:eastAsiaTheme="majorEastAsia"/>
                <w:kern w:val="0"/>
                <w:sz w:val="21"/>
                <w:szCs w:val="21"/>
              </w:rPr>
              <w:t>负偏离，每条扣2分，扣完为止</w:t>
            </w:r>
          </w:p>
        </w:tc>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零配件支持：提供零配件全国统一报价，更换配件价格不超过统一报价的70%。在满足谈判文件要求的基础上，根据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w:t>
      </w:r>
      <w:r>
        <w:rPr>
          <w:rFonts w:hint="eastAsia" w:ascii="宋体" w:hAnsi="宋体" w:eastAsia="宋体" w:cs="宋体"/>
          <w:snapToGrid w:val="0"/>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5" w:type="default"/>
          <w:footerReference r:id="rId6"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285612603"/>
      <w:bookmarkStart w:id="15" w:name="_Toc37780286"/>
      <w:bookmarkStart w:id="16" w:name="_Toc390713969"/>
      <w:bookmarkStart w:id="17" w:name="_Toc37172690"/>
      <w:bookmarkStart w:id="18" w:name="_Toc435540981"/>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9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293"/>
        <w:gridCol w:w="1841"/>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7" w:type="default"/>
          <w:footerReference r:id="rId8"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435540982"/>
      <w:bookmarkStart w:id="20" w:name="_Toc37780287"/>
      <w:bookmarkStart w:id="21" w:name="_Toc37172691"/>
      <w:bookmarkStart w:id="22" w:name="_Toc285612604"/>
      <w:bookmarkStart w:id="23" w:name="_Toc390713970"/>
      <w:bookmarkStart w:id="24" w:name="_Toc240432233"/>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9"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0"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7"/>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2"/>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2"/>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2"/>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2"/>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（签字或盖章）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3360;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附件23    技术指标参数要求明细</w:t>
      </w:r>
    </w:p>
    <w:p>
      <w:pPr>
        <w:spacing w:line="520" w:lineRule="exact"/>
        <w:jc w:val="center"/>
        <w:rPr>
          <w:rFonts w:asciiTheme="minorEastAsia" w:hAnsiTheme="minorEastAsia"/>
          <w:b/>
          <w:bCs/>
          <w:kern w:val="0"/>
          <w:sz w:val="28"/>
          <w:szCs w:val="32"/>
        </w:rPr>
      </w:pPr>
      <w:r>
        <w:rPr>
          <w:rFonts w:asciiTheme="minorEastAsia" w:hAnsiTheme="minorEastAsia"/>
          <w:b/>
          <w:bCs/>
          <w:kern w:val="0"/>
          <w:sz w:val="40"/>
          <w:szCs w:val="44"/>
        </w:rPr>
        <w:t>全波长酶标仪技术</w:t>
      </w:r>
      <w:r>
        <w:rPr>
          <w:rFonts w:hint="eastAsia" w:asciiTheme="minorEastAsia" w:hAnsiTheme="minorEastAsia"/>
          <w:b/>
          <w:bCs/>
          <w:kern w:val="0"/>
          <w:sz w:val="40"/>
          <w:szCs w:val="44"/>
        </w:rPr>
        <w:t>要求</w:t>
      </w:r>
    </w:p>
    <w:tbl>
      <w:tblPr>
        <w:tblStyle w:val="17"/>
        <w:tblW w:w="9090" w:type="dxa"/>
        <w:jc w:val="center"/>
        <w:tblLayout w:type="fixed"/>
        <w:tblCellMar>
          <w:top w:w="0" w:type="dxa"/>
          <w:left w:w="108" w:type="dxa"/>
          <w:bottom w:w="0" w:type="dxa"/>
          <w:right w:w="108" w:type="dxa"/>
        </w:tblCellMar>
      </w:tblPr>
      <w:tblGrid>
        <w:gridCol w:w="1003"/>
        <w:gridCol w:w="2328"/>
        <w:gridCol w:w="4225"/>
        <w:gridCol w:w="1534"/>
      </w:tblGrid>
      <w:tr>
        <w:tblPrEx>
          <w:tblCellMar>
            <w:top w:w="0" w:type="dxa"/>
            <w:left w:w="108" w:type="dxa"/>
            <w:bottom w:w="0" w:type="dxa"/>
            <w:right w:w="108" w:type="dxa"/>
          </w:tblCellMar>
        </w:tblPrEx>
        <w:trPr>
          <w:trHeight w:val="824" w:hRule="atLeast"/>
          <w:tblHeader/>
          <w:jc w:val="center"/>
        </w:trPr>
        <w:tc>
          <w:tcPr>
            <w:tcW w:w="1003" w:type="dxa"/>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序号</w:t>
            </w:r>
          </w:p>
        </w:tc>
        <w:tc>
          <w:tcPr>
            <w:tcW w:w="2328"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技术和性能参数名称</w:t>
            </w:r>
          </w:p>
        </w:tc>
        <w:tc>
          <w:tcPr>
            <w:tcW w:w="4225" w:type="dxa"/>
            <w:tcBorders>
              <w:top w:val="single" w:color="auto" w:sz="8" w:space="0"/>
              <w:left w:val="nil"/>
              <w:bottom w:val="single" w:color="auto" w:sz="4" w:space="0"/>
              <w:right w:val="single" w:color="auto" w:sz="4" w:space="0"/>
            </w:tcBorders>
            <w:vAlign w:val="center"/>
          </w:tcPr>
          <w:p>
            <w:pPr>
              <w:widowControl/>
              <w:spacing w:line="276" w:lineRule="auto"/>
              <w:jc w:val="center"/>
              <w:rPr>
                <w:rFonts w:ascii="Times New Roman" w:hAnsi="Times New Roman"/>
                <w:b/>
                <w:bCs/>
                <w:kern w:val="0"/>
                <w:sz w:val="24"/>
                <w:szCs w:val="24"/>
              </w:rPr>
            </w:pPr>
            <w:r>
              <w:rPr>
                <w:rFonts w:ascii="Times New Roman" w:hAnsi="Times New Roman"/>
                <w:b/>
                <w:bCs/>
                <w:kern w:val="0"/>
              </w:rPr>
              <w:t>技术参数和性能要求</w:t>
            </w:r>
          </w:p>
        </w:tc>
        <w:tc>
          <w:tcPr>
            <w:tcW w:w="1534" w:type="dxa"/>
            <w:tcBorders>
              <w:top w:val="single" w:color="auto" w:sz="8" w:space="0"/>
              <w:left w:val="nil"/>
              <w:bottom w:val="single" w:color="auto" w:sz="4" w:space="0"/>
              <w:right w:val="single" w:color="auto" w:sz="8" w:space="0"/>
            </w:tcBorders>
            <w:vAlign w:val="center"/>
          </w:tcPr>
          <w:p>
            <w:pPr>
              <w:widowControl/>
              <w:jc w:val="center"/>
              <w:rPr>
                <w:rFonts w:ascii="Times New Roman" w:hAnsi="Times New Roman" w:eastAsia="幼圆"/>
                <w:b/>
                <w:bCs/>
                <w:kern w:val="0"/>
                <w:sz w:val="24"/>
                <w:szCs w:val="24"/>
              </w:rPr>
            </w:pPr>
            <w:r>
              <w:rPr>
                <w:rFonts w:ascii="Times New Roman" w:hAnsi="Times New Roman"/>
                <w:b/>
                <w:bCs/>
                <w:kern w:val="0"/>
              </w:rPr>
              <w:t>备注</w:t>
            </w:r>
          </w:p>
        </w:tc>
      </w:tr>
      <w:tr>
        <w:tblPrEx>
          <w:tblCellMar>
            <w:top w:w="0" w:type="dxa"/>
            <w:left w:w="108" w:type="dxa"/>
            <w:bottom w:w="0" w:type="dxa"/>
            <w:right w:w="108" w:type="dxa"/>
          </w:tblCellMar>
        </w:tblPrEx>
        <w:trPr>
          <w:trHeight w:val="844"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1</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设备使用需求</w:t>
            </w:r>
          </w:p>
        </w:tc>
        <w:tc>
          <w:tcPr>
            <w:tcW w:w="4225"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b/>
                <w:bCs/>
                <w:kern w:val="0"/>
                <w:szCs w:val="21"/>
              </w:rPr>
            </w:pP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　</w:t>
            </w:r>
          </w:p>
        </w:tc>
      </w:tr>
      <w:tr>
        <w:tblPrEx>
          <w:tblCellMar>
            <w:top w:w="0" w:type="dxa"/>
            <w:left w:w="108" w:type="dxa"/>
            <w:bottom w:w="0" w:type="dxa"/>
            <w:right w:w="108" w:type="dxa"/>
          </w:tblCellMar>
        </w:tblPrEx>
        <w:trPr>
          <w:trHeight w:val="602"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1.1</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设备用途</w:t>
            </w:r>
          </w:p>
        </w:tc>
        <w:tc>
          <w:tcPr>
            <w:tcW w:w="422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bCs/>
                <w:color w:val="000000"/>
                <w:kern w:val="0"/>
                <w:szCs w:val="21"/>
              </w:rPr>
              <w:t>仪器用于比色皿或微孔板中</w:t>
            </w:r>
            <w:r>
              <w:rPr>
                <w:rFonts w:ascii="Times New Roman" w:hAnsi="Times New Roman"/>
                <w:kern w:val="0"/>
                <w:szCs w:val="21"/>
              </w:rPr>
              <w:t>样本的吸光度检测</w:t>
            </w: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r>
              <w:rPr>
                <w:rFonts w:ascii="Times New Roman" w:hAnsi="Times New Roman"/>
                <w:kern w:val="0"/>
              </w:rPr>
              <w:t>　</w:t>
            </w:r>
          </w:p>
        </w:tc>
      </w:tr>
      <w:tr>
        <w:tblPrEx>
          <w:tblCellMar>
            <w:top w:w="0" w:type="dxa"/>
            <w:left w:w="108" w:type="dxa"/>
            <w:bottom w:w="0" w:type="dxa"/>
            <w:right w:w="108" w:type="dxa"/>
          </w:tblCellMar>
        </w:tblPrEx>
        <w:trPr>
          <w:trHeight w:val="568" w:hRule="atLeast"/>
          <w:jc w:val="center"/>
        </w:trPr>
        <w:tc>
          <w:tcPr>
            <w:tcW w:w="1003"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1.2</w:t>
            </w:r>
          </w:p>
        </w:tc>
        <w:tc>
          <w:tcPr>
            <w:tcW w:w="232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olor w:val="000000"/>
                <w:kern w:val="0"/>
                <w:sz w:val="24"/>
                <w:szCs w:val="24"/>
              </w:rPr>
            </w:pPr>
            <w:r>
              <w:rPr>
                <w:rFonts w:ascii="Times New Roman" w:hAnsi="Times New Roman"/>
                <w:color w:val="000000"/>
                <w:kern w:val="0"/>
              </w:rPr>
              <w:t>实验对象</w:t>
            </w:r>
          </w:p>
        </w:tc>
        <w:tc>
          <w:tcPr>
            <w:tcW w:w="4225"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bCs/>
                <w:color w:val="000000"/>
                <w:kern w:val="0"/>
                <w:szCs w:val="21"/>
              </w:rPr>
              <w:t>DNA、RNA和蛋白质快速定量、ELISA、微生物生长、细胞、内毒素检测</w:t>
            </w:r>
          </w:p>
        </w:tc>
        <w:tc>
          <w:tcPr>
            <w:tcW w:w="1534"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 w:val="24"/>
                <w:szCs w:val="24"/>
              </w:rPr>
            </w:pPr>
            <w:r>
              <w:rPr>
                <w:rFonts w:ascii="Times New Roman" w:hAnsi="Times New Roman"/>
                <w:kern w:val="0"/>
              </w:rPr>
              <w:t>　</w:t>
            </w:r>
          </w:p>
        </w:tc>
      </w:tr>
      <w:tr>
        <w:tblPrEx>
          <w:tblCellMar>
            <w:top w:w="0" w:type="dxa"/>
            <w:left w:w="108" w:type="dxa"/>
            <w:bottom w:w="0" w:type="dxa"/>
            <w:right w:w="108" w:type="dxa"/>
          </w:tblCellMar>
        </w:tblPrEx>
        <w:trPr>
          <w:trHeight w:val="550"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bCs/>
                <w:kern w:val="0"/>
                <w:sz w:val="24"/>
                <w:szCs w:val="24"/>
              </w:rPr>
            </w:pPr>
            <w:r>
              <w:rPr>
                <w:rFonts w:ascii="Times New Roman" w:hAnsi="Times New Roman"/>
                <w:bCs/>
                <w:kern w:val="0"/>
              </w:rPr>
              <w:t>1.3</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bCs/>
                <w:kern w:val="0"/>
                <w:sz w:val="24"/>
                <w:szCs w:val="24"/>
              </w:rPr>
            </w:pPr>
            <w:r>
              <w:rPr>
                <w:rFonts w:ascii="Times New Roman" w:hAnsi="Times New Roman"/>
                <w:bCs/>
                <w:kern w:val="0"/>
              </w:rPr>
              <w:t>特殊功能需求</w:t>
            </w:r>
          </w:p>
        </w:tc>
        <w:tc>
          <w:tcPr>
            <w:tcW w:w="422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bCs/>
                <w:kern w:val="0"/>
                <w:szCs w:val="21"/>
              </w:rPr>
            </w:pPr>
            <w:r>
              <w:rPr>
                <w:rFonts w:ascii="Times New Roman" w:hAnsi="Times New Roman"/>
                <w:bCs/>
                <w:kern w:val="0"/>
                <w:szCs w:val="21"/>
              </w:rPr>
              <w:t>可置于生物安全柜，用于3000米以上高海拔使用</w:t>
            </w:r>
          </w:p>
        </w:tc>
        <w:tc>
          <w:tcPr>
            <w:tcW w:w="1534" w:type="dxa"/>
            <w:tcBorders>
              <w:top w:val="nil"/>
              <w:left w:val="nil"/>
              <w:bottom w:val="single" w:color="auto" w:sz="4" w:space="0"/>
              <w:right w:val="single" w:color="auto" w:sz="8" w:space="0"/>
            </w:tcBorders>
            <w:vAlign w:val="center"/>
          </w:tcPr>
          <w:p>
            <w:pPr>
              <w:widowControl/>
              <w:rPr>
                <w:rFonts w:ascii="Times New Roman" w:hAnsi="Times New Roman"/>
                <w:b/>
                <w:bCs/>
                <w:kern w:val="0"/>
                <w:sz w:val="24"/>
                <w:szCs w:val="24"/>
              </w:rPr>
            </w:pPr>
            <w:r>
              <w:rPr>
                <w:rFonts w:ascii="Times New Roman" w:hAnsi="Times New Roman"/>
                <w:b/>
                <w:bCs/>
                <w:kern w:val="0"/>
              </w:rPr>
              <w:t>　</w:t>
            </w:r>
          </w:p>
        </w:tc>
      </w:tr>
      <w:tr>
        <w:tblPrEx>
          <w:tblCellMar>
            <w:top w:w="0" w:type="dxa"/>
            <w:left w:w="108" w:type="dxa"/>
            <w:bottom w:w="0" w:type="dxa"/>
            <w:right w:w="108" w:type="dxa"/>
          </w:tblCellMar>
        </w:tblPrEx>
        <w:trPr>
          <w:trHeight w:val="990"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b/>
                <w:kern w:val="0"/>
                <w:sz w:val="24"/>
                <w:szCs w:val="24"/>
              </w:rPr>
            </w:pPr>
            <w:r>
              <w:rPr>
                <w:rFonts w:ascii="Times New Roman" w:hAnsi="Times New Roman"/>
                <w:b/>
                <w:kern w:val="0"/>
              </w:rPr>
              <w:t>2</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主要技术参数</w:t>
            </w:r>
            <w:r>
              <w:rPr>
                <w:rFonts w:ascii="Times New Roman" w:hAnsi="Times New Roman"/>
                <w:b/>
                <w:bCs/>
                <w:kern w:val="0"/>
              </w:rPr>
              <w:br w:type="textWrapping"/>
            </w:r>
            <w:r>
              <w:rPr>
                <w:rFonts w:ascii="Times New Roman" w:hAnsi="Times New Roman"/>
                <w:b/>
                <w:bCs/>
                <w:kern w:val="0"/>
              </w:rPr>
              <w:t>（一行只写一个参数）</w:t>
            </w:r>
          </w:p>
        </w:tc>
        <w:tc>
          <w:tcPr>
            <w:tcW w:w="422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r>
              <w:rPr>
                <w:rFonts w:ascii="Times New Roman" w:hAnsi="Times New Roman"/>
                <w:kern w:val="0"/>
              </w:rPr>
              <w:t>　</w:t>
            </w:r>
          </w:p>
        </w:tc>
      </w:tr>
      <w:tr>
        <w:tblPrEx>
          <w:tblCellMar>
            <w:top w:w="0" w:type="dxa"/>
            <w:left w:w="108" w:type="dxa"/>
            <w:bottom w:w="0" w:type="dxa"/>
            <w:right w:w="108" w:type="dxa"/>
          </w:tblCellMar>
        </w:tblPrEx>
        <w:trPr>
          <w:trHeight w:val="1149"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2.1</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hint="eastAsia" w:ascii="宋体" w:hAnsi="宋体" w:cs="宋体"/>
                <w:kern w:val="0"/>
              </w:rPr>
              <w:t>★</w:t>
            </w:r>
            <w:r>
              <w:rPr>
                <w:rFonts w:ascii="Times New Roman" w:hAnsi="Times New Roman"/>
                <w:kern w:val="0"/>
              </w:rPr>
              <w:t>参数1</w:t>
            </w:r>
          </w:p>
        </w:tc>
        <w:tc>
          <w:tcPr>
            <w:tcW w:w="4225" w:type="dxa"/>
            <w:tcBorders>
              <w:top w:val="nil"/>
              <w:left w:val="nil"/>
              <w:bottom w:val="single" w:color="auto" w:sz="4" w:space="0"/>
              <w:right w:val="single" w:color="auto" w:sz="4" w:space="0"/>
            </w:tcBorders>
            <w:vAlign w:val="center"/>
          </w:tcPr>
          <w:p>
            <w:pPr>
              <w:pStyle w:val="46"/>
              <w:spacing w:line="320" w:lineRule="exact"/>
              <w:ind w:firstLine="0" w:firstLineChars="0"/>
              <w:jc w:val="left"/>
              <w:rPr>
                <w:rFonts w:ascii="Times New Roman" w:hAnsi="Times New Roman" w:eastAsia="宋体"/>
                <w:szCs w:val="21"/>
              </w:rPr>
            </w:pPr>
            <w:r>
              <w:rPr>
                <w:rFonts w:ascii="Times New Roman" w:hAnsi="Times New Roman" w:eastAsia="宋体"/>
                <w:szCs w:val="21"/>
              </w:rPr>
              <w:t>检测范围：紫外、可见光吸收检测，波长范围：190nm-1000nm，1nm可调</w:t>
            </w:r>
          </w:p>
        </w:tc>
        <w:tc>
          <w:tcPr>
            <w:tcW w:w="1534" w:type="dxa"/>
            <w:tcBorders>
              <w:top w:val="nil"/>
              <w:left w:val="nil"/>
              <w:bottom w:val="single" w:color="auto" w:sz="4" w:space="0"/>
              <w:right w:val="single" w:color="auto" w:sz="8" w:space="0"/>
            </w:tcBorders>
            <w:vAlign w:val="center"/>
          </w:tcPr>
          <w:p>
            <w:pPr>
              <w:widowControl/>
              <w:rPr>
                <w:rFonts w:ascii="Times New Roman" w:hAnsi="Times New Roman"/>
                <w:kern w:val="0"/>
                <w:sz w:val="18"/>
                <w:szCs w:val="18"/>
              </w:rPr>
            </w:pPr>
          </w:p>
        </w:tc>
      </w:tr>
      <w:tr>
        <w:tblPrEx>
          <w:tblCellMar>
            <w:top w:w="0" w:type="dxa"/>
            <w:left w:w="108" w:type="dxa"/>
            <w:bottom w:w="0" w:type="dxa"/>
            <w:right w:w="108" w:type="dxa"/>
          </w:tblCellMar>
        </w:tblPrEx>
        <w:trPr>
          <w:trHeight w:val="1149"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2.2</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hint="eastAsia" w:ascii="宋体" w:hAnsi="宋体" w:cs="宋体"/>
                <w:kern w:val="0"/>
              </w:rPr>
              <w:t>★</w:t>
            </w:r>
            <w:r>
              <w:rPr>
                <w:rFonts w:ascii="Times New Roman" w:hAnsi="Times New Roman"/>
                <w:kern w:val="0"/>
              </w:rPr>
              <w:t>参数2</w:t>
            </w:r>
          </w:p>
        </w:tc>
        <w:tc>
          <w:tcPr>
            <w:tcW w:w="4225" w:type="dxa"/>
            <w:tcBorders>
              <w:top w:val="nil"/>
              <w:left w:val="nil"/>
              <w:bottom w:val="single" w:color="auto" w:sz="4" w:space="0"/>
              <w:right w:val="single" w:color="auto" w:sz="4" w:space="0"/>
            </w:tcBorders>
            <w:vAlign w:val="center"/>
          </w:tcPr>
          <w:p>
            <w:pPr>
              <w:pStyle w:val="46"/>
              <w:spacing w:line="320" w:lineRule="exact"/>
              <w:ind w:firstLine="0" w:firstLineChars="0"/>
              <w:jc w:val="left"/>
              <w:rPr>
                <w:rFonts w:ascii="Times New Roman" w:hAnsi="Times New Roman" w:eastAsia="宋体"/>
                <w:szCs w:val="21"/>
              </w:rPr>
            </w:pPr>
            <w:r>
              <w:rPr>
                <w:rFonts w:ascii="Times New Roman" w:hAnsi="Times New Roman" w:eastAsia="宋体"/>
                <w:szCs w:val="21"/>
              </w:rPr>
              <w:t>样品类型：96 或 384 孔微孔板，比色皿， 64孔超微量检测板</w:t>
            </w:r>
          </w:p>
        </w:tc>
        <w:tc>
          <w:tcPr>
            <w:tcW w:w="1534" w:type="dxa"/>
            <w:tcBorders>
              <w:top w:val="nil"/>
              <w:left w:val="nil"/>
              <w:bottom w:val="single" w:color="auto" w:sz="4" w:space="0"/>
              <w:right w:val="single" w:color="auto" w:sz="8" w:space="0"/>
            </w:tcBorders>
            <w:vAlign w:val="center"/>
          </w:tcPr>
          <w:p>
            <w:pPr>
              <w:widowControl/>
              <w:rPr>
                <w:rFonts w:ascii="Times New Roman" w:hAnsi="Times New Roman"/>
                <w:kern w:val="0"/>
                <w:sz w:val="18"/>
                <w:szCs w:val="18"/>
              </w:rPr>
            </w:pPr>
            <w:r>
              <w:rPr>
                <w:rFonts w:ascii="Times New Roman" w:hAnsi="Times New Roman"/>
                <w:kern w:val="0"/>
                <w:sz w:val="18"/>
                <w:szCs w:val="18"/>
              </w:rPr>
              <w:t>　</w:t>
            </w:r>
          </w:p>
        </w:tc>
      </w:tr>
      <w:tr>
        <w:tblPrEx>
          <w:tblCellMar>
            <w:top w:w="0" w:type="dxa"/>
            <w:left w:w="108" w:type="dxa"/>
            <w:bottom w:w="0" w:type="dxa"/>
            <w:right w:w="108" w:type="dxa"/>
          </w:tblCellMar>
        </w:tblPrEx>
        <w:trPr>
          <w:trHeight w:val="401"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2.3</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hint="eastAsia" w:ascii="宋体" w:hAnsi="宋体" w:cs="宋体"/>
                <w:kern w:val="0"/>
              </w:rPr>
              <w:t>★</w:t>
            </w:r>
            <w:r>
              <w:rPr>
                <w:rFonts w:ascii="Times New Roman" w:hAnsi="Times New Roman"/>
                <w:kern w:val="0"/>
              </w:rPr>
              <w:t>参数3</w:t>
            </w:r>
          </w:p>
        </w:tc>
        <w:tc>
          <w:tcPr>
            <w:tcW w:w="422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szCs w:val="21"/>
              </w:rPr>
            </w:pPr>
            <w:r>
              <w:rPr>
                <w:rFonts w:ascii="Times New Roman" w:hAnsi="Times New Roman"/>
                <w:szCs w:val="21"/>
              </w:rPr>
              <w:t>带宽：≤2nm，波长准确度：&lt;±1nm，波长重复性：±0.2nm</w:t>
            </w:r>
          </w:p>
        </w:tc>
        <w:tc>
          <w:tcPr>
            <w:tcW w:w="1534" w:type="dxa"/>
            <w:tcBorders>
              <w:top w:val="nil"/>
              <w:left w:val="nil"/>
              <w:bottom w:val="single" w:color="auto" w:sz="4" w:space="0"/>
              <w:right w:val="single" w:color="auto" w:sz="8" w:space="0"/>
            </w:tcBorders>
            <w:vAlign w:val="center"/>
          </w:tcPr>
          <w:p>
            <w:pPr>
              <w:widowControl/>
              <w:rPr>
                <w:rFonts w:ascii="Times New Roman" w:hAnsi="Times New Roman"/>
                <w:kern w:val="0"/>
                <w:sz w:val="24"/>
                <w:szCs w:val="24"/>
              </w:rPr>
            </w:pPr>
          </w:p>
        </w:tc>
      </w:tr>
      <w:tr>
        <w:tblPrEx>
          <w:tblCellMar>
            <w:top w:w="0" w:type="dxa"/>
            <w:left w:w="108" w:type="dxa"/>
            <w:bottom w:w="0" w:type="dxa"/>
            <w:right w:w="108" w:type="dxa"/>
          </w:tblCellMar>
        </w:tblPrEx>
        <w:trPr>
          <w:trHeight w:val="383"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2.4</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hint="eastAsia" w:ascii="宋体" w:hAnsi="宋体" w:cs="宋体"/>
                <w:kern w:val="0"/>
              </w:rPr>
              <w:t>★</w:t>
            </w:r>
            <w:r>
              <w:rPr>
                <w:rFonts w:ascii="Times New Roman" w:hAnsi="Times New Roman"/>
                <w:kern w:val="0"/>
              </w:rPr>
              <w:t>参数4</w:t>
            </w:r>
          </w:p>
        </w:tc>
        <w:tc>
          <w:tcPr>
            <w:tcW w:w="422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szCs w:val="21"/>
              </w:rPr>
            </w:pPr>
            <w:r>
              <w:rPr>
                <w:rFonts w:ascii="Times New Roman" w:hAnsi="Times New Roman"/>
                <w:szCs w:val="21"/>
              </w:rPr>
              <w:t>测定准确度(微孔板)：＜±0.006OD±1.0%,0-3.0 OD</w:t>
            </w:r>
          </w:p>
        </w:tc>
        <w:tc>
          <w:tcPr>
            <w:tcW w:w="1534" w:type="dxa"/>
            <w:tcBorders>
              <w:top w:val="nil"/>
              <w:left w:val="nil"/>
              <w:bottom w:val="single" w:color="auto" w:sz="4" w:space="0"/>
              <w:right w:val="single" w:color="auto" w:sz="8" w:space="0"/>
            </w:tcBorders>
            <w:vAlign w:val="center"/>
          </w:tcPr>
          <w:p>
            <w:pPr>
              <w:widowControl/>
              <w:rPr>
                <w:rFonts w:ascii="Times New Roman" w:hAnsi="Times New Roman"/>
                <w:kern w:val="0"/>
                <w:sz w:val="24"/>
                <w:szCs w:val="24"/>
              </w:rPr>
            </w:pPr>
          </w:p>
        </w:tc>
      </w:tr>
      <w:tr>
        <w:tblPrEx>
          <w:tblCellMar>
            <w:top w:w="0" w:type="dxa"/>
            <w:left w:w="108" w:type="dxa"/>
            <w:bottom w:w="0" w:type="dxa"/>
            <w:right w:w="108" w:type="dxa"/>
          </w:tblCellMar>
        </w:tblPrEx>
        <w:trPr>
          <w:trHeight w:val="383"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2.5</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hint="eastAsia" w:ascii="宋体" w:hAnsi="宋体" w:cs="宋体"/>
                <w:kern w:val="0"/>
              </w:rPr>
              <w:t>★</w:t>
            </w:r>
            <w:r>
              <w:rPr>
                <w:rFonts w:ascii="Times New Roman" w:hAnsi="Times New Roman"/>
                <w:kern w:val="0"/>
              </w:rPr>
              <w:t>参数5</w:t>
            </w:r>
          </w:p>
        </w:tc>
        <w:tc>
          <w:tcPr>
            <w:tcW w:w="422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szCs w:val="21"/>
              </w:rPr>
            </w:pPr>
            <w:r>
              <w:rPr>
                <w:rFonts w:ascii="Times New Roman" w:hAnsi="Times New Roman"/>
                <w:szCs w:val="21"/>
              </w:rPr>
              <w:t>仪器小巧，长高深均≤42cm，可置于生物安全柜内使用，重量≤12kg，防震，便于野外携带及3000米以上高海拔使用</w:t>
            </w:r>
          </w:p>
        </w:tc>
        <w:tc>
          <w:tcPr>
            <w:tcW w:w="1534" w:type="dxa"/>
            <w:tcBorders>
              <w:top w:val="nil"/>
              <w:left w:val="nil"/>
              <w:bottom w:val="single" w:color="auto" w:sz="4" w:space="0"/>
              <w:right w:val="single" w:color="auto" w:sz="8" w:space="0"/>
            </w:tcBorders>
            <w:vAlign w:val="center"/>
          </w:tcPr>
          <w:p>
            <w:pPr>
              <w:widowControl/>
              <w:rPr>
                <w:rFonts w:ascii="Times New Roman" w:hAnsi="Times New Roman"/>
                <w:kern w:val="0"/>
                <w:sz w:val="24"/>
                <w:szCs w:val="24"/>
              </w:rPr>
            </w:pPr>
          </w:p>
        </w:tc>
      </w:tr>
      <w:tr>
        <w:tblPrEx>
          <w:tblCellMar>
            <w:top w:w="0" w:type="dxa"/>
            <w:left w:w="108" w:type="dxa"/>
            <w:bottom w:w="0" w:type="dxa"/>
            <w:right w:w="108" w:type="dxa"/>
          </w:tblCellMar>
        </w:tblPrEx>
        <w:trPr>
          <w:trHeight w:val="383"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2.6</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参数6</w:t>
            </w:r>
          </w:p>
        </w:tc>
        <w:tc>
          <w:tcPr>
            <w:tcW w:w="422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szCs w:val="21"/>
              </w:rPr>
            </w:pPr>
            <w:r>
              <w:rPr>
                <w:rFonts w:ascii="Times New Roman" w:hAnsi="Times New Roman"/>
                <w:szCs w:val="21"/>
              </w:rPr>
              <w:t>具有进行光程校正功能，光程校正结果不随温度变化而变化</w:t>
            </w:r>
          </w:p>
        </w:tc>
        <w:tc>
          <w:tcPr>
            <w:tcW w:w="1534" w:type="dxa"/>
            <w:tcBorders>
              <w:top w:val="nil"/>
              <w:left w:val="nil"/>
              <w:bottom w:val="single" w:color="auto" w:sz="4" w:space="0"/>
              <w:right w:val="single" w:color="auto" w:sz="8" w:space="0"/>
            </w:tcBorders>
            <w:vAlign w:val="center"/>
          </w:tcPr>
          <w:p>
            <w:pPr>
              <w:widowControl/>
              <w:rPr>
                <w:rFonts w:ascii="Times New Roman" w:hAnsi="Times New Roman"/>
                <w:kern w:val="0"/>
                <w:sz w:val="24"/>
                <w:szCs w:val="24"/>
              </w:rPr>
            </w:pPr>
          </w:p>
        </w:tc>
      </w:tr>
      <w:tr>
        <w:tblPrEx>
          <w:tblCellMar>
            <w:top w:w="0" w:type="dxa"/>
            <w:left w:w="108" w:type="dxa"/>
            <w:bottom w:w="0" w:type="dxa"/>
            <w:right w:w="108" w:type="dxa"/>
          </w:tblCellMar>
        </w:tblPrEx>
        <w:trPr>
          <w:trHeight w:val="477"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2.7</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参数7</w:t>
            </w:r>
          </w:p>
        </w:tc>
        <w:tc>
          <w:tcPr>
            <w:tcW w:w="422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bCs/>
                <w:szCs w:val="21"/>
              </w:rPr>
            </w:pPr>
            <w:r>
              <w:rPr>
                <w:rFonts w:ascii="Times New Roman" w:hAnsi="Times New Roman"/>
                <w:szCs w:val="21"/>
              </w:rPr>
              <w:t>光源：闪烁式高能氙灯（≥10亿次闪烁）</w:t>
            </w: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18"/>
                <w:szCs w:val="18"/>
              </w:rPr>
            </w:pPr>
          </w:p>
        </w:tc>
      </w:tr>
      <w:tr>
        <w:tblPrEx>
          <w:tblCellMar>
            <w:top w:w="0" w:type="dxa"/>
            <w:left w:w="108" w:type="dxa"/>
            <w:bottom w:w="0" w:type="dxa"/>
            <w:right w:w="108" w:type="dxa"/>
          </w:tblCellMar>
        </w:tblPrEx>
        <w:trPr>
          <w:trHeight w:val="558" w:hRule="atLeast"/>
          <w:jc w:val="center"/>
        </w:trPr>
        <w:tc>
          <w:tcPr>
            <w:tcW w:w="1003"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2.8</w:t>
            </w:r>
          </w:p>
        </w:tc>
        <w:tc>
          <w:tcPr>
            <w:tcW w:w="2328" w:type="dxa"/>
            <w:tcBorders>
              <w:top w:val="single" w:color="auto" w:sz="4" w:space="0"/>
              <w:left w:val="nil"/>
              <w:bottom w:val="single" w:color="auto" w:sz="4" w:space="0"/>
              <w:right w:val="single" w:color="auto" w:sz="4" w:space="0"/>
            </w:tcBorders>
            <w:vAlign w:val="center"/>
          </w:tcPr>
          <w:p>
            <w:pPr>
              <w:spacing w:line="360" w:lineRule="auto"/>
              <w:jc w:val="center"/>
              <w:rPr>
                <w:rFonts w:ascii="Times New Roman" w:hAnsi="Times New Roman"/>
                <w:sz w:val="24"/>
                <w:szCs w:val="24"/>
              </w:rPr>
            </w:pPr>
            <w:r>
              <w:rPr>
                <w:rFonts w:ascii="Times New Roman" w:hAnsi="Times New Roman"/>
                <w:kern w:val="0"/>
              </w:rPr>
              <w:t>参数8</w:t>
            </w:r>
          </w:p>
        </w:tc>
        <w:tc>
          <w:tcPr>
            <w:tcW w:w="4225" w:type="dxa"/>
            <w:tcBorders>
              <w:top w:val="single" w:color="auto" w:sz="4" w:space="0"/>
              <w:left w:val="nil"/>
              <w:bottom w:val="single" w:color="auto" w:sz="4" w:space="0"/>
              <w:right w:val="single" w:color="auto" w:sz="4" w:space="0"/>
            </w:tcBorders>
            <w:vAlign w:val="center"/>
          </w:tcPr>
          <w:p>
            <w:pPr>
              <w:pStyle w:val="46"/>
              <w:spacing w:line="320" w:lineRule="exact"/>
              <w:ind w:firstLine="0" w:firstLineChars="0"/>
              <w:jc w:val="left"/>
              <w:rPr>
                <w:rFonts w:ascii="Times New Roman" w:hAnsi="Times New Roman" w:eastAsia="宋体"/>
                <w:bCs/>
                <w:szCs w:val="21"/>
              </w:rPr>
            </w:pPr>
            <w:r>
              <w:rPr>
                <w:rFonts w:ascii="Times New Roman" w:hAnsi="Times New Roman" w:eastAsia="宋体"/>
                <w:szCs w:val="21"/>
              </w:rPr>
              <w:t>检测模式：终点法、动力学法、光谱扫描</w:t>
            </w:r>
          </w:p>
        </w:tc>
        <w:tc>
          <w:tcPr>
            <w:tcW w:w="1534" w:type="dxa"/>
            <w:tcBorders>
              <w:top w:val="single" w:color="auto" w:sz="4" w:space="0"/>
              <w:left w:val="nil"/>
              <w:bottom w:val="single" w:color="auto" w:sz="4" w:space="0"/>
              <w:right w:val="single" w:color="auto" w:sz="8" w:space="0"/>
            </w:tcBorders>
            <w:vAlign w:val="center"/>
          </w:tcPr>
          <w:p>
            <w:pPr>
              <w:widowControl/>
              <w:rPr>
                <w:rFonts w:ascii="Times New Roman" w:hAnsi="Times New Roman"/>
                <w:kern w:val="0"/>
                <w:sz w:val="18"/>
                <w:szCs w:val="18"/>
              </w:rPr>
            </w:pPr>
          </w:p>
        </w:tc>
      </w:tr>
      <w:tr>
        <w:tblPrEx>
          <w:tblCellMar>
            <w:top w:w="0" w:type="dxa"/>
            <w:left w:w="108" w:type="dxa"/>
            <w:bottom w:w="0" w:type="dxa"/>
            <w:right w:w="108" w:type="dxa"/>
          </w:tblCellMar>
        </w:tblPrEx>
        <w:trPr>
          <w:trHeight w:val="416" w:hRule="atLeast"/>
          <w:jc w:val="center"/>
        </w:trPr>
        <w:tc>
          <w:tcPr>
            <w:tcW w:w="1003"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2.9</w:t>
            </w:r>
          </w:p>
        </w:tc>
        <w:tc>
          <w:tcPr>
            <w:tcW w:w="2328" w:type="dxa"/>
            <w:tcBorders>
              <w:top w:val="single" w:color="auto" w:sz="4" w:space="0"/>
              <w:left w:val="nil"/>
              <w:bottom w:val="single" w:color="auto" w:sz="4" w:space="0"/>
              <w:right w:val="single" w:color="auto" w:sz="4" w:space="0"/>
            </w:tcBorders>
            <w:vAlign w:val="center"/>
          </w:tcPr>
          <w:p>
            <w:pPr>
              <w:spacing w:line="360" w:lineRule="auto"/>
              <w:jc w:val="center"/>
              <w:rPr>
                <w:rFonts w:ascii="Times New Roman" w:hAnsi="Times New Roman"/>
                <w:kern w:val="0"/>
                <w:sz w:val="24"/>
                <w:szCs w:val="24"/>
              </w:rPr>
            </w:pPr>
            <w:r>
              <w:rPr>
                <w:rFonts w:ascii="Times New Roman" w:hAnsi="Times New Roman"/>
                <w:kern w:val="0"/>
              </w:rPr>
              <w:t>参数9</w:t>
            </w:r>
          </w:p>
        </w:tc>
        <w:tc>
          <w:tcPr>
            <w:tcW w:w="4225" w:type="dxa"/>
            <w:tcBorders>
              <w:top w:val="single" w:color="auto" w:sz="4" w:space="0"/>
              <w:left w:val="nil"/>
              <w:bottom w:val="single" w:color="auto" w:sz="4" w:space="0"/>
              <w:right w:val="single" w:color="auto" w:sz="4" w:space="0"/>
            </w:tcBorders>
            <w:vAlign w:val="center"/>
          </w:tcPr>
          <w:p>
            <w:pPr>
              <w:pStyle w:val="46"/>
              <w:spacing w:line="320" w:lineRule="exact"/>
              <w:ind w:firstLine="0" w:firstLineChars="0"/>
              <w:jc w:val="left"/>
              <w:rPr>
                <w:rFonts w:ascii="Times New Roman" w:hAnsi="Times New Roman" w:eastAsia="宋体"/>
                <w:szCs w:val="21"/>
              </w:rPr>
            </w:pPr>
            <w:r>
              <w:rPr>
                <w:rFonts w:ascii="Times New Roman" w:hAnsi="Times New Roman" w:eastAsia="宋体"/>
                <w:szCs w:val="21"/>
              </w:rPr>
              <w:t>温度控制：室温+5°C 至45°C，温度均一性(微孔板)：±0.5°C</w:t>
            </w:r>
          </w:p>
        </w:tc>
        <w:tc>
          <w:tcPr>
            <w:tcW w:w="1534" w:type="dxa"/>
            <w:tcBorders>
              <w:top w:val="single" w:color="auto" w:sz="4" w:space="0"/>
              <w:left w:val="nil"/>
              <w:bottom w:val="single" w:color="auto" w:sz="4" w:space="0"/>
              <w:right w:val="single" w:color="auto" w:sz="8" w:space="0"/>
            </w:tcBorders>
            <w:vAlign w:val="center"/>
          </w:tcPr>
          <w:p>
            <w:pPr>
              <w:widowControl/>
              <w:rPr>
                <w:rFonts w:ascii="Times New Roman" w:hAnsi="Times New Roman"/>
                <w:kern w:val="0"/>
                <w:sz w:val="18"/>
                <w:szCs w:val="18"/>
              </w:rPr>
            </w:pPr>
          </w:p>
        </w:tc>
      </w:tr>
      <w:tr>
        <w:tblPrEx>
          <w:tblCellMar>
            <w:top w:w="0" w:type="dxa"/>
            <w:left w:w="108" w:type="dxa"/>
            <w:bottom w:w="0" w:type="dxa"/>
            <w:right w:w="108" w:type="dxa"/>
          </w:tblCellMar>
        </w:tblPrEx>
        <w:trPr>
          <w:trHeight w:val="416" w:hRule="atLeast"/>
          <w:jc w:val="center"/>
        </w:trPr>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2.10</w:t>
            </w:r>
          </w:p>
        </w:tc>
        <w:tc>
          <w:tcPr>
            <w:tcW w:w="23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kern w:val="0"/>
                <w:sz w:val="24"/>
                <w:szCs w:val="24"/>
              </w:rPr>
            </w:pPr>
            <w:r>
              <w:rPr>
                <w:rFonts w:ascii="Times New Roman" w:hAnsi="Times New Roman"/>
                <w:kern w:val="0"/>
              </w:rPr>
              <w:t>参数10</w:t>
            </w:r>
          </w:p>
        </w:tc>
        <w:tc>
          <w:tcPr>
            <w:tcW w:w="4225" w:type="dxa"/>
            <w:tcBorders>
              <w:top w:val="single" w:color="auto" w:sz="4" w:space="0"/>
              <w:left w:val="single" w:color="auto" w:sz="4" w:space="0"/>
              <w:bottom w:val="single" w:color="auto" w:sz="4" w:space="0"/>
              <w:right w:val="single" w:color="auto" w:sz="4" w:space="0"/>
            </w:tcBorders>
            <w:vAlign w:val="center"/>
          </w:tcPr>
          <w:p>
            <w:pPr>
              <w:pStyle w:val="46"/>
              <w:spacing w:line="320" w:lineRule="exact"/>
              <w:ind w:firstLine="0" w:firstLineChars="0"/>
              <w:jc w:val="left"/>
              <w:rPr>
                <w:rFonts w:ascii="Times New Roman" w:hAnsi="Times New Roman" w:eastAsia="宋体"/>
                <w:color w:val="000000"/>
                <w:szCs w:val="21"/>
              </w:rPr>
            </w:pPr>
            <w:r>
              <w:rPr>
                <w:rFonts w:ascii="Times New Roman" w:hAnsi="Times New Roman" w:eastAsia="宋体"/>
                <w:szCs w:val="21"/>
              </w:rPr>
              <w:t>具有线性震荡功能，0-999秒可调</w:t>
            </w:r>
          </w:p>
        </w:tc>
        <w:tc>
          <w:tcPr>
            <w:tcW w:w="1534"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kern w:val="0"/>
                <w:sz w:val="18"/>
                <w:szCs w:val="18"/>
              </w:rPr>
            </w:pPr>
          </w:p>
        </w:tc>
      </w:tr>
      <w:tr>
        <w:tblPrEx>
          <w:tblCellMar>
            <w:top w:w="0" w:type="dxa"/>
            <w:left w:w="108" w:type="dxa"/>
            <w:bottom w:w="0" w:type="dxa"/>
            <w:right w:w="108" w:type="dxa"/>
          </w:tblCellMar>
        </w:tblPrEx>
        <w:trPr>
          <w:trHeight w:val="910" w:hRule="atLeast"/>
          <w:jc w:val="center"/>
        </w:trPr>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2.11</w:t>
            </w:r>
          </w:p>
        </w:tc>
        <w:tc>
          <w:tcPr>
            <w:tcW w:w="23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 w:val="24"/>
                <w:szCs w:val="24"/>
              </w:rPr>
            </w:pPr>
            <w:r>
              <w:rPr>
                <w:rFonts w:ascii="Times New Roman" w:hAnsi="Times New Roman"/>
                <w:kern w:val="0"/>
              </w:rPr>
              <w:t>参数11</w:t>
            </w:r>
          </w:p>
        </w:tc>
        <w:tc>
          <w:tcPr>
            <w:tcW w:w="4225" w:type="dxa"/>
            <w:tcBorders>
              <w:top w:val="single" w:color="auto" w:sz="4" w:space="0"/>
              <w:left w:val="single" w:color="auto" w:sz="4" w:space="0"/>
              <w:bottom w:val="single" w:color="auto" w:sz="4" w:space="0"/>
              <w:right w:val="single" w:color="auto" w:sz="4" w:space="0"/>
            </w:tcBorders>
            <w:vAlign w:val="center"/>
          </w:tcPr>
          <w:p>
            <w:pPr>
              <w:pStyle w:val="15"/>
              <w:spacing w:line="320" w:lineRule="exact"/>
              <w:jc w:val="left"/>
              <w:rPr>
                <w:rFonts w:ascii="Times New Roman" w:hAnsi="Times New Roman"/>
                <w:color w:val="000000"/>
                <w:sz w:val="21"/>
                <w:szCs w:val="21"/>
              </w:rPr>
            </w:pPr>
            <w:r>
              <w:rPr>
                <w:rFonts w:ascii="Times New Roman" w:hAnsi="Times New Roman"/>
                <w:sz w:val="21"/>
                <w:szCs w:val="21"/>
              </w:rPr>
              <w:t>光学系统由独立样品检测器（≥8个）和参照检测的通道组成，极大提高检测速度和检测的精度</w:t>
            </w:r>
          </w:p>
        </w:tc>
        <w:tc>
          <w:tcPr>
            <w:tcW w:w="1534"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kern w:val="0"/>
                <w:sz w:val="24"/>
                <w:szCs w:val="24"/>
              </w:rPr>
            </w:pPr>
          </w:p>
        </w:tc>
      </w:tr>
      <w:tr>
        <w:tblPrEx>
          <w:tblCellMar>
            <w:top w:w="0" w:type="dxa"/>
            <w:left w:w="108" w:type="dxa"/>
            <w:bottom w:w="0" w:type="dxa"/>
            <w:right w:w="108" w:type="dxa"/>
          </w:tblCellMar>
        </w:tblPrEx>
        <w:trPr>
          <w:trHeight w:val="1091" w:hRule="atLeast"/>
          <w:jc w:val="center"/>
        </w:trPr>
        <w:tc>
          <w:tcPr>
            <w:tcW w:w="1003"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2.12</w:t>
            </w:r>
          </w:p>
        </w:tc>
        <w:tc>
          <w:tcPr>
            <w:tcW w:w="232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参数12</w:t>
            </w:r>
          </w:p>
        </w:tc>
        <w:tc>
          <w:tcPr>
            <w:tcW w:w="4225" w:type="dxa"/>
            <w:tcBorders>
              <w:top w:val="single" w:color="auto" w:sz="4" w:space="0"/>
              <w:left w:val="nil"/>
              <w:bottom w:val="single" w:color="auto" w:sz="4" w:space="0"/>
              <w:right w:val="single" w:color="auto" w:sz="4" w:space="0"/>
            </w:tcBorders>
            <w:vAlign w:val="center"/>
          </w:tcPr>
          <w:p>
            <w:pPr>
              <w:pStyle w:val="15"/>
              <w:spacing w:line="320" w:lineRule="exact"/>
              <w:jc w:val="left"/>
              <w:rPr>
                <w:rFonts w:ascii="Times New Roman" w:hAnsi="Times New Roman"/>
                <w:color w:val="000000"/>
                <w:sz w:val="21"/>
                <w:szCs w:val="21"/>
              </w:rPr>
            </w:pPr>
            <w:r>
              <w:rPr>
                <w:rFonts w:ascii="Times New Roman" w:hAnsi="Times New Roman"/>
                <w:sz w:val="21"/>
                <w:szCs w:val="21"/>
              </w:rPr>
              <w:t>数据分析软件可自动进行数据的运算及存储；可完成图表曲线制作，并可完成坐标轴的自由定义和转换，≥20种曲线拟合方式；完成自编公式和程序的存储及运行；仪器的各种功能均可通过计算机控制完成；</w:t>
            </w:r>
          </w:p>
        </w:tc>
        <w:tc>
          <w:tcPr>
            <w:tcW w:w="1534" w:type="dxa"/>
            <w:tcBorders>
              <w:top w:val="single" w:color="auto" w:sz="4" w:space="0"/>
              <w:left w:val="nil"/>
              <w:bottom w:val="single" w:color="auto" w:sz="4" w:space="0"/>
              <w:right w:val="single" w:color="auto" w:sz="8" w:space="0"/>
            </w:tcBorders>
            <w:vAlign w:val="center"/>
          </w:tcPr>
          <w:p>
            <w:pPr>
              <w:widowControl/>
              <w:jc w:val="left"/>
              <w:rPr>
                <w:rFonts w:ascii="Times New Roman" w:hAnsi="Times New Roman"/>
                <w:kern w:val="0"/>
                <w:sz w:val="24"/>
                <w:szCs w:val="24"/>
              </w:rPr>
            </w:pPr>
          </w:p>
        </w:tc>
      </w:tr>
      <w:tr>
        <w:tblPrEx>
          <w:tblCellMar>
            <w:top w:w="0" w:type="dxa"/>
            <w:left w:w="108" w:type="dxa"/>
            <w:bottom w:w="0" w:type="dxa"/>
            <w:right w:w="108" w:type="dxa"/>
          </w:tblCellMar>
        </w:tblPrEx>
        <w:trPr>
          <w:trHeight w:val="1091"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2.13</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参数13</w:t>
            </w:r>
          </w:p>
        </w:tc>
        <w:tc>
          <w:tcPr>
            <w:tcW w:w="4225" w:type="dxa"/>
            <w:tcBorders>
              <w:top w:val="nil"/>
              <w:left w:val="nil"/>
              <w:bottom w:val="single" w:color="auto" w:sz="4" w:space="0"/>
              <w:right w:val="single" w:color="auto" w:sz="4" w:space="0"/>
            </w:tcBorders>
            <w:vAlign w:val="center"/>
          </w:tcPr>
          <w:p>
            <w:pPr>
              <w:pStyle w:val="15"/>
              <w:spacing w:line="320" w:lineRule="exact"/>
              <w:jc w:val="left"/>
              <w:rPr>
                <w:rFonts w:ascii="Times New Roman" w:hAnsi="Times New Roman"/>
                <w:sz w:val="21"/>
                <w:szCs w:val="21"/>
              </w:rPr>
            </w:pPr>
            <w:r>
              <w:rPr>
                <w:rFonts w:ascii="Times New Roman" w:hAnsi="Times New Roman"/>
                <w:sz w:val="21"/>
                <w:szCs w:val="21"/>
              </w:rPr>
              <w:t>数据导入支持：Excel或 XML格式的外部数据导入功能，支持模板分组导入功能、支持多种模式（光吸收\荧光）检测导入到同一操作流程，数据导出格式：Excel、TXT和 XML。</w:t>
            </w:r>
          </w:p>
        </w:tc>
        <w:tc>
          <w:tcPr>
            <w:tcW w:w="1534" w:type="dxa"/>
            <w:tcBorders>
              <w:top w:val="nil"/>
              <w:left w:val="nil"/>
              <w:bottom w:val="single" w:color="auto" w:sz="4" w:space="0"/>
              <w:right w:val="single" w:color="auto" w:sz="8" w:space="0"/>
            </w:tcBorders>
            <w:vAlign w:val="center"/>
          </w:tcPr>
          <w:p>
            <w:pPr>
              <w:widowControl/>
              <w:jc w:val="left"/>
              <w:rPr>
                <w:rFonts w:ascii="Times New Roman" w:hAnsi="Times New Roman"/>
                <w:kern w:val="0"/>
                <w:sz w:val="20"/>
                <w:szCs w:val="24"/>
              </w:rPr>
            </w:pPr>
          </w:p>
        </w:tc>
      </w:tr>
      <w:tr>
        <w:tblPrEx>
          <w:tblCellMar>
            <w:top w:w="0" w:type="dxa"/>
            <w:left w:w="108" w:type="dxa"/>
            <w:bottom w:w="0" w:type="dxa"/>
            <w:right w:w="108" w:type="dxa"/>
          </w:tblCellMar>
        </w:tblPrEx>
        <w:trPr>
          <w:trHeight w:val="810"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b/>
                <w:kern w:val="0"/>
                <w:sz w:val="24"/>
                <w:szCs w:val="24"/>
              </w:rPr>
            </w:pPr>
            <w:r>
              <w:rPr>
                <w:rFonts w:ascii="Times New Roman" w:hAnsi="Times New Roman"/>
                <w:b/>
                <w:kern w:val="0"/>
              </w:rPr>
              <w:t>3</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配置需求</w:t>
            </w:r>
            <w:r>
              <w:rPr>
                <w:rFonts w:ascii="Times New Roman" w:hAnsi="Times New Roman"/>
                <w:b/>
                <w:bCs/>
                <w:kern w:val="0"/>
              </w:rPr>
              <w:br w:type="textWrapping"/>
            </w:r>
            <w:r>
              <w:rPr>
                <w:rFonts w:ascii="Times New Roman" w:hAnsi="Times New Roman"/>
                <w:b/>
                <w:bCs/>
                <w:kern w:val="0"/>
              </w:rPr>
              <w:t>（一行只写一个配置）</w:t>
            </w:r>
          </w:p>
        </w:tc>
        <w:tc>
          <w:tcPr>
            <w:tcW w:w="422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r>
              <w:rPr>
                <w:rFonts w:ascii="Times New Roman" w:hAnsi="Times New Roman"/>
                <w:kern w:val="0"/>
              </w:rPr>
              <w:t>　</w:t>
            </w:r>
          </w:p>
        </w:tc>
      </w:tr>
      <w:tr>
        <w:tblPrEx>
          <w:tblCellMar>
            <w:top w:w="0" w:type="dxa"/>
            <w:left w:w="108" w:type="dxa"/>
            <w:bottom w:w="0" w:type="dxa"/>
            <w:right w:w="108" w:type="dxa"/>
          </w:tblCellMar>
        </w:tblPrEx>
        <w:trPr>
          <w:trHeight w:val="623"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3.1</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配置1</w:t>
            </w:r>
          </w:p>
        </w:tc>
        <w:tc>
          <w:tcPr>
            <w:tcW w:w="4225" w:type="dxa"/>
            <w:tcBorders>
              <w:top w:val="nil"/>
              <w:left w:val="nil"/>
              <w:bottom w:val="single" w:color="auto" w:sz="4" w:space="0"/>
              <w:right w:val="single" w:color="auto" w:sz="4" w:space="0"/>
            </w:tcBorders>
            <w:vAlign w:val="center"/>
          </w:tcPr>
          <w:p>
            <w:pPr>
              <w:spacing w:line="320" w:lineRule="exact"/>
              <w:jc w:val="left"/>
              <w:rPr>
                <w:rFonts w:ascii="Times New Roman" w:hAnsi="Times New Roman"/>
                <w:szCs w:val="21"/>
              </w:rPr>
            </w:pPr>
            <w:r>
              <w:rPr>
                <w:rFonts w:ascii="Times New Roman" w:hAnsi="Times New Roman"/>
                <w:szCs w:val="21"/>
              </w:rPr>
              <w:t>全波长主机1台（含比色杯基座）</w:t>
            </w: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r>
              <w:rPr>
                <w:rFonts w:ascii="Times New Roman" w:hAnsi="Times New Roman"/>
                <w:kern w:val="0"/>
              </w:rPr>
              <w:t>　</w:t>
            </w:r>
          </w:p>
        </w:tc>
      </w:tr>
      <w:tr>
        <w:tblPrEx>
          <w:tblCellMar>
            <w:top w:w="0" w:type="dxa"/>
            <w:left w:w="108" w:type="dxa"/>
            <w:bottom w:w="0" w:type="dxa"/>
            <w:right w:w="108" w:type="dxa"/>
          </w:tblCellMar>
        </w:tblPrEx>
        <w:trPr>
          <w:trHeight w:val="617"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3.2</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配置2</w:t>
            </w:r>
          </w:p>
        </w:tc>
        <w:tc>
          <w:tcPr>
            <w:tcW w:w="422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bCs/>
                <w:szCs w:val="21"/>
              </w:rPr>
            </w:pPr>
            <w:r>
              <w:rPr>
                <w:rFonts w:ascii="Times New Roman" w:hAnsi="Times New Roman"/>
                <w:szCs w:val="21"/>
              </w:rPr>
              <w:t>数据控制与分析软件 1套</w:t>
            </w: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p>
        </w:tc>
      </w:tr>
      <w:tr>
        <w:tblPrEx>
          <w:tblCellMar>
            <w:top w:w="0" w:type="dxa"/>
            <w:left w:w="108" w:type="dxa"/>
            <w:bottom w:w="0" w:type="dxa"/>
            <w:right w:w="108" w:type="dxa"/>
          </w:tblCellMar>
        </w:tblPrEx>
        <w:trPr>
          <w:trHeight w:val="606"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 xml:space="preserve">3.3 </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配置3</w:t>
            </w:r>
          </w:p>
        </w:tc>
        <w:tc>
          <w:tcPr>
            <w:tcW w:w="4225" w:type="dxa"/>
            <w:tcBorders>
              <w:top w:val="nil"/>
              <w:left w:val="nil"/>
              <w:bottom w:val="single" w:color="auto" w:sz="4" w:space="0"/>
              <w:right w:val="single" w:color="auto" w:sz="4" w:space="0"/>
            </w:tcBorders>
            <w:vAlign w:val="center"/>
          </w:tcPr>
          <w:p>
            <w:pPr>
              <w:pStyle w:val="46"/>
              <w:spacing w:line="320" w:lineRule="exact"/>
              <w:ind w:firstLine="0" w:firstLineChars="0"/>
              <w:jc w:val="left"/>
              <w:rPr>
                <w:rFonts w:ascii="Times New Roman" w:hAnsi="Times New Roman" w:eastAsia="宋体"/>
                <w:szCs w:val="21"/>
              </w:rPr>
            </w:pPr>
            <w:r>
              <w:rPr>
                <w:rFonts w:ascii="Times New Roman" w:hAnsi="Times New Roman" w:eastAsia="宋体"/>
                <w:szCs w:val="21"/>
              </w:rPr>
              <w:t>数据处理电脑 1台（Win10系统，≥4G内存，≥500G存储硬盘）</w:t>
            </w: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r>
              <w:rPr>
                <w:rFonts w:ascii="Times New Roman" w:hAnsi="Times New Roman"/>
                <w:kern w:val="0"/>
              </w:rPr>
              <w:t>　</w:t>
            </w:r>
          </w:p>
        </w:tc>
      </w:tr>
      <w:tr>
        <w:tblPrEx>
          <w:tblCellMar>
            <w:top w:w="0" w:type="dxa"/>
            <w:left w:w="108" w:type="dxa"/>
            <w:bottom w:w="0" w:type="dxa"/>
            <w:right w:w="108" w:type="dxa"/>
          </w:tblCellMar>
        </w:tblPrEx>
        <w:trPr>
          <w:trHeight w:val="575"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4</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售后服务</w:t>
            </w:r>
          </w:p>
        </w:tc>
        <w:tc>
          <w:tcPr>
            <w:tcW w:w="422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b/>
                <w:bCs/>
                <w:kern w:val="0"/>
                <w:szCs w:val="21"/>
              </w:rPr>
            </w:pP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　</w:t>
            </w:r>
          </w:p>
        </w:tc>
      </w:tr>
      <w:tr>
        <w:tblPrEx>
          <w:tblCellMar>
            <w:top w:w="0" w:type="dxa"/>
            <w:left w:w="108" w:type="dxa"/>
            <w:bottom w:w="0" w:type="dxa"/>
            <w:right w:w="108" w:type="dxa"/>
          </w:tblCellMar>
        </w:tblPrEx>
        <w:trPr>
          <w:trHeight w:val="692"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4.1</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保修年限</w:t>
            </w:r>
          </w:p>
        </w:tc>
        <w:tc>
          <w:tcPr>
            <w:tcW w:w="422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≥3年</w:t>
            </w: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r>
              <w:rPr>
                <w:rFonts w:ascii="Times New Roman" w:hAnsi="Times New Roman"/>
                <w:kern w:val="0"/>
              </w:rPr>
              <w:t>　</w:t>
            </w:r>
          </w:p>
        </w:tc>
      </w:tr>
      <w:tr>
        <w:tblPrEx>
          <w:tblCellMar>
            <w:top w:w="0" w:type="dxa"/>
            <w:left w:w="108" w:type="dxa"/>
            <w:bottom w:w="0" w:type="dxa"/>
            <w:right w:w="108" w:type="dxa"/>
          </w:tblCellMar>
        </w:tblPrEx>
        <w:trPr>
          <w:trHeight w:val="1255"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4.2</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出现故障回应时间</w:t>
            </w:r>
          </w:p>
        </w:tc>
        <w:tc>
          <w:tcPr>
            <w:tcW w:w="422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维修到达现场时间≤ 6小时（本地）</w:t>
            </w:r>
            <w:r>
              <w:rPr>
                <w:rFonts w:ascii="Times New Roman" w:hAnsi="Times New Roman"/>
                <w:kern w:val="0"/>
                <w:szCs w:val="21"/>
              </w:rPr>
              <w:br w:type="textWrapping"/>
            </w:r>
            <w:r>
              <w:rPr>
                <w:rFonts w:ascii="Times New Roman" w:hAnsi="Times New Roman"/>
                <w:kern w:val="0"/>
                <w:szCs w:val="21"/>
              </w:rPr>
              <w:t>维修到达现场时间≤24小时（外地）</w:t>
            </w: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r>
              <w:rPr>
                <w:rFonts w:ascii="Times New Roman" w:hAnsi="Times New Roman"/>
                <w:kern w:val="0"/>
              </w:rPr>
              <w:t>　</w:t>
            </w:r>
          </w:p>
        </w:tc>
      </w:tr>
      <w:tr>
        <w:tblPrEx>
          <w:tblCellMar>
            <w:top w:w="0" w:type="dxa"/>
            <w:left w:w="108" w:type="dxa"/>
            <w:bottom w:w="0" w:type="dxa"/>
            <w:right w:w="108" w:type="dxa"/>
          </w:tblCellMar>
        </w:tblPrEx>
        <w:trPr>
          <w:trHeight w:val="630"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4.3</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维修支持</w:t>
            </w:r>
          </w:p>
        </w:tc>
        <w:tc>
          <w:tcPr>
            <w:tcW w:w="422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配件供应时间≥10年</w:t>
            </w: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r>
              <w:rPr>
                <w:rFonts w:ascii="Times New Roman" w:hAnsi="Times New Roman"/>
                <w:kern w:val="0"/>
              </w:rPr>
              <w:t>　</w:t>
            </w:r>
          </w:p>
        </w:tc>
      </w:tr>
      <w:tr>
        <w:tblPrEx>
          <w:tblCellMar>
            <w:top w:w="0" w:type="dxa"/>
            <w:left w:w="108" w:type="dxa"/>
            <w:bottom w:w="0" w:type="dxa"/>
            <w:right w:w="108" w:type="dxa"/>
          </w:tblCellMar>
        </w:tblPrEx>
        <w:trPr>
          <w:trHeight w:val="630"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4.4</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耗材及零配件</w:t>
            </w:r>
          </w:p>
        </w:tc>
        <w:tc>
          <w:tcPr>
            <w:tcW w:w="422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提供耗材及主要零配件目录（含报价）</w:t>
            </w: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r>
              <w:rPr>
                <w:rFonts w:ascii="Times New Roman" w:hAnsi="Times New Roman"/>
                <w:kern w:val="0"/>
              </w:rPr>
              <w:t>　</w:t>
            </w:r>
          </w:p>
        </w:tc>
      </w:tr>
      <w:tr>
        <w:tblPrEx>
          <w:tblCellMar>
            <w:top w:w="0" w:type="dxa"/>
            <w:left w:w="108" w:type="dxa"/>
            <w:bottom w:w="0" w:type="dxa"/>
            <w:right w:w="108" w:type="dxa"/>
          </w:tblCellMar>
        </w:tblPrEx>
        <w:trPr>
          <w:trHeight w:val="630"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4.5</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维修资料</w:t>
            </w:r>
          </w:p>
        </w:tc>
        <w:tc>
          <w:tcPr>
            <w:tcW w:w="422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提供详细操作手册、维修保养手册、安装手册等</w:t>
            </w: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r>
              <w:rPr>
                <w:rFonts w:ascii="Times New Roman" w:hAnsi="Times New Roman"/>
                <w:kern w:val="0"/>
              </w:rPr>
              <w:t>　</w:t>
            </w:r>
          </w:p>
        </w:tc>
      </w:tr>
      <w:tr>
        <w:tblPrEx>
          <w:tblCellMar>
            <w:top w:w="0" w:type="dxa"/>
            <w:left w:w="108" w:type="dxa"/>
            <w:bottom w:w="0" w:type="dxa"/>
            <w:right w:w="108" w:type="dxa"/>
          </w:tblCellMar>
        </w:tblPrEx>
        <w:trPr>
          <w:trHeight w:val="630"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4.6</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维修工具</w:t>
            </w:r>
          </w:p>
        </w:tc>
        <w:tc>
          <w:tcPr>
            <w:tcW w:w="422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提供维修专用工具1套</w:t>
            </w: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r>
              <w:rPr>
                <w:rFonts w:ascii="Times New Roman" w:hAnsi="Times New Roman"/>
                <w:kern w:val="0"/>
              </w:rPr>
              <w:t>　</w:t>
            </w:r>
          </w:p>
        </w:tc>
      </w:tr>
      <w:tr>
        <w:tblPrEx>
          <w:tblCellMar>
            <w:top w:w="0" w:type="dxa"/>
            <w:left w:w="108" w:type="dxa"/>
            <w:bottom w:w="0" w:type="dxa"/>
            <w:right w:w="108" w:type="dxa"/>
          </w:tblCellMar>
        </w:tblPrEx>
        <w:trPr>
          <w:trHeight w:val="630"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4.7</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预防性维修</w:t>
            </w:r>
            <w:r>
              <w:rPr>
                <w:rFonts w:ascii="Times New Roman" w:hAnsi="Times New Roman"/>
                <w:kern w:val="0"/>
              </w:rPr>
              <w:br w:type="textWrapping"/>
            </w:r>
            <w:r>
              <w:rPr>
                <w:rFonts w:ascii="Times New Roman" w:hAnsi="Times New Roman"/>
                <w:kern w:val="0"/>
              </w:rPr>
              <w:t>/定期维护保养</w:t>
            </w:r>
          </w:p>
        </w:tc>
        <w:tc>
          <w:tcPr>
            <w:tcW w:w="422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保修期内提供定期维护保养服务</w:t>
            </w: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r>
              <w:rPr>
                <w:rFonts w:ascii="Times New Roman" w:hAnsi="Times New Roman"/>
                <w:kern w:val="0"/>
              </w:rPr>
              <w:t>　</w:t>
            </w:r>
          </w:p>
        </w:tc>
      </w:tr>
      <w:tr>
        <w:tblPrEx>
          <w:tblCellMar>
            <w:top w:w="0" w:type="dxa"/>
            <w:left w:w="108" w:type="dxa"/>
            <w:bottom w:w="0" w:type="dxa"/>
            <w:right w:w="108" w:type="dxa"/>
          </w:tblCellMar>
        </w:tblPrEx>
        <w:trPr>
          <w:trHeight w:val="630" w:hRule="atLeast"/>
          <w:jc w:val="center"/>
        </w:trPr>
        <w:tc>
          <w:tcPr>
            <w:tcW w:w="1003"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4.8</w:t>
            </w:r>
          </w:p>
        </w:tc>
        <w:tc>
          <w:tcPr>
            <w:tcW w:w="232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维修密码支持</w:t>
            </w:r>
          </w:p>
        </w:tc>
        <w:tc>
          <w:tcPr>
            <w:tcW w:w="4225"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开放</w:t>
            </w:r>
          </w:p>
        </w:tc>
        <w:tc>
          <w:tcPr>
            <w:tcW w:w="1534"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 w:val="24"/>
                <w:szCs w:val="24"/>
              </w:rPr>
            </w:pPr>
            <w:r>
              <w:rPr>
                <w:rFonts w:ascii="Times New Roman" w:hAnsi="Times New Roman"/>
                <w:kern w:val="0"/>
              </w:rPr>
              <w:t>　</w:t>
            </w:r>
          </w:p>
        </w:tc>
      </w:tr>
      <w:tr>
        <w:tblPrEx>
          <w:tblCellMar>
            <w:top w:w="0" w:type="dxa"/>
            <w:left w:w="108" w:type="dxa"/>
            <w:bottom w:w="0" w:type="dxa"/>
            <w:right w:w="108" w:type="dxa"/>
          </w:tblCellMar>
        </w:tblPrEx>
        <w:trPr>
          <w:trHeight w:val="630" w:hRule="atLeast"/>
          <w:jc w:val="center"/>
        </w:trPr>
        <w:tc>
          <w:tcPr>
            <w:tcW w:w="1003"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4.9</w:t>
            </w:r>
          </w:p>
        </w:tc>
        <w:tc>
          <w:tcPr>
            <w:tcW w:w="232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升级</w:t>
            </w:r>
          </w:p>
        </w:tc>
        <w:tc>
          <w:tcPr>
            <w:tcW w:w="4225"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终身免费软件升级</w:t>
            </w:r>
          </w:p>
        </w:tc>
        <w:tc>
          <w:tcPr>
            <w:tcW w:w="1534"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 w:val="24"/>
                <w:szCs w:val="24"/>
              </w:rPr>
            </w:pPr>
            <w:r>
              <w:rPr>
                <w:rFonts w:ascii="Times New Roman" w:hAnsi="Times New Roman"/>
                <w:kern w:val="0"/>
              </w:rPr>
              <w:t>　</w:t>
            </w:r>
          </w:p>
        </w:tc>
      </w:tr>
      <w:tr>
        <w:tblPrEx>
          <w:tblCellMar>
            <w:top w:w="0" w:type="dxa"/>
            <w:left w:w="108" w:type="dxa"/>
            <w:bottom w:w="0" w:type="dxa"/>
            <w:right w:w="108" w:type="dxa"/>
          </w:tblCellMar>
        </w:tblPrEx>
        <w:trPr>
          <w:trHeight w:val="630"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4.10</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使用培训</w:t>
            </w:r>
          </w:p>
        </w:tc>
        <w:tc>
          <w:tcPr>
            <w:tcW w:w="422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支持</w:t>
            </w: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r>
              <w:rPr>
                <w:rFonts w:ascii="Times New Roman" w:hAnsi="Times New Roman"/>
                <w:kern w:val="0"/>
              </w:rPr>
              <w:t>　</w:t>
            </w:r>
          </w:p>
        </w:tc>
      </w:tr>
      <w:tr>
        <w:tblPrEx>
          <w:tblCellMar>
            <w:top w:w="0" w:type="dxa"/>
            <w:left w:w="108" w:type="dxa"/>
            <w:bottom w:w="0" w:type="dxa"/>
            <w:right w:w="108" w:type="dxa"/>
          </w:tblCellMar>
        </w:tblPrEx>
        <w:trPr>
          <w:trHeight w:val="630"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4.11</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工程师培训</w:t>
            </w:r>
          </w:p>
        </w:tc>
        <w:tc>
          <w:tcPr>
            <w:tcW w:w="422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支持</w:t>
            </w: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r>
              <w:rPr>
                <w:rFonts w:ascii="Times New Roman" w:hAnsi="Times New Roman"/>
                <w:kern w:val="0"/>
              </w:rPr>
              <w:t>　</w:t>
            </w:r>
          </w:p>
        </w:tc>
      </w:tr>
    </w:tbl>
    <w:p>
      <w:pPr>
        <w:widowControl/>
        <w:jc w:val="left"/>
        <w:rPr>
          <w:rFonts w:cs="Times New Roman" w:asciiTheme="minorEastAsia" w:hAnsiTheme="minorEastAsia"/>
          <w:b/>
          <w:bCs/>
          <w:sz w:val="28"/>
          <w:szCs w:val="28"/>
        </w:rPr>
      </w:pPr>
    </w:p>
    <w:sectPr>
      <w:headerReference r:id="rId11"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abstractNum w:abstractNumId="1">
    <w:nsid w:val="6747758D"/>
    <w:multiLevelType w:val="singleLevel"/>
    <w:tmpl w:val="6747758D"/>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HorizontalSpacing w:val="201"/>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82E7E"/>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3296"/>
    <w:rsid w:val="001E34F3"/>
    <w:rsid w:val="001E460B"/>
    <w:rsid w:val="0021329F"/>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28DE"/>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760E"/>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4FFB"/>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BF767A"/>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23B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EF4889"/>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2C5F"/>
    <w:rsid w:val="00F75355"/>
    <w:rsid w:val="00F76A38"/>
    <w:rsid w:val="00F77CF0"/>
    <w:rsid w:val="00F83A0A"/>
    <w:rsid w:val="00F8495E"/>
    <w:rsid w:val="00F94D11"/>
    <w:rsid w:val="00FA4E4F"/>
    <w:rsid w:val="00FB1BBC"/>
    <w:rsid w:val="00FB2E1B"/>
    <w:rsid w:val="00FB5116"/>
    <w:rsid w:val="00FB5E65"/>
    <w:rsid w:val="00FC15F7"/>
    <w:rsid w:val="00FC33D8"/>
    <w:rsid w:val="00FC4F28"/>
    <w:rsid w:val="00FD5363"/>
    <w:rsid w:val="00FE133A"/>
    <w:rsid w:val="00FE2A78"/>
    <w:rsid w:val="00FE2B3B"/>
    <w:rsid w:val="00FF019E"/>
    <w:rsid w:val="00FF5ABB"/>
    <w:rsid w:val="00FF768E"/>
    <w:rsid w:val="06BF54F2"/>
    <w:rsid w:val="0AA213C0"/>
    <w:rsid w:val="0BEE6F0F"/>
    <w:rsid w:val="0FB820C6"/>
    <w:rsid w:val="1B58484D"/>
    <w:rsid w:val="1D711FB7"/>
    <w:rsid w:val="20AF24D6"/>
    <w:rsid w:val="28670F72"/>
    <w:rsid w:val="2FD07A0F"/>
    <w:rsid w:val="314236DE"/>
    <w:rsid w:val="36862598"/>
    <w:rsid w:val="36BD30D5"/>
    <w:rsid w:val="3BED7056"/>
    <w:rsid w:val="3F75531B"/>
    <w:rsid w:val="3FD442CC"/>
    <w:rsid w:val="46B24989"/>
    <w:rsid w:val="4C446202"/>
    <w:rsid w:val="4FF03363"/>
    <w:rsid w:val="50C23962"/>
    <w:rsid w:val="51B01383"/>
    <w:rsid w:val="5AA0403C"/>
    <w:rsid w:val="5C555849"/>
    <w:rsid w:val="605201F9"/>
    <w:rsid w:val="620222F3"/>
    <w:rsid w:val="621D0F7A"/>
    <w:rsid w:val="629219B7"/>
    <w:rsid w:val="656F7344"/>
    <w:rsid w:val="698F45D2"/>
    <w:rsid w:val="6D0D51D2"/>
    <w:rsid w:val="6F770516"/>
    <w:rsid w:val="6FAC3495"/>
    <w:rsid w:val="7A0B5A99"/>
    <w:rsid w:val="7D1A25C4"/>
    <w:rsid w:val="7EDB6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customStyle="1" w:styleId="46">
    <w:name w:val="_Style 45"/>
    <w:basedOn w:val="1"/>
    <w:next w:val="47"/>
    <w:qFormat/>
    <w:uiPriority w:val="34"/>
    <w:pPr>
      <w:ind w:firstLine="420" w:firstLineChars="200"/>
    </w:pPr>
    <w:rPr>
      <w:rFonts w:ascii="等线" w:hAnsi="等线" w:eastAsia="等线" w:cs="Times New Roman"/>
    </w:rPr>
  </w:style>
  <w:style w:type="paragraph" w:styleId="47">
    <w:name w:val="List Paragraph"/>
    <w:basedOn w:val="1"/>
    <w:qFormat/>
    <w:uiPriority w:val="34"/>
    <w:pPr>
      <w:ind w:firstLine="420" w:firstLineChars="200"/>
    </w:pPr>
  </w:style>
  <w:style w:type="paragraph" w:customStyle="1" w:styleId="48">
    <w:name w:val="msolistparagraph"/>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52E067-7E7B-4999-A0FB-B4E9ABA9C88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5073</Words>
  <Characters>28922</Characters>
  <Lines>241</Lines>
  <Paragraphs>67</Paragraphs>
  <TotalTime>4</TotalTime>
  <ScaleCrop>false</ScaleCrop>
  <LinksUpToDate>false</LinksUpToDate>
  <CharactersWithSpaces>33928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2021-02-08T01:07:00Z</cp:lastPrinted>
  <dcterms:modified xsi:type="dcterms:W3CDTF">2021-02-19T03:37:36Z</dcterms:modified>
  <cp:revision>386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