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jc w:val="both"/>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lang w:eastAsia="zh-CN"/>
        </w:rPr>
        <w:t>移动无影灯</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lang w:eastAsia="zh-CN"/>
        </w:rPr>
        <w:t>2021-JL13(03)-W30110</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三</w:t>
      </w:r>
      <w:r>
        <w:rPr>
          <w:rFonts w:ascii="宋体" w:hAnsi="宋体" w:eastAsia="宋体" w:cs="Times New Roman"/>
          <w:kern w:val="0"/>
          <w:sz w:val="36"/>
          <w:szCs w:val="36"/>
        </w:rPr>
        <w:t>月</w:t>
      </w:r>
    </w:p>
    <w:p>
      <w:pPr>
        <w:rPr>
          <w:rFonts w:ascii="黑体" w:hAnsi="黑体" w:eastAsia="黑体" w:cs="Times New Roman"/>
          <w:bCs/>
          <w:kern w:val="0"/>
          <w:sz w:val="30"/>
          <w:szCs w:val="30"/>
        </w:rPr>
      </w:pPr>
      <w:r>
        <w:rPr>
          <w:rFonts w:ascii="黑体" w:hAnsi="黑体" w:eastAsia="黑体" w:cs="Times New Roman"/>
          <w:bCs/>
          <w:kern w:val="0"/>
          <w:sz w:val="30"/>
          <w:szCs w:val="30"/>
        </w:rPr>
        <w:br w:type="page"/>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bookmarkStart w:id="27" w:name="_GoBack"/>
      <w:r>
        <w:rPr>
          <w:rFonts w:hint="eastAsia" w:ascii="Tahoma" w:hAnsi="Tahoma" w:cs="Tahoma"/>
          <w:b/>
          <w:bCs/>
          <w:kern w:val="0"/>
          <w:sz w:val="28"/>
          <w:szCs w:val="28"/>
        </w:rPr>
        <w:t>关于</w:t>
      </w:r>
      <w:r>
        <w:rPr>
          <w:rFonts w:hint="eastAsia" w:ascii="Tahoma" w:hAnsi="Tahoma" w:cs="Tahoma"/>
          <w:b/>
          <w:bCs/>
          <w:kern w:val="0"/>
          <w:sz w:val="28"/>
          <w:szCs w:val="28"/>
          <w:lang w:eastAsia="zh-CN"/>
        </w:rPr>
        <w:t>移动无影灯</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2021-JL13(03)-W30110</w:t>
      </w:r>
    </w:p>
    <w:bookmarkEnd w:id="27"/>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移动无影灯</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2021-JL13(03)-W30110</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kern w:val="0"/>
                <w:szCs w:val="21"/>
                <w:lang w:eastAsia="zh-CN"/>
              </w:rPr>
            </w:pPr>
            <w:r>
              <w:rPr>
                <w:rFonts w:hint="eastAsia" w:cs="Times New Roman" w:asciiTheme="minorEastAsia" w:hAnsiTheme="minorEastAsia"/>
                <w:snapToGrid w:val="0"/>
                <w:kern w:val="0"/>
                <w:szCs w:val="21"/>
                <w:lang w:eastAsia="zh-CN"/>
              </w:rPr>
              <w:t>预算总价</w:t>
            </w:r>
          </w:p>
          <w:p>
            <w:pPr>
              <w:adjustRightInd w:val="0"/>
              <w:snapToGrid w:val="0"/>
              <w:spacing w:line="360" w:lineRule="atLeast"/>
              <w:jc w:val="center"/>
              <w:rPr>
                <w:rFonts w:hint="eastAsia" w:cs="Times New Roman" w:asciiTheme="minorEastAsia" w:hAnsiTheme="minorEastAsia"/>
                <w:snapToGrid w:val="0"/>
                <w:kern w:val="0"/>
                <w:szCs w:val="21"/>
                <w:lang w:eastAsia="zh-CN"/>
              </w:rPr>
            </w:pPr>
            <w:r>
              <w:rPr>
                <w:rFonts w:hint="eastAsia" w:cs="Times New Roman" w:asciiTheme="minorEastAsia" w:hAnsiTheme="minorEastAsia"/>
                <w:snapToGrid w:val="0"/>
                <w:kern w:val="0"/>
                <w:szCs w:val="21"/>
                <w:lang w:eastAsia="zh-CN"/>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ascii="宋体" w:hAnsi="宋体" w:eastAsia="宋体" w:cs="Times New Roman"/>
                <w:kern w:val="0"/>
                <w:sz w:val="24"/>
                <w:szCs w:val="24"/>
                <w:lang w:eastAsia="zh-CN"/>
              </w:rPr>
              <w:t>移动无影灯</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4</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8</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15</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8</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435540979"/>
      <w:bookmarkStart w:id="6" w:name="_Toc37780284"/>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eastAsia="zh-CN"/>
              </w:rPr>
              <w:t>移动无影灯</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center"/>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4</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7780285"/>
      <w:bookmarkStart w:id="11" w:name="_Toc390713968"/>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仿宋_GB2312" w:asciiTheme="minorEastAsia" w:hAnsiTheme="minorEastAsia"/>
          <w:kern w:val="0"/>
          <w:sz w:val="24"/>
          <w:szCs w:val="24"/>
          <w:lang w:val="zh-CN"/>
        </w:rPr>
        <w:t xml:space="preserve"> </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lang w:val="zh-CN" w:eastAsia="zh-CN"/>
        </w:rPr>
        <w:t>中国政府采购网（www.ccgp.gov.cn）</w:t>
      </w:r>
      <w:r>
        <w:rPr>
          <w:rFonts w:hint="eastAsia" w:cs="Times New Roman" w:asciiTheme="minorEastAsia" w:hAnsiTheme="minorEastAsia"/>
          <w:snapToGrid w:val="0"/>
          <w:kern w:val="0"/>
          <w:sz w:val="24"/>
          <w:szCs w:val="24"/>
          <w:lang w:val="zh-CN"/>
        </w:rPr>
        <w:t>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rPr>
        <w:t xml:space="preserve"> </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7780286"/>
      <w:bookmarkStart w:id="16" w:name="_Toc435540981"/>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37780287"/>
      <w:bookmarkStart w:id="21" w:name="_Toc390713970"/>
      <w:bookmarkStart w:id="22" w:name="_Toc285612604"/>
      <w:bookmarkStart w:id="23" w:name="_Toc37172691"/>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adjustRightInd w:val="0"/>
        <w:snapToGrid w:val="0"/>
        <w:spacing w:afterLines="50" w:line="360" w:lineRule="atLeast"/>
        <w:jc w:val="center"/>
        <w:rPr>
          <w:rFonts w:hint="eastAsia" w:cs="Times New Roman" w:asciiTheme="minorEastAsia" w:hAnsiTheme="minorEastAsia" w:eastAsiaTheme="minorEastAsia"/>
          <w:b/>
          <w:bCs/>
          <w:sz w:val="28"/>
          <w:szCs w:val="28"/>
          <w:lang w:eastAsia="zh-CN"/>
        </w:rPr>
      </w:pPr>
      <w:r>
        <w:rPr>
          <w:rFonts w:hint="eastAsia" w:cs="Times New Roman" w:asciiTheme="minorEastAsia" w:hAnsiTheme="minorEastAsia"/>
          <w:b/>
          <w:bCs/>
          <w:sz w:val="28"/>
          <w:szCs w:val="28"/>
        </w:rPr>
        <w:t xml:space="preserve"> </w:t>
      </w:r>
      <w:r>
        <w:rPr>
          <w:rFonts w:hint="eastAsia" w:cs="Times New Roman" w:asciiTheme="minorEastAsia" w:hAnsiTheme="minorEastAsia"/>
          <w:b/>
          <w:bCs/>
          <w:sz w:val="28"/>
          <w:szCs w:val="28"/>
          <w:lang w:eastAsia="zh-CN"/>
        </w:rPr>
        <w:t>移动无影灯技术要求</w:t>
      </w:r>
    </w:p>
    <w:tbl>
      <w:tblPr>
        <w:tblStyle w:val="17"/>
        <w:tblW w:w="9087" w:type="dxa"/>
        <w:tblInd w:w="209" w:type="dxa"/>
        <w:tblLayout w:type="fixed"/>
        <w:tblCellMar>
          <w:top w:w="0" w:type="dxa"/>
          <w:left w:w="108" w:type="dxa"/>
          <w:bottom w:w="0" w:type="dxa"/>
          <w:right w:w="108" w:type="dxa"/>
        </w:tblCellMar>
      </w:tblPr>
      <w:tblGrid>
        <w:gridCol w:w="977"/>
        <w:gridCol w:w="2041"/>
        <w:gridCol w:w="5315"/>
        <w:gridCol w:w="754"/>
      </w:tblGrid>
      <w:tr>
        <w:tblPrEx>
          <w:tblCellMar>
            <w:top w:w="0" w:type="dxa"/>
            <w:left w:w="108" w:type="dxa"/>
            <w:bottom w:w="0" w:type="dxa"/>
            <w:right w:w="108" w:type="dxa"/>
          </w:tblCellMar>
        </w:tblPrEx>
        <w:trPr>
          <w:trHeight w:val="90" w:hRule="atLeast"/>
        </w:trPr>
        <w:tc>
          <w:tcPr>
            <w:tcW w:w="977"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序号</w:t>
            </w:r>
          </w:p>
        </w:tc>
        <w:tc>
          <w:tcPr>
            <w:tcW w:w="2041"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技术和性能参数名称</w:t>
            </w:r>
          </w:p>
        </w:tc>
        <w:tc>
          <w:tcPr>
            <w:tcW w:w="5315"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技术参数和性能要求</w:t>
            </w:r>
          </w:p>
        </w:tc>
        <w:tc>
          <w:tcPr>
            <w:tcW w:w="754"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幼圆" w:hAnsi="宋体" w:eastAsia="幼圆" w:cs="宋体"/>
                <w:b/>
                <w:bCs/>
                <w:kern w:val="0"/>
              </w:rPr>
            </w:pPr>
            <w:r>
              <w:rPr>
                <w:rFonts w:hint="eastAsia" w:ascii="幼圆" w:hAnsi="宋体" w:cs="宋体"/>
                <w:b/>
                <w:bCs/>
                <w:kern w:val="0"/>
              </w:rPr>
              <w:t>备注</w:t>
            </w:r>
          </w:p>
        </w:tc>
      </w:tr>
      <w:tr>
        <w:tblPrEx>
          <w:tblCellMar>
            <w:top w:w="0" w:type="dxa"/>
            <w:left w:w="108" w:type="dxa"/>
            <w:bottom w:w="0" w:type="dxa"/>
            <w:right w:w="108" w:type="dxa"/>
          </w:tblCellMar>
        </w:tblPrEx>
        <w:trPr>
          <w:trHeight w:val="372"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1</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设备使用需求</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b/>
                <w:bCs/>
                <w:kern w:val="0"/>
              </w:rPr>
            </w:pP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583"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1.1</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设备用途</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ascii="宋体" w:hAnsi="宋体" w:cs="宋体"/>
                <w:kern w:val="0"/>
              </w:rPr>
            </w:pPr>
            <w:r>
              <w:rPr>
                <w:rFonts w:hint="eastAsia" w:ascii="宋体" w:hAnsi="宋体" w:cs="宋体"/>
                <w:lang w:bidi="ar"/>
              </w:rPr>
              <w:t>主要用于开展手术时的照明使用</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3" w:hRule="atLeast"/>
        </w:trPr>
        <w:tc>
          <w:tcPr>
            <w:tcW w:w="977"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1.2</w:t>
            </w:r>
          </w:p>
        </w:tc>
        <w:tc>
          <w:tcPr>
            <w:tcW w:w="2041"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rPr>
            </w:pPr>
            <w:r>
              <w:rPr>
                <w:rFonts w:hint="eastAsia" w:ascii="宋体" w:hAnsi="宋体" w:cs="宋体"/>
                <w:color w:val="000000"/>
                <w:kern w:val="0"/>
              </w:rPr>
              <w:t>实验对象</w:t>
            </w:r>
          </w:p>
        </w:tc>
        <w:tc>
          <w:tcPr>
            <w:tcW w:w="5315"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p>
        </w:tc>
        <w:tc>
          <w:tcPr>
            <w:tcW w:w="754"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474"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Cs/>
                <w:kern w:val="0"/>
              </w:rPr>
            </w:pPr>
            <w:r>
              <w:rPr>
                <w:rFonts w:hint="eastAsia" w:ascii="宋体" w:hAnsi="宋体" w:cs="宋体"/>
                <w:bCs/>
                <w:kern w:val="0"/>
              </w:rPr>
              <w:t>1.3</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Cs/>
                <w:kern w:val="0"/>
              </w:rPr>
            </w:pPr>
            <w:r>
              <w:rPr>
                <w:rFonts w:hint="eastAsia" w:ascii="宋体" w:hAnsi="宋体" w:cs="宋体"/>
                <w:bCs/>
                <w:kern w:val="0"/>
              </w:rPr>
              <w:t>特殊功能需求</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cs="宋体"/>
                <w:bCs/>
                <w:kern w:val="0"/>
              </w:rPr>
            </w:pPr>
            <w:r>
              <w:rPr>
                <w:rFonts w:hint="eastAsia" w:ascii="宋体" w:hAnsi="宋体" w:cs="宋体"/>
                <w:bCs/>
                <w:kern w:val="0"/>
              </w:rPr>
              <w:t>移动式、光源为LED光源</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990"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kern w:val="0"/>
              </w:rPr>
            </w:pPr>
            <w:r>
              <w:rPr>
                <w:rFonts w:hint="eastAsia" w:ascii="宋体" w:hAnsi="宋体" w:cs="宋体"/>
                <w:b/>
                <w:kern w:val="0"/>
              </w:rPr>
              <w:t>2</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主要技术参数（一行只写一个参数）</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1088"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2.1</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★参数1</w:t>
            </w:r>
          </w:p>
        </w:tc>
        <w:tc>
          <w:tcPr>
            <w:tcW w:w="531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hint="eastAsia" w:ascii="宋体" w:hAnsi="宋体" w:cs="宋体"/>
              </w:rPr>
            </w:pPr>
            <w:r>
              <w:rPr>
                <w:rFonts w:hint="eastAsia" w:ascii="宋体" w:hAnsi="宋体" w:eastAsia="宋体"/>
                <w:sz w:val="24"/>
                <w:szCs w:val="24"/>
              </w:rPr>
              <w:t>采用新型LED冷光源，节能环保和超长使用寿命高达6万小时以上。医生头部升温﹤1℃。</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sz w:val="18"/>
                <w:szCs w:val="18"/>
              </w:rPr>
            </w:pPr>
          </w:p>
        </w:tc>
      </w:tr>
      <w:tr>
        <w:tblPrEx>
          <w:tblCellMar>
            <w:top w:w="0" w:type="dxa"/>
            <w:left w:w="108" w:type="dxa"/>
            <w:bottom w:w="0" w:type="dxa"/>
            <w:right w:w="108" w:type="dxa"/>
          </w:tblCellMar>
        </w:tblPrEx>
        <w:trPr>
          <w:trHeight w:val="1437"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2.</w:t>
            </w:r>
            <w:r>
              <w:rPr>
                <w:rFonts w:ascii="宋体" w:hAnsi="宋体" w:cs="宋体"/>
                <w:kern w:val="0"/>
              </w:rPr>
              <w:t>2</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★参数2</w:t>
            </w:r>
          </w:p>
        </w:tc>
        <w:tc>
          <w:tcPr>
            <w:tcW w:w="531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hint="eastAsia" w:ascii="宋体" w:hAnsi="宋体" w:eastAsia="宋体"/>
                <w:sz w:val="24"/>
                <w:szCs w:val="24"/>
              </w:rPr>
            </w:pPr>
            <w:r>
              <w:rPr>
                <w:rFonts w:hint="eastAsia" w:ascii="宋体" w:hAnsi="宋体" w:eastAsia="宋体" w:cs="宋体"/>
                <w:kern w:val="0"/>
                <w:sz w:val="24"/>
                <w:szCs w:val="24"/>
                <w:lang w:bidi="ar"/>
              </w:rPr>
              <w:t>采用计算机辅助模块化设计，多颗LED光柱聚焦照射，产生1200毫米以上光柱的深度照明，中心照度最高达160000lnx以上，并提供接近自然日光的3700K-5000K可调色温</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sz w:val="18"/>
                <w:szCs w:val="18"/>
              </w:rPr>
            </w:pPr>
          </w:p>
        </w:tc>
      </w:tr>
      <w:tr>
        <w:tblPrEx>
          <w:tblCellMar>
            <w:top w:w="0" w:type="dxa"/>
            <w:left w:w="108" w:type="dxa"/>
            <w:bottom w:w="0" w:type="dxa"/>
            <w:right w:w="108" w:type="dxa"/>
          </w:tblCellMar>
        </w:tblPrEx>
        <w:trPr>
          <w:trHeight w:val="638"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2.</w:t>
            </w:r>
            <w:r>
              <w:rPr>
                <w:rFonts w:ascii="宋体" w:hAnsi="宋体" w:cs="宋体"/>
                <w:kern w:val="0"/>
              </w:rPr>
              <w:t>3</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★参数3</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bCs/>
              </w:rPr>
            </w:pPr>
            <w:r>
              <w:rPr>
                <w:rFonts w:hint="eastAsia" w:ascii="宋体" w:hAnsi="宋体"/>
                <w:bCs/>
              </w:rPr>
              <w:t>照度（Lux）：60,000-160,000</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p>
        </w:tc>
      </w:tr>
      <w:tr>
        <w:tblPrEx>
          <w:tblCellMar>
            <w:top w:w="0" w:type="dxa"/>
            <w:left w:w="108" w:type="dxa"/>
            <w:bottom w:w="0" w:type="dxa"/>
            <w:right w:w="108" w:type="dxa"/>
          </w:tblCellMar>
        </w:tblPrEx>
        <w:trPr>
          <w:trHeight w:val="383"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2.4</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bookmarkStart w:id="26" w:name="_Hlk536390667"/>
            <w:r>
              <w:rPr>
                <w:rFonts w:hint="eastAsia" w:ascii="宋体" w:hAnsi="宋体" w:cs="宋体"/>
                <w:kern w:val="0"/>
              </w:rPr>
              <w:t>参数4</w:t>
            </w:r>
            <w:bookmarkEnd w:id="26"/>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bCs/>
              </w:rPr>
            </w:pPr>
            <w:r>
              <w:rPr>
                <w:rFonts w:hint="eastAsia" w:ascii="宋体" w:hAnsi="宋体"/>
                <w:bCs/>
              </w:rPr>
              <w:t>色温（K）：3700—5000</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sz w:val="18"/>
                <w:szCs w:val="18"/>
              </w:rPr>
            </w:pPr>
          </w:p>
        </w:tc>
      </w:tr>
      <w:tr>
        <w:tblPrEx>
          <w:tblCellMar>
            <w:top w:w="0" w:type="dxa"/>
            <w:left w:w="108" w:type="dxa"/>
            <w:bottom w:w="0" w:type="dxa"/>
            <w:right w:w="108" w:type="dxa"/>
          </w:tblCellMar>
        </w:tblPrEx>
        <w:trPr>
          <w:trHeight w:val="345"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2.5</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rPr>
            </w:pPr>
            <w:r>
              <w:rPr>
                <w:rFonts w:hint="eastAsia" w:ascii="宋体" w:hAnsi="宋体" w:cs="宋体"/>
                <w:kern w:val="0"/>
              </w:rPr>
              <w:t>参数5</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cs="宋体"/>
                <w:bCs/>
                <w:color w:val="000000"/>
              </w:rPr>
            </w:pPr>
            <w:r>
              <w:rPr>
                <w:rFonts w:hint="eastAsia" w:ascii="宋体" w:hAnsi="宋体" w:cs="宋体"/>
                <w:bCs/>
                <w:color w:val="000000"/>
              </w:rPr>
              <w:t>光斑直径（mm）：160-280</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sz w:val="18"/>
                <w:szCs w:val="18"/>
              </w:rPr>
            </w:pPr>
          </w:p>
        </w:tc>
      </w:tr>
      <w:tr>
        <w:tblPrEx>
          <w:tblCellMar>
            <w:top w:w="0" w:type="dxa"/>
            <w:left w:w="108" w:type="dxa"/>
            <w:bottom w:w="0" w:type="dxa"/>
            <w:right w:w="108" w:type="dxa"/>
          </w:tblCellMar>
        </w:tblPrEx>
        <w:trPr>
          <w:trHeight w:val="164"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2.6</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rPr>
            </w:pPr>
            <w:r>
              <w:rPr>
                <w:rFonts w:hint="eastAsia" w:ascii="宋体" w:hAnsi="宋体" w:cs="宋体"/>
                <w:kern w:val="0"/>
              </w:rPr>
              <w:t>参数6</w:t>
            </w:r>
          </w:p>
        </w:tc>
        <w:tc>
          <w:tcPr>
            <w:tcW w:w="531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hint="eastAsia" w:ascii="宋体" w:hAnsi="宋体" w:eastAsia="宋体" w:cs="Arial"/>
                <w:color w:val="000000"/>
                <w:sz w:val="24"/>
                <w:szCs w:val="24"/>
                <w:lang w:bidi="ar"/>
              </w:rPr>
            </w:pPr>
            <w:r>
              <w:rPr>
                <w:rFonts w:hint="eastAsia" w:ascii="宋体" w:hAnsi="宋体" w:eastAsia="宋体" w:cs="Arial"/>
                <w:color w:val="000000"/>
                <w:sz w:val="24"/>
                <w:szCs w:val="24"/>
                <w:lang w:bidi="ar"/>
              </w:rPr>
              <w:t>显色指数：85-98（可调）</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p>
        </w:tc>
      </w:tr>
      <w:tr>
        <w:tblPrEx>
          <w:tblCellMar>
            <w:top w:w="0" w:type="dxa"/>
            <w:left w:w="108" w:type="dxa"/>
            <w:bottom w:w="0" w:type="dxa"/>
            <w:right w:w="108" w:type="dxa"/>
          </w:tblCellMar>
        </w:tblPrEx>
        <w:trPr>
          <w:trHeight w:val="371" w:hRule="atLeast"/>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2.7</w:t>
            </w:r>
          </w:p>
        </w:tc>
        <w:tc>
          <w:tcPr>
            <w:tcW w:w="2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参数7</w:t>
            </w:r>
          </w:p>
        </w:tc>
        <w:tc>
          <w:tcPr>
            <w:tcW w:w="5315"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cs="Arial"/>
                <w:color w:val="000000"/>
                <w:lang w:bidi="ar"/>
              </w:rPr>
            </w:pPr>
            <w:r>
              <w:rPr>
                <w:rFonts w:hint="eastAsia" w:ascii="宋体" w:hAnsi="宋体" w:cs="Arial"/>
                <w:color w:val="000000"/>
                <w:lang w:bidi="ar"/>
              </w:rPr>
              <w:t>照明深度（mm）：≥1200</w:t>
            </w:r>
          </w:p>
        </w:tc>
        <w:tc>
          <w:tcPr>
            <w:tcW w:w="7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p>
        </w:tc>
      </w:tr>
      <w:tr>
        <w:tblPrEx>
          <w:tblCellMar>
            <w:top w:w="0" w:type="dxa"/>
            <w:left w:w="108" w:type="dxa"/>
            <w:bottom w:w="0" w:type="dxa"/>
            <w:right w:w="108" w:type="dxa"/>
          </w:tblCellMar>
        </w:tblPrEx>
        <w:trPr>
          <w:trHeight w:val="407" w:hRule="atLeast"/>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2.8</w:t>
            </w:r>
          </w:p>
        </w:tc>
        <w:tc>
          <w:tcPr>
            <w:tcW w:w="20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rPr>
            </w:pPr>
            <w:r>
              <w:rPr>
                <w:rFonts w:hint="eastAsia" w:ascii="宋体" w:hAnsi="宋体" w:cs="宋体"/>
                <w:kern w:val="0"/>
              </w:rPr>
              <w:t>参数8</w:t>
            </w:r>
          </w:p>
        </w:tc>
        <w:tc>
          <w:tcPr>
            <w:tcW w:w="5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rPr>
            </w:pPr>
            <w:r>
              <w:rPr>
                <w:rFonts w:hint="eastAsia" w:ascii="宋体" w:hAnsi="宋体"/>
              </w:rPr>
              <w:t>术者头部升温：﹤1℃</w:t>
            </w:r>
          </w:p>
        </w:tc>
        <w:tc>
          <w:tcPr>
            <w:tcW w:w="7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p>
        </w:tc>
      </w:tr>
      <w:tr>
        <w:tblPrEx>
          <w:tblCellMar>
            <w:top w:w="0" w:type="dxa"/>
            <w:left w:w="108" w:type="dxa"/>
            <w:bottom w:w="0" w:type="dxa"/>
            <w:right w:w="108" w:type="dxa"/>
          </w:tblCellMar>
        </w:tblPrEx>
        <w:trPr>
          <w:trHeight w:val="523"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r>
              <w:rPr>
                <w:rFonts w:hint="eastAsia" w:ascii="宋体" w:hAnsi="宋体" w:cs="宋体"/>
                <w:kern w:val="0"/>
              </w:rPr>
              <w:t>2.9</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rPr>
            </w:pPr>
            <w:r>
              <w:rPr>
                <w:rFonts w:hint="eastAsia" w:ascii="宋体" w:hAnsi="宋体" w:cs="宋体"/>
                <w:kern w:val="0"/>
              </w:rPr>
              <w:t>参数9</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sz w:val="21"/>
                <w:szCs w:val="22"/>
              </w:rPr>
            </w:pPr>
            <w:r>
              <w:rPr>
                <w:rFonts w:hint="eastAsia" w:ascii="宋体" w:hAnsi="宋体"/>
              </w:rPr>
              <w:t>德国设计师花瓣形超薄设计，最厚处不超过10CM，可获得极佳的层流效果。灯罩壳为进口ABS材质，表面采用环保粉沫喷塑处理，耐腐蚀，抗酸碱，有效增加产品使用寿命。</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kern w:val="0"/>
              </w:rPr>
            </w:pPr>
          </w:p>
        </w:tc>
      </w:tr>
      <w:tr>
        <w:tblPrEx>
          <w:tblCellMar>
            <w:top w:w="0" w:type="dxa"/>
            <w:left w:w="108" w:type="dxa"/>
            <w:bottom w:w="0" w:type="dxa"/>
            <w:right w:w="108" w:type="dxa"/>
          </w:tblCellMar>
        </w:tblPrEx>
        <w:trPr>
          <w:trHeight w:val="810"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kern w:val="0"/>
              </w:rPr>
            </w:pPr>
            <w:r>
              <w:rPr>
                <w:rFonts w:hint="eastAsia" w:ascii="宋体" w:hAnsi="宋体" w:cs="宋体"/>
                <w:b/>
                <w:kern w:val="0"/>
              </w:rPr>
              <w:t>3</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配置需求（一行只写一个配置）</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lang w:bidi="ar"/>
              </w:rPr>
            </w:pP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23"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3.1</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配置1</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cs="宋体"/>
                <w:kern w:val="0"/>
                <w:lang w:bidi="ar"/>
              </w:rPr>
            </w:pPr>
            <w:r>
              <w:rPr>
                <w:rFonts w:hint="eastAsia" w:ascii="宋体" w:hAnsi="宋体" w:cs="宋体"/>
                <w:bCs/>
                <w:kern w:val="0"/>
              </w:rPr>
              <w:t xml:space="preserve">无影灯 </w:t>
            </w:r>
            <w:r>
              <w:rPr>
                <w:rFonts w:ascii="宋体" w:hAnsi="宋体" w:cs="宋体"/>
                <w:bCs/>
                <w:kern w:val="0"/>
              </w:rPr>
              <w:t xml:space="preserve">  </w:t>
            </w:r>
            <w:r>
              <w:rPr>
                <w:rFonts w:hint="eastAsia" w:ascii="宋体" w:hAnsi="宋体" w:cs="宋体"/>
                <w:bCs/>
                <w:kern w:val="0"/>
              </w:rPr>
              <w:t>1套</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75"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4</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售后服务</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510"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4.1</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保修年限</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≥3年</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1255"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4.2</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出现故障回应时间</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维修到达现场时间≤ 6小时（本地）</w:t>
            </w:r>
            <w:r>
              <w:rPr>
                <w:rFonts w:ascii="宋体" w:hAnsi="宋体" w:cs="Times New Roman"/>
                <w:kern w:val="0"/>
              </w:rPr>
              <w:br w:type="textWrapping"/>
            </w:r>
            <w:r>
              <w:rPr>
                <w:rFonts w:ascii="宋体" w:hAnsi="宋体" w:cs="Times New Roman"/>
                <w:kern w:val="0"/>
              </w:rPr>
              <w:t>维修到达现场时间≤24小时（外地）</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4.3</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维修支持</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配件供应时间≥10年</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4.4</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耗材及零配件</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提供耗材及主要零配件目录（含报价）</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4.5</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维修资料</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提供详细操作手册、维修保养手册、安装手册等</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257" w:hRule="atLeast"/>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4.6</w:t>
            </w:r>
          </w:p>
        </w:tc>
        <w:tc>
          <w:tcPr>
            <w:tcW w:w="2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维修工具</w:t>
            </w:r>
          </w:p>
        </w:tc>
        <w:tc>
          <w:tcPr>
            <w:tcW w:w="5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提供维修专用工具1套</w:t>
            </w:r>
          </w:p>
        </w:tc>
        <w:tc>
          <w:tcPr>
            <w:tcW w:w="7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4.7</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预防性维修</w:t>
            </w:r>
            <w:r>
              <w:rPr>
                <w:rFonts w:ascii="宋体" w:hAnsi="宋体" w:cs="Times New Roman"/>
                <w:kern w:val="0"/>
              </w:rPr>
              <w:br w:type="textWrapping"/>
            </w:r>
            <w:r>
              <w:rPr>
                <w:rFonts w:ascii="宋体" w:hAnsi="宋体" w:cs="Times New Roman"/>
                <w:kern w:val="0"/>
              </w:rPr>
              <w:t>/定期维护保养</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保修期内提供定期维护保养服务</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4.8</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维修密码支持</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开放</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485"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4.9</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升级</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终身免费软件升级</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57"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4.10</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使用培训</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支持</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97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4.11</w:t>
            </w:r>
          </w:p>
        </w:tc>
        <w:tc>
          <w:tcPr>
            <w:tcW w:w="2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工程师培训</w:t>
            </w:r>
          </w:p>
        </w:tc>
        <w:tc>
          <w:tcPr>
            <w:tcW w:w="5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Times New Roman"/>
                <w:kern w:val="0"/>
              </w:rPr>
            </w:pPr>
            <w:r>
              <w:rPr>
                <w:rFonts w:ascii="宋体" w:hAnsi="宋体" w:cs="Times New Roman"/>
                <w:kern w:val="0"/>
              </w:rPr>
              <w:t>支持</w:t>
            </w:r>
          </w:p>
        </w:tc>
        <w:tc>
          <w:tcPr>
            <w:tcW w:w="75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rPr>
            </w:pPr>
            <w:r>
              <w:rPr>
                <w:rFonts w:hint="eastAsia" w:ascii="宋体" w:hAnsi="宋体" w:cs="宋体"/>
                <w:kern w:val="0"/>
              </w:rPr>
              <w:t>　</w:t>
            </w:r>
          </w:p>
        </w:tc>
      </w:tr>
    </w:tbl>
    <w:p>
      <w:pPr>
        <w:keepNext w:val="0"/>
        <w:keepLines w:val="0"/>
        <w:pageBreakBefore w:val="0"/>
        <w:kinsoku/>
        <w:wordWrap/>
        <w:overflowPunct/>
        <w:topLinePunct w:val="0"/>
        <w:autoSpaceDE/>
        <w:autoSpaceDN/>
        <w:bidi w:val="0"/>
        <w:adjustRightInd/>
        <w:snapToGrid/>
        <w:spacing w:line="240" w:lineRule="atLeast"/>
        <w:ind w:right="0"/>
        <w:textAlignment w:val="auto"/>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25D045A"/>
    <w:rsid w:val="1F1C3038"/>
    <w:rsid w:val="271C2A6F"/>
    <w:rsid w:val="292C2DA7"/>
    <w:rsid w:val="48ED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4"/>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4495</Words>
  <Characters>25623</Characters>
  <Lines>213</Lines>
  <Paragraphs>60</Paragraphs>
  <TotalTime>4</TotalTime>
  <ScaleCrop>false</ScaleCrop>
  <LinksUpToDate>false</LinksUpToDate>
  <CharactersWithSpaces>30058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2020-10-12T06:44:00Z</cp:lastPrinted>
  <dcterms:modified xsi:type="dcterms:W3CDTF">2021-03-08T01:46:50Z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