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纳米颗粒跟踪分析仪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2020-JL13(03)-W10022</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rFonts w:hint="eastAsia"/>
          <w:sz w:val="32"/>
          <w:lang w:val="en-US" w:eastAsia="zh-CN"/>
        </w:rPr>
        <w:t>7</w:t>
      </w:r>
      <w:r>
        <w:rPr>
          <w:sz w:val="32"/>
        </w:rPr>
        <w:fldChar w:fldCharType="end"/>
      </w:r>
    </w:p>
    <w:p>
      <w:pPr>
        <w:pStyle w:val="13"/>
        <w:ind w:left="804"/>
        <w:rPr>
          <w:rFonts w:hint="eastAsia" w:eastAsia="宋体" w:asciiTheme="minorHAnsi" w:hAnsiTheme="minorHAnsi" w:cstheme="minorBidi"/>
          <w:kern w:val="2"/>
          <w:szCs w:val="22"/>
          <w:lang w:val="en-US" w:eastAsia="zh-CN"/>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rFonts w:hint="eastAsia"/>
          <w:sz w:val="32"/>
          <w:lang w:val="en-US" w:eastAsia="zh-CN"/>
        </w:rPr>
        <w:t>1</w:t>
      </w:r>
      <w:r>
        <w:rPr>
          <w:sz w:val="32"/>
        </w:rPr>
        <w:fldChar w:fldCharType="end"/>
      </w:r>
      <w:r>
        <w:rPr>
          <w:rFonts w:hint="eastAsia"/>
          <w:sz w:val="32"/>
          <w:lang w:val="en-US" w:eastAsia="zh-CN"/>
        </w:rPr>
        <w:t>2</w:t>
      </w:r>
    </w:p>
    <w:p>
      <w:pPr>
        <w:pStyle w:val="13"/>
        <w:ind w:left="804"/>
        <w:rPr>
          <w:rFonts w:hint="eastAsia" w:eastAsia="宋体" w:asciiTheme="minorHAnsi" w:hAnsiTheme="minorHAnsi" w:cstheme="minorBidi"/>
          <w:kern w:val="2"/>
          <w:szCs w:val="22"/>
          <w:lang w:val="en-US" w:eastAsia="zh-CN"/>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rFonts w:hint="eastAsia"/>
          <w:sz w:val="32"/>
          <w:lang w:val="en-US" w:eastAsia="zh-CN"/>
        </w:rPr>
        <w:t>3</w:t>
      </w:r>
      <w:r>
        <w:rPr>
          <w:sz w:val="32"/>
        </w:rPr>
        <w:fldChar w:fldCharType="end"/>
      </w:r>
      <w:r>
        <w:rPr>
          <w:rFonts w:hint="eastAsia"/>
          <w:sz w:val="32"/>
          <w:lang w:val="en-US" w:eastAsia="zh-CN"/>
        </w:rPr>
        <w:t>4</w:t>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w:t>
      </w:r>
      <w:r>
        <w:rPr>
          <w:rFonts w:hint="eastAsia"/>
          <w:sz w:val="32"/>
          <w:lang w:val="en-US" w:eastAsia="zh-CN"/>
        </w:rPr>
        <w:t>7</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关于纳米颗粒跟踪分析仪采购</w:t>
      </w:r>
      <w:r>
        <w:rPr>
          <w:rFonts w:hint="eastAsia" w:ascii="Tahoma" w:hAnsi="Tahoma" w:cs="Tahoma"/>
          <w:b/>
          <w:bCs/>
          <w:kern w:val="0"/>
          <w:sz w:val="28"/>
          <w:szCs w:val="28"/>
          <w:lang w:eastAsia="zh-CN"/>
        </w:rPr>
        <w:t>情况的再次公示</w:t>
      </w:r>
    </w:p>
    <w:p>
      <w:pPr>
        <w:adjustRightInd w:val="0"/>
        <w:snapToGrid w:val="0"/>
        <w:spacing w:line="440" w:lineRule="exact"/>
        <w:ind w:firstLine="542" w:firstLineChars="200"/>
        <w:jc w:val="center"/>
        <w:rPr>
          <w:rFonts w:cs="Times New Roman" w:asciiTheme="minorEastAsia" w:hAnsiTheme="minorEastAsia"/>
          <w:kern w:val="0"/>
          <w:sz w:val="24"/>
          <w:szCs w:val="24"/>
        </w:rPr>
      </w:pPr>
      <w:r>
        <w:rPr>
          <w:rFonts w:ascii="Tahoma" w:hAnsi="Tahoma" w:cs="Tahoma"/>
          <w:kern w:val="0"/>
          <w:sz w:val="28"/>
          <w:szCs w:val="28"/>
        </w:rPr>
        <w:t>2020-JL13(03)-W10022</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我院纳米颗粒跟踪分析仪采购项目经网上公告至报名截止时间为止合格报名供应商不足三家，现仍接受供应商报名：</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纳米颗粒跟踪分析仪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项目编号：2020-JL13(03)-W10022</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32"/>
        <w:gridCol w:w="714"/>
        <w:gridCol w:w="1548"/>
        <w:gridCol w:w="714"/>
        <w:gridCol w:w="801"/>
        <w:gridCol w:w="1463"/>
        <w:gridCol w:w="85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纳米颗粒跟踪分析仪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156"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ind w:firstLine="4620" w:firstLineChars="2000"/>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kern w:val="0"/>
          <w:sz w:val="24"/>
          <w:szCs w:val="24"/>
          <w:lang w:val="en-US" w:eastAsia="zh-CN"/>
        </w:rPr>
        <w:t>10</w:t>
      </w:r>
      <w:r>
        <w:rPr>
          <w:rFonts w:hint="eastAsia" w:cs="Times New Roman" w:asciiTheme="minorEastAsia" w:hAnsiTheme="minorEastAsia"/>
          <w:kern w:val="0"/>
          <w:sz w:val="24"/>
          <w:szCs w:val="24"/>
        </w:rPr>
        <w:t xml:space="preserve"> 月 </w:t>
      </w:r>
      <w:r>
        <w:rPr>
          <w:rFonts w:hint="eastAsia" w:cs="Times New Roman" w:asciiTheme="minorEastAsia" w:hAnsiTheme="minorEastAsia"/>
          <w:kern w:val="0"/>
          <w:sz w:val="24"/>
          <w:szCs w:val="24"/>
          <w:lang w:val="en-US" w:eastAsia="zh-CN"/>
        </w:rPr>
        <w:t>20</w:t>
      </w:r>
      <w:bookmarkStart w:id="24" w:name="_GoBack"/>
      <w:bookmarkEnd w:id="24"/>
      <w:r>
        <w:rPr>
          <w:rFonts w:hint="eastAsia" w:cs="Times New Roman" w:asciiTheme="minorEastAsia" w:hAnsiTheme="minorEastAsia"/>
          <w:kern w:val="0"/>
          <w:sz w:val="24"/>
          <w:szCs w:val="24"/>
        </w:rPr>
        <w:t xml:space="preserve"> 日</w:t>
      </w: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关于纳米颗粒跟踪分析仪的采购</w:t>
      </w:r>
      <w:r>
        <w:rPr>
          <w:rFonts w:ascii="Tahoma" w:hAnsi="Tahoma" w:cs="Tahoma"/>
          <w:b/>
          <w:bCs/>
          <w:kern w:val="0"/>
          <w:sz w:val="28"/>
          <w:szCs w:val="28"/>
        </w:rPr>
        <w:t>公告</w:t>
      </w:r>
      <w:r>
        <w:rPr>
          <w:rFonts w:ascii="Tahoma" w:hAnsi="Tahoma" w:cs="Tahoma"/>
          <w:kern w:val="0"/>
          <w:sz w:val="28"/>
          <w:szCs w:val="28"/>
        </w:rPr>
        <w:t>2020-JL13(03)-W10022</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纳米颗粒跟踪分析仪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项目编号：2020-JL13(03)-W10022</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纳米颗粒跟踪分析仪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29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9 月 29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37172688"/>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szCs w:val="21"/>
              </w:rPr>
              <w:t>纳米颗粒跟踪分析仪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纳米颗粒跟踪分析仪技术要求</w:t>
      </w:r>
    </w:p>
    <w:tbl>
      <w:tblPr>
        <w:tblStyle w:val="17"/>
        <w:tblW w:w="9305" w:type="dxa"/>
        <w:tblInd w:w="-294" w:type="dxa"/>
        <w:tblLayout w:type="fixed"/>
        <w:tblCellMar>
          <w:top w:w="0" w:type="dxa"/>
          <w:left w:w="108" w:type="dxa"/>
          <w:bottom w:w="0" w:type="dxa"/>
          <w:right w:w="108" w:type="dxa"/>
        </w:tblCellMar>
      </w:tblPr>
      <w:tblGrid>
        <w:gridCol w:w="1111"/>
        <w:gridCol w:w="2410"/>
        <w:gridCol w:w="4678"/>
        <w:gridCol w:w="1106"/>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序号</w:t>
            </w:r>
          </w:p>
        </w:tc>
        <w:tc>
          <w:tcPr>
            <w:tcW w:w="2410"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技术和性能参数</w:t>
            </w:r>
          </w:p>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名称</w:t>
            </w:r>
          </w:p>
        </w:tc>
        <w:tc>
          <w:tcPr>
            <w:tcW w:w="4678"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技术参数和性能要求</w:t>
            </w:r>
          </w:p>
        </w:tc>
        <w:tc>
          <w:tcPr>
            <w:tcW w:w="1106" w:type="dxa"/>
            <w:tcBorders>
              <w:top w:val="single" w:color="auto" w:sz="8" w:space="0"/>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备注</w:t>
            </w:r>
          </w:p>
        </w:tc>
      </w:tr>
      <w:tr>
        <w:tblPrEx>
          <w:tblCellMar>
            <w:top w:w="0" w:type="dxa"/>
            <w:left w:w="108" w:type="dxa"/>
            <w:bottom w:w="0" w:type="dxa"/>
            <w:right w:w="108" w:type="dxa"/>
          </w:tblCellMar>
        </w:tblPrEx>
        <w:trPr>
          <w:trHeight w:val="2645"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Cs/>
                <w:kern w:val="0"/>
              </w:rPr>
            </w:pPr>
            <w:r>
              <w:rPr>
                <w:rFonts w:asciiTheme="majorEastAsia" w:hAnsiTheme="majorEastAsia" w:eastAsiaTheme="majorEastAsia"/>
                <w:bCs/>
                <w:kern w:val="0"/>
              </w:rPr>
              <w:t>1</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bCs/>
                <w:kern w:val="0"/>
                <w:szCs w:val="21"/>
              </w:rPr>
            </w:pPr>
            <w:r>
              <w:rPr>
                <w:rFonts w:asciiTheme="majorEastAsia" w:hAnsiTheme="majorEastAsia" w:eastAsiaTheme="majorEastAsia"/>
                <w:bCs/>
                <w:kern w:val="0"/>
                <w:szCs w:val="21"/>
              </w:rPr>
              <w:t>设备使用需求</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bCs/>
                <w:kern w:val="0"/>
                <w:szCs w:val="21"/>
              </w:rPr>
            </w:pPr>
            <w:r>
              <w:rPr>
                <w:rFonts w:hint="eastAsia" w:asciiTheme="majorEastAsia" w:hAnsiTheme="majorEastAsia" w:eastAsiaTheme="majorEastAsia"/>
                <w:bCs/>
                <w:kern w:val="0"/>
                <w:szCs w:val="21"/>
              </w:rPr>
              <w:t>纳米颗粒跟踪分析技术利用高分辨率，实时动态纳米颗粒检测技术，可以对纳米级颗粒进行直接观察粒径检测。如果对于复杂体系中的特定颗粒进行荧光标记，可以对于被标记的颗粒进行特定检测，不受到复杂组分溶液环境的影响。单独跟踪视野中每一个颗粒的运动轨迹以得到每一个颗粒的粒径信息。</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1.1</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设备用途</w:t>
            </w:r>
          </w:p>
        </w:tc>
        <w:tc>
          <w:tcPr>
            <w:tcW w:w="4678" w:type="dxa"/>
            <w:tcBorders>
              <w:top w:val="nil"/>
              <w:left w:val="nil"/>
              <w:bottom w:val="single" w:color="auto" w:sz="4" w:space="0"/>
              <w:right w:val="single" w:color="auto" w:sz="4" w:space="0"/>
            </w:tcBorders>
            <w:vAlign w:val="center"/>
          </w:tcPr>
          <w:p>
            <w:pPr>
              <w:adjustRightInd w:val="0"/>
              <w:snapToGrid w:val="0"/>
              <w:spacing w:before="289" w:beforeLines="50" w:line="360" w:lineRule="exact"/>
              <w:rPr>
                <w:rFonts w:asciiTheme="majorEastAsia" w:hAnsiTheme="majorEastAsia" w:eastAsiaTheme="majorEastAsia"/>
                <w:szCs w:val="21"/>
              </w:rPr>
            </w:pPr>
            <w:r>
              <w:rPr>
                <w:rFonts w:hint="eastAsia" w:asciiTheme="majorEastAsia" w:hAnsiTheme="majorEastAsia" w:eastAsiaTheme="majorEastAsia"/>
                <w:szCs w:val="21"/>
              </w:rPr>
              <w:t>使用纳米颗粒跟踪分析技术，激光光束穿过样本室并沿该光束散射光的路径穿过悬浮液中的颗粒，从而能够通过装有摄像头放大显微镜实现颗粒的可视化。 摄像头以高频率工作，捕捉布朗运动下移动颗粒的视频文件。通过软件分析颗粒的布朗运动，得到颗粒的粒径，粒径分布，浓度等等信息。仪器需具备荧光样品检测能力。应用领域涉及材料，生物，医疗，水处理，纳米气泡，药物输送等多个方面。</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2</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b/>
                <w:bCs/>
                <w:kern w:val="0"/>
                <w:szCs w:val="21"/>
              </w:rPr>
            </w:pPr>
            <w:r>
              <w:rPr>
                <w:rFonts w:asciiTheme="majorEastAsia" w:hAnsiTheme="majorEastAsia" w:eastAsiaTheme="majorEastAsia"/>
                <w:b/>
                <w:bCs/>
                <w:kern w:val="0"/>
                <w:szCs w:val="21"/>
              </w:rPr>
              <w:t>主要技术参数</w:t>
            </w:r>
            <w:r>
              <w:rPr>
                <w:rFonts w:asciiTheme="majorEastAsia" w:hAnsiTheme="majorEastAsia" w:eastAsiaTheme="majorEastAsia"/>
                <w:b/>
                <w:bCs/>
                <w:kern w:val="0"/>
                <w:szCs w:val="21"/>
              </w:rPr>
              <w:br w:type="textWrapping"/>
            </w:r>
            <w:r>
              <w:rPr>
                <w:rFonts w:asciiTheme="majorEastAsia" w:hAnsiTheme="majorEastAsia" w:eastAsiaTheme="majorEastAsia"/>
                <w:b/>
                <w:bCs/>
                <w:kern w:val="0"/>
                <w:szCs w:val="21"/>
              </w:rPr>
              <w:t>（一行只写一个参数）</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p>
        </w:tc>
        <w:tc>
          <w:tcPr>
            <w:tcW w:w="1106" w:type="dxa"/>
            <w:tcBorders>
              <w:top w:val="nil"/>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907"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p>
        </w:tc>
        <w:tc>
          <w:tcPr>
            <w:tcW w:w="2410" w:type="dxa"/>
            <w:tcBorders>
              <w:top w:val="nil"/>
              <w:left w:val="nil"/>
              <w:bottom w:val="single" w:color="auto" w:sz="4" w:space="0"/>
              <w:right w:val="single" w:color="auto" w:sz="4" w:space="0"/>
            </w:tcBorders>
            <w:vAlign w:val="center"/>
          </w:tcPr>
          <w:p>
            <w:pPr>
              <w:widowControl/>
              <w:spacing w:line="360" w:lineRule="exact"/>
              <w:jc w:val="center"/>
              <w:rPr>
                <w:kern w:val="0"/>
                <w:szCs w:val="21"/>
              </w:rPr>
            </w:pPr>
            <w:r>
              <w:rPr>
                <w:rFonts w:ascii="Segoe UI Symbol" w:hAnsi="Segoe UI Symbol" w:cs="Segoe UI Symbol"/>
                <w:kern w:val="0"/>
                <w:szCs w:val="21"/>
              </w:rPr>
              <w:t>★</w:t>
            </w:r>
            <w:r>
              <w:rPr>
                <w:kern w:val="0"/>
                <w:szCs w:val="21"/>
              </w:rPr>
              <w:t>参数1</w:t>
            </w:r>
          </w:p>
        </w:tc>
        <w:tc>
          <w:tcPr>
            <w:tcW w:w="4678" w:type="dxa"/>
            <w:tcBorders>
              <w:top w:val="nil"/>
              <w:left w:val="nil"/>
              <w:bottom w:val="single" w:color="auto" w:sz="4" w:space="0"/>
              <w:right w:val="single" w:color="auto" w:sz="4" w:space="0"/>
            </w:tcBorders>
            <w:vAlign w:val="center"/>
          </w:tcPr>
          <w:p>
            <w:pPr>
              <w:adjustRightInd w:val="0"/>
              <w:snapToGrid w:val="0"/>
              <w:spacing w:before="289" w:beforeLines="50" w:line="360" w:lineRule="exact"/>
              <w:rPr>
                <w:rFonts w:asciiTheme="minorEastAsia" w:hAnsiTheme="minorEastAsia"/>
                <w:szCs w:val="21"/>
              </w:rPr>
            </w:pPr>
            <w:r>
              <w:rPr>
                <w:rFonts w:asciiTheme="minorEastAsia" w:hAnsiTheme="minorEastAsia"/>
                <w:szCs w:val="21"/>
              </w:rPr>
              <w:t>粒径检测范围10 – 1000 nm</w:t>
            </w:r>
          </w:p>
        </w:tc>
        <w:tc>
          <w:tcPr>
            <w:tcW w:w="1106" w:type="dxa"/>
            <w:tcBorders>
              <w:top w:val="nil"/>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2.2</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rFonts w:ascii="Segoe UI Symbol" w:hAnsi="Segoe UI Symbol" w:cs="Segoe UI Symbol"/>
                <w:kern w:val="0"/>
                <w:szCs w:val="21"/>
              </w:rPr>
              <w:t>★</w:t>
            </w:r>
            <w:r>
              <w:rPr>
                <w:kern w:val="0"/>
                <w:szCs w:val="21"/>
              </w:rPr>
              <w:t>参数2</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浓度检测范围10</w:t>
            </w:r>
            <w:r>
              <w:rPr>
                <w:rFonts w:asciiTheme="minorEastAsia" w:hAnsiTheme="minorEastAsia" w:eastAsiaTheme="minorEastAsia"/>
                <w:szCs w:val="21"/>
                <w:vertAlign w:val="superscript"/>
              </w:rPr>
              <w:t>6</w:t>
            </w:r>
            <w:r>
              <w:rPr>
                <w:rFonts w:asciiTheme="minorEastAsia" w:hAnsiTheme="minorEastAsia" w:eastAsiaTheme="minorEastAsia"/>
                <w:szCs w:val="21"/>
              </w:rPr>
              <w:t xml:space="preserve"> – 10</w:t>
            </w:r>
            <w:r>
              <w:rPr>
                <w:rFonts w:asciiTheme="minorEastAsia" w:hAnsiTheme="minorEastAsia" w:eastAsiaTheme="minorEastAsia"/>
                <w:szCs w:val="21"/>
                <w:vertAlign w:val="superscript"/>
              </w:rPr>
              <w:t>9</w:t>
            </w:r>
            <w:r>
              <w:rPr>
                <w:rFonts w:asciiTheme="minorEastAsia" w:hAnsiTheme="minorEastAsia" w:eastAsiaTheme="minorEastAsia"/>
                <w:szCs w:val="21"/>
              </w:rPr>
              <w:t xml:space="preserve"> 个/ml</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.3</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▲参数3</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仪器具备手动和全自动两种样品聚焦功能，聚焦位置可记忆。满足多方面应用需求，提升聚焦效率。</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.4</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▲参数4</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可完成流变测试，非牛顿流体样品可完成0剪切条件下的粘度测试，范围≥0.4-5cP(mPa.s)</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.5</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▲参数5</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样品浓度在10</w:t>
            </w:r>
            <w:r>
              <w:rPr>
                <w:rFonts w:asciiTheme="minorEastAsia" w:hAnsiTheme="minorEastAsia" w:eastAsiaTheme="minorEastAsia"/>
                <w:szCs w:val="21"/>
                <w:vertAlign w:val="superscript"/>
              </w:rPr>
              <w:t>9</w:t>
            </w:r>
            <w:r>
              <w:rPr>
                <w:rFonts w:asciiTheme="minorEastAsia" w:hAnsiTheme="minorEastAsia" w:eastAsiaTheme="minorEastAsia"/>
                <w:szCs w:val="21"/>
              </w:rPr>
              <w:t xml:space="preserve"> 个/mL条件下，最小样品量：≤280 ul</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.6</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▲参数6</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仪器显微系统放大倍数（光学镜头）≥20倍</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.7</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▲参数7</w:t>
            </w:r>
          </w:p>
        </w:tc>
        <w:tc>
          <w:tcPr>
            <w:tcW w:w="4678" w:type="dxa"/>
            <w:tcBorders>
              <w:top w:val="single" w:color="auto" w:sz="4" w:space="0"/>
              <w:left w:val="nil"/>
              <w:bottom w:val="single" w:color="auto" w:sz="4" w:space="0"/>
              <w:right w:val="single" w:color="auto" w:sz="4" w:space="0"/>
            </w:tcBorders>
            <w:vAlign w:val="center"/>
          </w:tcPr>
          <w:p>
            <w:pPr>
              <w:spacing w:line="360" w:lineRule="exact"/>
              <w:rPr>
                <w:rFonts w:asciiTheme="minorEastAsia" w:hAnsiTheme="minorEastAsia"/>
                <w:szCs w:val="21"/>
              </w:rPr>
            </w:pPr>
            <w:r>
              <w:rPr>
                <w:rFonts w:asciiTheme="minorEastAsia" w:hAnsiTheme="minorEastAsia"/>
                <w:szCs w:val="21"/>
              </w:rPr>
              <w:t>集成聚焦极化激光光源：包括自带温控平台的激光器；激光波长 488nm，功率≥40mW。</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2.8</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Cs w:val="21"/>
              </w:rPr>
            </w:pPr>
            <w:r>
              <w:rPr>
                <w:kern w:val="0"/>
                <w:szCs w:val="21"/>
              </w:rPr>
              <w:t>参数8</w:t>
            </w:r>
          </w:p>
        </w:tc>
        <w:tc>
          <w:tcPr>
            <w:tcW w:w="4678" w:type="dxa"/>
            <w:tcBorders>
              <w:top w:val="single" w:color="auto" w:sz="4" w:space="0"/>
              <w:left w:val="nil"/>
              <w:bottom w:val="single" w:color="auto" w:sz="4" w:space="0"/>
              <w:right w:val="single" w:color="auto" w:sz="4" w:space="0"/>
            </w:tcBorders>
            <w:vAlign w:val="center"/>
          </w:tcPr>
          <w:p>
            <w:pPr>
              <w:spacing w:line="360" w:lineRule="exact"/>
              <w:rPr>
                <w:rFonts w:asciiTheme="minorEastAsia" w:hAnsiTheme="minorEastAsia"/>
                <w:szCs w:val="21"/>
              </w:rPr>
            </w:pPr>
            <w:r>
              <w:rPr>
                <w:rFonts w:asciiTheme="minorEastAsia" w:hAnsiTheme="minorEastAsia"/>
                <w:szCs w:val="21"/>
              </w:rPr>
              <w:t>样品池：采用平板式样品池，能极大限度抑制颗粒的热扩散运动，只呈现出颗粒的布朗运动，提供仪器样品池工作照片证明。</w:t>
            </w:r>
          </w:p>
        </w:tc>
        <w:tc>
          <w:tcPr>
            <w:tcW w:w="1106" w:type="dxa"/>
            <w:tcBorders>
              <w:top w:val="single" w:color="auto" w:sz="4" w:space="0"/>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834"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2.9</w:t>
            </w:r>
          </w:p>
        </w:tc>
        <w:tc>
          <w:tcPr>
            <w:tcW w:w="241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kern w:val="0"/>
                <w:szCs w:val="21"/>
              </w:rPr>
              <w:t>参数9</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 xml:space="preserve">温控范围：低于室温5度 - 50°C；温控准确性：  </w:t>
            </w:r>
            <w:r>
              <w:rPr>
                <w:rFonts w:hint="eastAsia" w:asciiTheme="minorEastAsia" w:hAnsiTheme="minorEastAsia" w:eastAsiaTheme="minorEastAsia"/>
                <w:szCs w:val="21"/>
              </w:rPr>
              <w:t>≦</w:t>
            </w:r>
            <w:r>
              <w:rPr>
                <w:rFonts w:asciiTheme="minorEastAsia" w:hAnsiTheme="minorEastAsia" w:eastAsiaTheme="minorEastAsia"/>
                <w:szCs w:val="21"/>
              </w:rPr>
              <w:t>1°C</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835"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10</w:t>
            </w:r>
          </w:p>
        </w:tc>
        <w:tc>
          <w:tcPr>
            <w:tcW w:w="2410" w:type="dxa"/>
            <w:tcBorders>
              <w:top w:val="single" w:color="auto" w:sz="4" w:space="0"/>
              <w:left w:val="nil"/>
              <w:bottom w:val="single" w:color="auto" w:sz="4" w:space="0"/>
              <w:right w:val="single" w:color="auto" w:sz="4" w:space="0"/>
            </w:tcBorders>
            <w:vAlign w:val="center"/>
          </w:tcPr>
          <w:p>
            <w:pPr>
              <w:spacing w:line="360" w:lineRule="exact"/>
              <w:jc w:val="center"/>
              <w:rPr>
                <w:kern w:val="0"/>
                <w:szCs w:val="21"/>
              </w:rPr>
            </w:pPr>
            <w:r>
              <w:rPr>
                <w:kern w:val="0"/>
                <w:szCs w:val="21"/>
              </w:rPr>
              <w:t>参数10</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 xml:space="preserve">光电单元： CMOS等摄像头，每个像素点≤200 nm </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1</w:t>
            </w:r>
            <w:r>
              <w:rPr>
                <w:rFonts w:asciiTheme="majorEastAsia" w:hAnsiTheme="majorEastAsia" w:eastAsiaTheme="majorEastAsia"/>
                <w:kern w:val="0"/>
              </w:rPr>
              <w:t>1</w:t>
            </w:r>
          </w:p>
        </w:tc>
        <w:tc>
          <w:tcPr>
            <w:tcW w:w="241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kern w:val="0"/>
                <w:szCs w:val="21"/>
              </w:rPr>
              <w:t>参数11</w:t>
            </w:r>
          </w:p>
        </w:tc>
        <w:tc>
          <w:tcPr>
            <w:tcW w:w="4678" w:type="dxa"/>
            <w:tcBorders>
              <w:top w:val="single" w:color="auto" w:sz="4" w:space="0"/>
              <w:left w:val="nil"/>
              <w:bottom w:val="single" w:color="auto" w:sz="4" w:space="0"/>
              <w:right w:val="single" w:color="auto" w:sz="4" w:space="0"/>
            </w:tcBorders>
            <w:vAlign w:val="center"/>
          </w:tcPr>
          <w:p>
            <w:pPr>
              <w:pStyle w:val="47"/>
              <w:widowControl/>
              <w:spacing w:before="289" w:line="360" w:lineRule="exact"/>
              <w:ind w:firstLine="0" w:firstLineChars="0"/>
              <w:rPr>
                <w:rFonts w:asciiTheme="minorEastAsia" w:hAnsiTheme="minorEastAsia" w:eastAsiaTheme="minorEastAsia"/>
                <w:szCs w:val="21"/>
              </w:rPr>
            </w:pPr>
            <w:r>
              <w:rPr>
                <w:rFonts w:asciiTheme="minorEastAsia" w:hAnsiTheme="minorEastAsia" w:eastAsiaTheme="minorEastAsia"/>
                <w:szCs w:val="21"/>
              </w:rPr>
              <w:t xml:space="preserve">可以利用荧光标定特定颗粒，单独对这些颗粒检测，获取单颗粒布朗运动视频信息。 </w:t>
            </w:r>
          </w:p>
        </w:tc>
        <w:tc>
          <w:tcPr>
            <w:tcW w:w="1106" w:type="dxa"/>
            <w:tcBorders>
              <w:top w:val="single" w:color="auto" w:sz="4" w:space="0"/>
              <w:left w:val="nil"/>
              <w:bottom w:val="single" w:color="auto" w:sz="4" w:space="0"/>
              <w:right w:val="single" w:color="auto" w:sz="8"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1</w:t>
            </w:r>
            <w:r>
              <w:rPr>
                <w:rFonts w:asciiTheme="majorEastAsia" w:hAnsiTheme="majorEastAsia" w:eastAsiaTheme="majorEastAsia"/>
                <w:kern w:val="0"/>
              </w:rPr>
              <w:t>2</w:t>
            </w:r>
          </w:p>
        </w:tc>
        <w:tc>
          <w:tcPr>
            <w:tcW w:w="2410" w:type="dxa"/>
            <w:tcBorders>
              <w:top w:val="nil"/>
              <w:left w:val="nil"/>
              <w:bottom w:val="single" w:color="auto" w:sz="4" w:space="0"/>
              <w:right w:val="single" w:color="auto" w:sz="4" w:space="0"/>
            </w:tcBorders>
            <w:vAlign w:val="center"/>
          </w:tcPr>
          <w:p>
            <w:pPr>
              <w:spacing w:line="360" w:lineRule="exact"/>
              <w:jc w:val="center"/>
              <w:rPr>
                <w:szCs w:val="21"/>
              </w:rPr>
            </w:pPr>
            <w:r>
              <w:rPr>
                <w:kern w:val="0"/>
                <w:szCs w:val="21"/>
              </w:rPr>
              <w:t>参数12</w:t>
            </w:r>
          </w:p>
        </w:tc>
        <w:tc>
          <w:tcPr>
            <w:tcW w:w="4678" w:type="dxa"/>
            <w:tcBorders>
              <w:top w:val="nil"/>
              <w:left w:val="nil"/>
              <w:bottom w:val="single" w:color="auto" w:sz="4" w:space="0"/>
              <w:right w:val="single" w:color="auto" w:sz="4" w:space="0"/>
            </w:tcBorders>
            <w:vAlign w:val="center"/>
          </w:tcPr>
          <w:p>
            <w:pPr>
              <w:spacing w:line="360" w:lineRule="exact"/>
              <w:rPr>
                <w:rFonts w:asciiTheme="minorEastAsia" w:hAnsiTheme="minorEastAsia"/>
                <w:szCs w:val="21"/>
              </w:rPr>
            </w:pPr>
            <w:r>
              <w:rPr>
                <w:rFonts w:asciiTheme="minorEastAsia" w:hAnsiTheme="minorEastAsia"/>
                <w:szCs w:val="21"/>
              </w:rPr>
              <w:t>样品可连续装载，提供样品流动，且流速程序可控。可以通过连续进样提供稳定的液流。</w:t>
            </w:r>
          </w:p>
        </w:tc>
        <w:tc>
          <w:tcPr>
            <w:tcW w:w="1106" w:type="dxa"/>
            <w:tcBorders>
              <w:top w:val="nil"/>
              <w:left w:val="nil"/>
              <w:bottom w:val="single" w:color="auto" w:sz="4" w:space="0"/>
              <w:right w:val="single" w:color="auto" w:sz="8"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86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Cs w:val="21"/>
              </w:rPr>
            </w:pPr>
            <w:r>
              <w:rPr>
                <w:kern w:val="0"/>
                <w:szCs w:val="21"/>
              </w:rPr>
              <w:t>参数13</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inorEastAsia" w:hAnsiTheme="minorEastAsia"/>
                <w:szCs w:val="21"/>
              </w:rPr>
            </w:pPr>
            <w:r>
              <w:rPr>
                <w:rFonts w:asciiTheme="minorEastAsia" w:hAnsiTheme="minorEastAsia"/>
                <w:szCs w:val="21"/>
              </w:rPr>
              <w:t>全自动</w:t>
            </w:r>
            <w:r>
              <w:rPr>
                <w:rFonts w:hint="eastAsia" w:asciiTheme="minorEastAsia" w:hAnsiTheme="minorEastAsia"/>
                <w:szCs w:val="21"/>
              </w:rPr>
              <w:t>≥</w:t>
            </w:r>
            <w:r>
              <w:rPr>
                <w:rFonts w:asciiTheme="minorEastAsia" w:hAnsiTheme="minorEastAsia"/>
                <w:szCs w:val="21"/>
              </w:rPr>
              <w:t>6转轮切换式荧光过滤片系统；可选滤片波长不少于：430nm，500nm，565nm，642nm。</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6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2.14</w:t>
            </w:r>
          </w:p>
        </w:tc>
        <w:tc>
          <w:tcPr>
            <w:tcW w:w="2410" w:type="dxa"/>
            <w:tcBorders>
              <w:top w:val="nil"/>
              <w:left w:val="nil"/>
              <w:bottom w:val="single" w:color="auto" w:sz="4" w:space="0"/>
              <w:right w:val="single" w:color="auto" w:sz="4" w:space="0"/>
            </w:tcBorders>
            <w:vAlign w:val="center"/>
          </w:tcPr>
          <w:p>
            <w:pPr>
              <w:spacing w:line="360" w:lineRule="exact"/>
              <w:jc w:val="center"/>
              <w:rPr>
                <w:kern w:val="0"/>
                <w:szCs w:val="21"/>
              </w:rPr>
            </w:pPr>
            <w:r>
              <w:rPr>
                <w:kern w:val="0"/>
                <w:szCs w:val="21"/>
              </w:rPr>
              <w:t>参数14</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szCs w:val="21"/>
              </w:rPr>
            </w:pPr>
            <w:r>
              <w:rPr>
                <w:rFonts w:asciiTheme="minorEastAsia" w:hAnsiTheme="minorEastAsia"/>
                <w:szCs w:val="21"/>
              </w:rPr>
              <w:t>同时提供聚苯乙烯样品池和耐腐蚀样品池。满足水相和有机相测试。</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140" w:hRule="atLeast"/>
        </w:trPr>
        <w:tc>
          <w:tcPr>
            <w:tcW w:w="1111" w:type="dxa"/>
            <w:tcBorders>
              <w:top w:val="single" w:color="auto" w:sz="4" w:space="0"/>
              <w:left w:val="single" w:color="auto" w:sz="8" w:space="0"/>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.15</w:t>
            </w:r>
          </w:p>
        </w:tc>
        <w:tc>
          <w:tcPr>
            <w:tcW w:w="2410" w:type="dxa"/>
            <w:tcBorders>
              <w:top w:val="single" w:color="auto" w:sz="4" w:space="0"/>
              <w:left w:val="nil"/>
              <w:bottom w:val="single" w:color="auto" w:sz="4" w:space="0"/>
              <w:right w:val="single" w:color="auto" w:sz="4" w:space="0"/>
            </w:tcBorders>
            <w:vAlign w:val="center"/>
          </w:tcPr>
          <w:p>
            <w:pPr>
              <w:spacing w:line="360" w:lineRule="exact"/>
              <w:jc w:val="center"/>
              <w:rPr>
                <w:kern w:val="0"/>
                <w:szCs w:val="21"/>
              </w:rPr>
            </w:pPr>
            <w:r>
              <w:rPr>
                <w:kern w:val="0"/>
                <w:szCs w:val="21"/>
              </w:rPr>
              <w:t>参数15</w:t>
            </w:r>
          </w:p>
        </w:tc>
        <w:tc>
          <w:tcPr>
            <w:tcW w:w="4678" w:type="dxa"/>
            <w:tcBorders>
              <w:top w:val="single" w:color="auto" w:sz="4" w:space="0"/>
              <w:left w:val="nil"/>
              <w:bottom w:val="single" w:color="auto" w:sz="4" w:space="0"/>
              <w:right w:val="single" w:color="auto" w:sz="4" w:space="0"/>
            </w:tcBorders>
            <w:vAlign w:val="center"/>
          </w:tcPr>
          <w:p>
            <w:pPr>
              <w:spacing w:line="360" w:lineRule="exact"/>
              <w:rPr>
                <w:rFonts w:asciiTheme="minorEastAsia" w:hAnsiTheme="minorEastAsia"/>
                <w:szCs w:val="21"/>
              </w:rPr>
            </w:pPr>
            <w:r>
              <w:rPr>
                <w:rFonts w:asciiTheme="minorEastAsia" w:hAnsiTheme="minorEastAsia"/>
                <w:szCs w:val="21"/>
              </w:rPr>
              <w:t>软件可提供布朗运动可视视频，提供粒径-数量分布，粒径-数量-光强三维分布曲线</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3</w:t>
            </w:r>
          </w:p>
        </w:tc>
        <w:tc>
          <w:tcPr>
            <w:tcW w:w="2410" w:type="dxa"/>
            <w:tcBorders>
              <w:top w:val="nil"/>
              <w:left w:val="nil"/>
              <w:bottom w:val="single" w:color="auto" w:sz="4" w:space="0"/>
              <w:right w:val="single" w:color="auto" w:sz="4" w:space="0"/>
            </w:tcBorders>
            <w:vAlign w:val="center"/>
          </w:tcPr>
          <w:p>
            <w:pPr>
              <w:widowControl/>
              <w:spacing w:line="360" w:lineRule="exact"/>
              <w:ind w:firstLine="201" w:firstLineChars="100"/>
              <w:jc w:val="center"/>
              <w:rPr>
                <w:b/>
                <w:bCs/>
                <w:kern w:val="0"/>
                <w:szCs w:val="21"/>
              </w:rPr>
            </w:pPr>
            <w:r>
              <w:rPr>
                <w:b/>
                <w:bCs/>
                <w:kern w:val="0"/>
                <w:szCs w:val="21"/>
              </w:rPr>
              <w:t>配置需求</w:t>
            </w:r>
            <w:r>
              <w:rPr>
                <w:b/>
                <w:bCs/>
                <w:kern w:val="0"/>
                <w:szCs w:val="21"/>
              </w:rPr>
              <w:br w:type="textWrapping"/>
            </w:r>
            <w:r>
              <w:rPr>
                <w:b/>
                <w:bCs/>
                <w:kern w:val="0"/>
                <w:szCs w:val="21"/>
              </w:rPr>
              <w:t>（一行只写一个配置）</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3.1</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配置1</w:t>
            </w:r>
          </w:p>
        </w:tc>
        <w:tc>
          <w:tcPr>
            <w:tcW w:w="4678" w:type="dxa"/>
            <w:tcBorders>
              <w:top w:val="single" w:color="auto" w:sz="4" w:space="0"/>
              <w:left w:val="nil"/>
              <w:bottom w:val="single" w:color="auto" w:sz="4" w:space="0"/>
              <w:right w:val="single" w:color="auto" w:sz="4" w:space="0"/>
            </w:tcBorders>
            <w:vAlign w:val="center"/>
          </w:tcPr>
          <w:p>
            <w:pPr>
              <w:spacing w:line="360" w:lineRule="exact"/>
              <w:rPr>
                <w:rFonts w:asciiTheme="minorEastAsia" w:hAnsiTheme="minorEastAsia"/>
                <w:kern w:val="0"/>
                <w:szCs w:val="21"/>
              </w:rPr>
            </w:pPr>
            <w:r>
              <w:rPr>
                <w:rFonts w:asciiTheme="minorEastAsia" w:hAnsiTheme="minorEastAsia"/>
                <w:kern w:val="0"/>
                <w:szCs w:val="21"/>
              </w:rPr>
              <w:t xml:space="preserve">分析仪主机 </w:t>
            </w:r>
            <w:r>
              <w:rPr>
                <w:rFonts w:hint="eastAsia" w:asciiTheme="minorEastAsia" w:hAnsiTheme="minorEastAsia"/>
                <w:kern w:val="0"/>
                <w:szCs w:val="21"/>
              </w:rPr>
              <w:t xml:space="preserve">     </w:t>
            </w:r>
            <w:r>
              <w:rPr>
                <w:rFonts w:asciiTheme="minorEastAsia" w:hAnsiTheme="minorEastAsia"/>
                <w:kern w:val="0"/>
                <w:szCs w:val="21"/>
              </w:rPr>
              <w:t>1台</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3.2</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配置2</w:t>
            </w:r>
          </w:p>
        </w:tc>
        <w:tc>
          <w:tcPr>
            <w:tcW w:w="4678" w:type="dxa"/>
            <w:tcBorders>
              <w:top w:val="nil"/>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超高精度相机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1台</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3.3</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配置3</w:t>
            </w:r>
          </w:p>
        </w:tc>
        <w:tc>
          <w:tcPr>
            <w:tcW w:w="4678" w:type="dxa"/>
            <w:tcBorders>
              <w:top w:val="nil"/>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显微系统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1套</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3.4</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配置4</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激光器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1套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3.5</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配置5</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石英样品池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2套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3.6</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配置6</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塑料样品池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2套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3.7</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配置7</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滤光片转轮系统   1套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3.8</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配置8</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全自动可变流量进样系统   1台</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3.9</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配置9</w:t>
            </w:r>
          </w:p>
        </w:tc>
        <w:tc>
          <w:tcPr>
            <w:tcW w:w="4678"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纳米颗粒跟踪分析软件     1套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3.10</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配置10</w:t>
            </w:r>
          </w:p>
        </w:tc>
        <w:tc>
          <w:tcPr>
            <w:tcW w:w="4678" w:type="dxa"/>
            <w:tcBorders>
              <w:top w:val="nil"/>
              <w:left w:val="nil"/>
              <w:bottom w:val="single" w:color="auto" w:sz="4" w:space="0"/>
              <w:right w:val="single" w:color="auto" w:sz="4" w:space="0"/>
            </w:tcBorders>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标准样品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1套</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3.11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配置11</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kern w:val="0"/>
                <w:szCs w:val="21"/>
              </w:rPr>
            </w:pPr>
            <w:r>
              <w:rPr>
                <w:rFonts w:hint="eastAsia" w:asciiTheme="minorEastAsia" w:hAnsiTheme="minorEastAsia"/>
                <w:kern w:val="0"/>
                <w:szCs w:val="21"/>
              </w:rPr>
              <w:t xml:space="preserve">计算机控制系统    </w:t>
            </w:r>
            <w:r>
              <w:rPr>
                <w:rFonts w:asciiTheme="minorEastAsia" w:hAnsiTheme="minorEastAsia"/>
                <w:kern w:val="0"/>
                <w:szCs w:val="21"/>
              </w:rPr>
              <w:t xml:space="preserve">       </w:t>
            </w:r>
            <w:r>
              <w:rPr>
                <w:rFonts w:hint="eastAsia" w:asciiTheme="minorEastAsia" w:hAnsiTheme="minorEastAsia"/>
                <w:kern w:val="0"/>
                <w:szCs w:val="21"/>
              </w:rPr>
              <w:t>1台</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b/>
                <w:bCs/>
                <w:kern w:val="0"/>
                <w:szCs w:val="21"/>
              </w:rPr>
            </w:pPr>
            <w:r>
              <w:rPr>
                <w:rFonts w:asciiTheme="majorEastAsia" w:hAnsiTheme="majorEastAsia" w:eastAsiaTheme="majorEastAsia"/>
                <w:b/>
                <w:bCs/>
                <w:kern w:val="0"/>
                <w:szCs w:val="21"/>
              </w:rPr>
              <w:t>售后服务</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inorEastAsia" w:hAnsiTheme="minorEastAsia"/>
                <w:b/>
                <w:bCs/>
                <w:kern w:val="0"/>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保修年限</w:t>
            </w:r>
          </w:p>
        </w:tc>
        <w:tc>
          <w:tcPr>
            <w:tcW w:w="4678"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≥3年</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4.2</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出现故障回应时间</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维修到达现场时间≤ 6小时（本地）</w:t>
            </w:r>
            <w:r>
              <w:rPr>
                <w:rFonts w:asciiTheme="minorEastAsia" w:hAnsiTheme="minorEastAsia"/>
                <w:kern w:val="0"/>
                <w:szCs w:val="21"/>
              </w:rPr>
              <w:br w:type="textWrapping"/>
            </w:r>
            <w:r>
              <w:rPr>
                <w:rFonts w:asciiTheme="minorEastAsia" w:hAnsiTheme="minorEastAsia"/>
                <w:kern w:val="0"/>
                <w:szCs w:val="21"/>
              </w:rPr>
              <w:t>维修到达现场时间≤24小时（外地）</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4.3</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维修支持</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配件供应时间≥10年</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4.4</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耗材及零配件</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提供耗材及主要零配件目录（含报价）</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维修资料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提供详细操作手册、维修保养手册、安装手册等</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4.6</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维修工具</w:t>
            </w:r>
          </w:p>
        </w:tc>
        <w:tc>
          <w:tcPr>
            <w:tcW w:w="4678"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提供维修专用工具1套</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4.7</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预防性维修</w:t>
            </w:r>
            <w:r>
              <w:rPr>
                <w:rFonts w:asciiTheme="majorEastAsia" w:hAnsiTheme="majorEastAsia" w:eastAsiaTheme="majorEastAsia"/>
                <w:kern w:val="0"/>
                <w:szCs w:val="21"/>
              </w:rPr>
              <w:br w:type="textWrapping"/>
            </w:r>
            <w:r>
              <w:rPr>
                <w:rFonts w:asciiTheme="majorEastAsia" w:hAnsiTheme="majorEastAsia" w:eastAsiaTheme="majorEastAsia"/>
                <w:kern w:val="0"/>
                <w:szCs w:val="21"/>
              </w:rPr>
              <w:t>/定期维护保养</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保修期内提供定期维护保养服务</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4.8</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维修密码支持</w:t>
            </w:r>
          </w:p>
        </w:tc>
        <w:tc>
          <w:tcPr>
            <w:tcW w:w="4678"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开放</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4.9</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升级</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终身免费软件升级</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4.10</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使用培训</w:t>
            </w:r>
          </w:p>
        </w:tc>
        <w:tc>
          <w:tcPr>
            <w:tcW w:w="4678"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106"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4.11</w:t>
            </w:r>
          </w:p>
        </w:tc>
        <w:tc>
          <w:tcPr>
            <w:tcW w:w="2410" w:type="dxa"/>
            <w:tcBorders>
              <w:top w:val="nil"/>
              <w:left w:val="nil"/>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kern w:val="0"/>
                <w:szCs w:val="21"/>
              </w:rPr>
            </w:pPr>
            <w:r>
              <w:rPr>
                <w:rFonts w:asciiTheme="majorEastAsia" w:hAnsiTheme="majorEastAsia" w:eastAsiaTheme="majorEastAsia"/>
                <w:kern w:val="0"/>
                <w:szCs w:val="21"/>
              </w:rPr>
              <w:t>工程师培训</w:t>
            </w:r>
          </w:p>
        </w:tc>
        <w:tc>
          <w:tcPr>
            <w:tcW w:w="4678"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106"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7172689"/>
      <w:bookmarkStart w:id="11" w:name="_Toc390713968"/>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序号</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项目</w:t>
            </w:r>
          </w:p>
        </w:tc>
        <w:tc>
          <w:tcPr>
            <w:tcW w:w="7088"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评审内容及规则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标准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eastAsia="宋体" w:cs="Times New Roman" w:asciiTheme="minorEastAsia" w:hAnsiTheme="minorEastAsia"/>
                <w:b/>
                <w:bCs/>
                <w:kern w:val="0"/>
                <w:szCs w:val="21"/>
              </w:rPr>
            </w:pPr>
            <w:r>
              <w:rPr>
                <w:rFonts w:hint="eastAsia" w:eastAsia="宋体" w:cs="Times New Roman" w:asciiTheme="minorEastAsia" w:hAnsiTheme="minorEastAsia"/>
                <w:b/>
                <w:bCs/>
                <w:kern w:val="0"/>
                <w:szCs w:val="21"/>
              </w:rPr>
              <w:t>商务评审</w:t>
            </w:r>
          </w:p>
        </w:tc>
        <w:tc>
          <w:tcPr>
            <w:tcW w:w="708" w:type="dxa"/>
            <w:vAlign w:val="center"/>
          </w:tcPr>
          <w:p>
            <w:pPr>
              <w:spacing w:line="440" w:lineRule="exact"/>
              <w:jc w:val="center"/>
              <w:rPr>
                <w:rFonts w:eastAsia="宋体" w:cs="Times New Roman" w:asciiTheme="minorEastAsia" w:hAnsiTheme="minorEastAsia"/>
                <w:b/>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价  格</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满足招标文件要求且报价最低的为评审基准价</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价格得分=（评审基准价/报价）×标准分值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业绩</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比较近三年（截止开标时间）所投产品在</w:t>
            </w:r>
            <w:r>
              <w:rPr>
                <w:rFonts w:hint="eastAsia" w:ascii="宋体" w:hAnsi="宋体" w:eastAsia="宋体" w:cs="Times New Roman"/>
                <w:b/>
                <w:bCs/>
                <w:kern w:val="0"/>
                <w:szCs w:val="21"/>
              </w:rPr>
              <w:t>三甲医院或高等科研院所</w:t>
            </w:r>
            <w:r>
              <w:rPr>
                <w:rFonts w:hint="eastAsia" w:cs="Times New Roman" w:asciiTheme="majorEastAsia" w:hAnsiTheme="majorEastAsia" w:eastAsiaTheme="majorEastAsia"/>
                <w:kern w:val="0"/>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业绩得分=（所投产品业绩/基准业绩）×标准分值</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基准业绩=近三年（截止开标时间）所投产品有效合同累计销售最高数量（以有效合同份数计算）</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企业</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规模</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2.根据报价方近三年缴纳社保</w:t>
            </w:r>
            <w:r>
              <w:rPr>
                <w:rFonts w:hint="eastAsia" w:cs="Times New Roman" w:asciiTheme="majorEastAsia" w:hAnsiTheme="majorEastAsia" w:eastAsiaTheme="majorEastAsia"/>
                <w:b/>
                <w:kern w:val="0"/>
                <w:szCs w:val="21"/>
                <w:u w:val="single"/>
              </w:rPr>
              <w:t>总金额</w:t>
            </w:r>
            <w:r>
              <w:rPr>
                <w:rFonts w:hint="eastAsia" w:cs="Times New Roman" w:asciiTheme="majorEastAsia" w:hAnsiTheme="majorEastAsia" w:eastAsiaTheme="majorEastAsia"/>
                <w:kern w:val="0"/>
                <w:szCs w:val="21"/>
              </w:rPr>
              <w:t>由大至小排名，第一名得1分，依次递减0.2分。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四</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信  誉</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1.报价方近两年连续获得税务部门颁发的企业纳税信用</w:t>
            </w:r>
            <w:r>
              <w:rPr>
                <w:rFonts w:hint="eastAsia" w:cs="Times New Roman" w:asciiTheme="majorEastAsia" w:hAnsiTheme="majorEastAsia" w:eastAsiaTheme="majorEastAsia"/>
                <w:b/>
                <w:kern w:val="0"/>
                <w:szCs w:val="21"/>
                <w:u w:val="single"/>
              </w:rPr>
              <w:t>A级</w:t>
            </w:r>
            <w:r>
              <w:rPr>
                <w:rFonts w:hint="eastAsia" w:cs="Times New Roman" w:asciiTheme="majorEastAsia" w:hAnsiTheme="majorEastAsia" w:eastAsiaTheme="majorEastAsia"/>
                <w:kern w:val="0"/>
                <w:szCs w:val="21"/>
              </w:rPr>
              <w:t>评价证书的得0.5分，其他得0分。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2.报价方近一年获得银行颁发的资信（信用）</w:t>
            </w:r>
            <w:r>
              <w:rPr>
                <w:rFonts w:hint="eastAsia" w:cs="Times New Roman" w:asciiTheme="majorEastAsia" w:hAnsiTheme="majorEastAsia" w:eastAsiaTheme="majorEastAsia"/>
                <w:b/>
                <w:kern w:val="0"/>
                <w:szCs w:val="21"/>
                <w:u w:val="single"/>
              </w:rPr>
              <w:t>等级</w:t>
            </w:r>
            <w:r>
              <w:rPr>
                <w:rFonts w:hint="eastAsia" w:cs="Times New Roman" w:asciiTheme="majorEastAsia" w:hAnsiTheme="majorEastAsia" w:eastAsiaTheme="majorEastAsia"/>
                <w:kern w:val="0"/>
                <w:szCs w:val="21"/>
              </w:rPr>
              <w:t>证明，级别最高的得0.5分，其他得0分。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五</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财务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状况</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六</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报价方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性质</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报价方是</w:t>
            </w:r>
            <w:r>
              <w:rPr>
                <w:rFonts w:hint="eastAsia" w:cs="Times New Roman" w:asciiTheme="majorEastAsia" w:hAnsiTheme="majorEastAsia" w:eastAsiaTheme="majorEastAsia"/>
                <w:b/>
                <w:kern w:val="0"/>
                <w:szCs w:val="21"/>
                <w:u w:val="single"/>
              </w:rPr>
              <w:t>生产企业或进口产品全国（大区）总代理</w:t>
            </w:r>
            <w:r>
              <w:rPr>
                <w:rFonts w:hint="eastAsia" w:cs="Times New Roman" w:asciiTheme="majorEastAsia" w:hAnsiTheme="majorEastAsia" w:eastAsiaTheme="majorEastAsia"/>
                <w:kern w:val="0"/>
                <w:szCs w:val="21"/>
              </w:rPr>
              <w:t>的得标准分值，不是的得0分。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Cs w:val="21"/>
              </w:rPr>
            </w:pPr>
            <w:r>
              <w:rPr>
                <w:rFonts w:hint="eastAsia" w:cs="Times New Roman" w:asciiTheme="majorEastAsia" w:hAnsiTheme="majorEastAsia" w:eastAsiaTheme="majorEastAsia"/>
                <w:b/>
                <w:bCs/>
                <w:kern w:val="0"/>
                <w:szCs w:val="21"/>
              </w:rPr>
              <w:t>技术评审</w:t>
            </w:r>
          </w:p>
        </w:tc>
        <w:tc>
          <w:tcPr>
            <w:tcW w:w="708" w:type="dxa"/>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力量</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（7分）</w:t>
            </w: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1.提供所投产品技术专利证书（不包括外观专利）的1项得0.1分，最多得标准分值。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2.所投产品具有CE认证的得标准分，没有得0分。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3.所投产品具有FDA认证的得标准分，没有得0分。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w:t>
            </w:r>
            <w:r>
              <w:rPr>
                <w:rFonts w:cs="Times New Roman" w:asciiTheme="majorEastAsia" w:hAnsiTheme="majorEastAsia" w:eastAsiaTheme="majorEastAsia"/>
                <w:kern w:val="0"/>
                <w:szCs w:val="21"/>
              </w:rPr>
              <w:t xml:space="preserve"> 所投产品技术优势特色：最优得标准分，依次递减</w:t>
            </w:r>
            <w:r>
              <w:rPr>
                <w:rFonts w:hint="eastAsia" w:cs="Times New Roman" w:asciiTheme="majorEastAsia" w:hAnsiTheme="majorEastAsia" w:eastAsiaTheme="majorEastAsia"/>
                <w:kern w:val="0"/>
                <w:szCs w:val="21"/>
              </w:rPr>
              <w:t>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1.可以量化排名的</w:t>
            </w:r>
            <w:r>
              <w:rPr>
                <w:rFonts w:hint="eastAsia" w:ascii="宋体" w:hAnsi="宋体" w:eastAsia="宋体" w:cs="宋体"/>
                <w:kern w:val="0"/>
                <w:szCs w:val="21"/>
              </w:rPr>
              <w:t>★</w:t>
            </w:r>
            <w:r>
              <w:rPr>
                <w:rFonts w:hint="eastAsia" w:cs="Times New Roman" w:asciiTheme="majorEastAsia" w:hAnsiTheme="majorEastAsia" w:eastAsiaTheme="majorEastAsia"/>
                <w:kern w:val="0"/>
                <w:szCs w:val="21"/>
              </w:rPr>
              <w:t>号、</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2.可以量化排名的</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 xml:space="preserve">3. </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★参数1</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粒径检测范围10 – 1000 nm</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cs="Segoe UI Symbol" w:asciiTheme="minorEastAsia" w:hAnsiTheme="minorEastAsia" w:eastAsiaTheme="minorEastAsia"/>
                <w:kern w:val="0"/>
                <w:szCs w:val="21"/>
              </w:rPr>
              <w:t>★</w:t>
            </w:r>
            <w:r>
              <w:rPr>
                <w:rFonts w:asciiTheme="minorEastAsia" w:hAnsiTheme="minorEastAsia" w:eastAsiaTheme="minorEastAsia"/>
                <w:kern w:val="0"/>
                <w:szCs w:val="21"/>
              </w:rPr>
              <w:t>参数2</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浓度检测范围10</w:t>
            </w:r>
            <w:r>
              <w:rPr>
                <w:rFonts w:asciiTheme="minorEastAsia" w:hAnsiTheme="minorEastAsia" w:eastAsiaTheme="minorEastAsia"/>
                <w:kern w:val="0"/>
                <w:szCs w:val="21"/>
                <w:vertAlign w:val="superscript"/>
              </w:rPr>
              <w:t>6</w:t>
            </w:r>
            <w:r>
              <w:rPr>
                <w:rFonts w:asciiTheme="minorEastAsia" w:hAnsiTheme="minorEastAsia" w:eastAsiaTheme="minorEastAsia"/>
                <w:kern w:val="0"/>
                <w:szCs w:val="21"/>
              </w:rPr>
              <w:t xml:space="preserve"> – 10</w:t>
            </w:r>
            <w:r>
              <w:rPr>
                <w:rFonts w:asciiTheme="minorEastAsia" w:hAnsiTheme="minorEastAsia" w:eastAsiaTheme="minorEastAsia"/>
                <w:kern w:val="0"/>
                <w:szCs w:val="21"/>
                <w:vertAlign w:val="superscript"/>
              </w:rPr>
              <w:t>9</w:t>
            </w:r>
            <w:r>
              <w:rPr>
                <w:rFonts w:asciiTheme="minorEastAsia" w:hAnsiTheme="minorEastAsia" w:eastAsiaTheme="minorEastAsia"/>
                <w:kern w:val="0"/>
                <w:szCs w:val="21"/>
              </w:rPr>
              <w:t xml:space="preserve"> 个/ml</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▲参数3</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仪器具备手动和全自动两种样品聚焦功能，聚焦位置可记忆。满足多方面应用需求，提升聚焦效率。</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▲参数4</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可完成流变测试，非牛顿流体样品可完成0剪切条件下的粘度测试，范围≥0.4-5cP(mPa.s)</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▲参数5</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样品浓度在10</w:t>
            </w:r>
            <w:r>
              <w:rPr>
                <w:rFonts w:asciiTheme="minorEastAsia" w:hAnsiTheme="minorEastAsia" w:eastAsiaTheme="minorEastAsia"/>
                <w:kern w:val="0"/>
                <w:szCs w:val="21"/>
                <w:vertAlign w:val="superscript"/>
              </w:rPr>
              <w:t>9</w:t>
            </w:r>
            <w:r>
              <w:rPr>
                <w:rFonts w:asciiTheme="minorEastAsia" w:hAnsiTheme="minorEastAsia" w:eastAsiaTheme="minorEastAsia"/>
                <w:kern w:val="0"/>
                <w:szCs w:val="21"/>
              </w:rPr>
              <w:t xml:space="preserve"> 个/mL条件下，最小样品量：≤280 ul</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▲参数6</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仪器显微系统放大倍数（光学镜头）≥20倍</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eastAsia="宋体" w:cs="Times New Roman" w:asciiTheme="minorEastAsia" w:hAnsiTheme="minorEastAsia"/>
                <w:kern w:val="0"/>
                <w:szCs w:val="21"/>
              </w:rPr>
            </w:pPr>
            <w:r>
              <w:rPr>
                <w:rFonts w:eastAsia="宋体" w:cs="Arial" w:asciiTheme="minorEastAsia" w:hAnsiTheme="minorEastAsia"/>
                <w:kern w:val="0"/>
                <w:szCs w:val="21"/>
              </w:rPr>
              <w:t>▲</w:t>
            </w:r>
            <w:r>
              <w:rPr>
                <w:rFonts w:eastAsia="宋体" w:cs="Times New Roman" w:asciiTheme="minorEastAsia" w:hAnsiTheme="minorEastAsia"/>
                <w:kern w:val="0"/>
                <w:szCs w:val="21"/>
              </w:rPr>
              <w:t>参数7</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集成聚焦极化激光光源：包括自带温控平台的激光器；激光波长 488nm，功率≥40mW。</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eastAsia="宋体" w:cs="Times New Roman" w:asciiTheme="minorEastAsia" w:hAnsiTheme="minorEastAsia"/>
                <w:kern w:val="0"/>
                <w:szCs w:val="21"/>
              </w:rPr>
            </w:pPr>
            <w:r>
              <w:rPr>
                <w:rFonts w:eastAsia="宋体" w:cs="Times New Roman" w:asciiTheme="minorEastAsia" w:hAnsiTheme="minorEastAsia"/>
                <w:kern w:val="0"/>
                <w:szCs w:val="21"/>
              </w:rPr>
              <w:t>参数8</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样品池：采用平板式样品池，能极大限度抑制颗粒的热扩散运动，只呈现出颗粒的布朗运动，提供仪器样品池工作照片证明。</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参数9</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温控范围：低于室温5度 - 50°C；温控准确性：  </w:t>
            </w:r>
            <w:r>
              <w:rPr>
                <w:rFonts w:hint="eastAsia" w:asciiTheme="minorEastAsia" w:hAnsiTheme="minorEastAsia" w:eastAsiaTheme="minorEastAsia"/>
                <w:kern w:val="0"/>
                <w:szCs w:val="21"/>
              </w:rPr>
              <w:t>≦</w:t>
            </w:r>
            <w:r>
              <w:rPr>
                <w:rFonts w:asciiTheme="minorEastAsia" w:hAnsiTheme="minorEastAsia" w:eastAsiaTheme="minorEastAsia"/>
                <w:kern w:val="0"/>
                <w:szCs w:val="21"/>
              </w:rPr>
              <w:t>1°C</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参数10</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光电单元： CMOS等摄像头，每个像素点≤200 nm </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pStyle w:val="47"/>
              <w:widowControl/>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参数11</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可以利用荧光标定特定颗粒，单独对这些颗粒检测，获取单颗粒布朗运动视频信息。 </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eastAsia="宋体" w:cs="Times New Roman" w:asciiTheme="minorEastAsia" w:hAnsiTheme="minorEastAsia"/>
                <w:kern w:val="0"/>
                <w:szCs w:val="21"/>
              </w:rPr>
            </w:pPr>
            <w:r>
              <w:rPr>
                <w:rFonts w:eastAsia="宋体" w:cs="Times New Roman" w:asciiTheme="minorEastAsia" w:hAnsiTheme="minorEastAsia"/>
                <w:kern w:val="0"/>
                <w:szCs w:val="21"/>
              </w:rPr>
              <w:t>参数12</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样品可连续装载，提供样品流动，且流速程序可控。可以通过连续进样提供稳定的液流。</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360" w:lineRule="exact"/>
              <w:rPr>
                <w:rFonts w:eastAsia="宋体" w:cs="Times New Roman" w:asciiTheme="minorEastAsia" w:hAnsiTheme="minorEastAsia"/>
                <w:kern w:val="0"/>
                <w:szCs w:val="21"/>
              </w:rPr>
            </w:pPr>
            <w:r>
              <w:rPr>
                <w:rFonts w:eastAsia="宋体" w:cs="Times New Roman" w:asciiTheme="minorEastAsia" w:hAnsiTheme="minorEastAsia"/>
                <w:kern w:val="0"/>
                <w:szCs w:val="21"/>
              </w:rPr>
              <w:t>参数13</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全自动</w:t>
            </w:r>
            <w:r>
              <w:rPr>
                <w:rFonts w:hint="eastAsia" w:eastAsia="宋体" w:cs="Times New Roman" w:asciiTheme="minorEastAsia" w:hAnsiTheme="minorEastAsia"/>
                <w:kern w:val="0"/>
                <w:szCs w:val="21"/>
              </w:rPr>
              <w:t>≥</w:t>
            </w:r>
            <w:r>
              <w:rPr>
                <w:rFonts w:eastAsia="宋体" w:cs="Times New Roman" w:asciiTheme="minorEastAsia" w:hAnsiTheme="minorEastAsia"/>
                <w:kern w:val="0"/>
                <w:szCs w:val="21"/>
              </w:rPr>
              <w:t>6转轮切换式荧光过滤片系统；可选滤片波长不少于：430nm，500nm，565nm，642nm。</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360" w:lineRule="exact"/>
              <w:rPr>
                <w:rFonts w:eastAsia="宋体" w:cs="Times New Roman" w:asciiTheme="minorEastAsia" w:hAnsiTheme="minorEastAsia"/>
                <w:kern w:val="0"/>
                <w:szCs w:val="21"/>
              </w:rPr>
            </w:pPr>
            <w:r>
              <w:rPr>
                <w:rFonts w:eastAsia="宋体" w:cs="Times New Roman" w:asciiTheme="minorEastAsia" w:hAnsiTheme="minorEastAsia"/>
                <w:kern w:val="0"/>
                <w:szCs w:val="21"/>
              </w:rPr>
              <w:t>参数14</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同时提供聚苯乙烯样品池和耐腐蚀样品池。满足水相和有机相测试。</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eastAsia="宋体" w:cs="Times New Roman" w:asciiTheme="minorEastAsia" w:hAnsiTheme="minorEastAsia"/>
                <w:kern w:val="0"/>
                <w:szCs w:val="21"/>
              </w:rPr>
            </w:pPr>
            <w:r>
              <w:rPr>
                <w:rFonts w:eastAsia="宋体" w:cs="Times New Roman" w:asciiTheme="minorEastAsia" w:hAnsiTheme="minorEastAsia"/>
                <w:kern w:val="0"/>
                <w:szCs w:val="21"/>
              </w:rPr>
              <w:t>参数15</w:t>
            </w:r>
            <w:r>
              <w:rPr>
                <w:rFonts w:hint="eastAsia" w:eastAsia="宋体" w:cs="Times New Roman" w:asciiTheme="minorEastAsia" w:hAnsiTheme="minorEastAsia"/>
                <w:kern w:val="0"/>
                <w:szCs w:val="21"/>
              </w:rPr>
              <w:t xml:space="preserve">  </w:t>
            </w:r>
            <w:r>
              <w:rPr>
                <w:rFonts w:eastAsia="宋体" w:cs="Times New Roman" w:asciiTheme="minorEastAsia" w:hAnsiTheme="minorEastAsia"/>
                <w:kern w:val="0"/>
                <w:szCs w:val="21"/>
              </w:rPr>
              <w:t>软件可提供布朗运动可视视频，提供粒径-数量分布，粒径-数量-光强三维分布曲线</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售后</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服务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（8分）</w:t>
            </w:r>
          </w:p>
        </w:tc>
        <w:tc>
          <w:tcPr>
            <w:tcW w:w="6946" w:type="dxa"/>
            <w:vAlign w:val="center"/>
          </w:tcPr>
          <w:p>
            <w:pPr>
              <w:spacing w:line="36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vAlign w:val="center"/>
          </w:tcPr>
          <w:p>
            <w:pPr>
              <w:spacing w:line="36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零配件支持：提供零配件全国统一报价，更换配件价格不超过统一报价的70%。在满足招标文件要求的基础上，根据</w:t>
            </w:r>
            <w:r>
              <w:rPr>
                <w:rFonts w:hint="eastAsia" w:eastAsia="宋体" w:cs="Times New Roman" w:asciiTheme="minorEastAsia" w:hAnsiTheme="minorEastAsia"/>
                <w:b/>
                <w:kern w:val="0"/>
                <w:szCs w:val="21"/>
                <w:u w:val="single"/>
              </w:rPr>
              <w:t>主要零配件价格</w:t>
            </w:r>
            <w:r>
              <w:rPr>
                <w:rFonts w:hint="eastAsia" w:eastAsia="宋体" w:cs="Times New Roman" w:asciiTheme="minorEastAsia" w:hAnsiTheme="minorEastAsia"/>
                <w:kern w:val="0"/>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vAlign w:val="center"/>
          </w:tcPr>
          <w:p>
            <w:pPr>
              <w:spacing w:line="36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vAlign w:val="center"/>
          </w:tcPr>
          <w:p>
            <w:pPr>
              <w:spacing w:line="36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技术支持和服务网点：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37172690"/>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55"/>
                <w:kern w:val="0"/>
                <w:szCs w:val="21"/>
                <w:fitText w:val="1170" w:id="0"/>
              </w:rPr>
              <w:t>单位名</w:t>
            </w:r>
            <w:r>
              <w:rPr>
                <w:rFonts w:hint="eastAsia" w:ascii="宋体" w:hAnsi="宋体" w:eastAsia="宋体" w:cs="Times New Roman"/>
                <w:bCs/>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
              </w:rPr>
              <w:t>单位名</w:t>
            </w:r>
            <w:r>
              <w:rPr>
                <w:rFonts w:hint="eastAsia" w:ascii="宋体" w:hAnsi="宋体" w:eastAsia="宋体" w:cs="Times New Roman"/>
                <w:bCs/>
                <w:spacing w:val="30"/>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8"/>
              </w:rPr>
              <w:t>联系电</w:t>
            </w:r>
            <w:r>
              <w:rPr>
                <w:rFonts w:hint="eastAsia" w:ascii="宋体" w:hAnsi="宋体" w:eastAsia="宋体" w:cs="Times New Roman"/>
                <w:bCs/>
                <w:spacing w:val="30"/>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9"/>
              </w:rPr>
              <w:t>联系电</w:t>
            </w:r>
            <w:r>
              <w:rPr>
                <w:rFonts w:hint="eastAsia" w:ascii="宋体" w:hAnsi="宋体" w:eastAsia="宋体" w:cs="Times New Roman"/>
                <w:bCs/>
                <w:spacing w:val="30"/>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0"/>
              </w:rPr>
              <w:t>通讯地</w:t>
            </w:r>
            <w:r>
              <w:rPr>
                <w:rFonts w:hint="eastAsia" w:ascii="宋体" w:hAnsi="宋体" w:eastAsia="宋体" w:cs="Times New Roman"/>
                <w:bCs/>
                <w:spacing w:val="30"/>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1"/>
              </w:rPr>
              <w:t>通讯地</w:t>
            </w:r>
            <w:r>
              <w:rPr>
                <w:rFonts w:hint="eastAsia" w:ascii="宋体" w:hAnsi="宋体" w:eastAsia="宋体" w:cs="Times New Roman"/>
                <w:bCs/>
                <w:spacing w:val="30"/>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2"/>
              </w:rPr>
              <w:t>邮政编</w:t>
            </w:r>
            <w:r>
              <w:rPr>
                <w:rFonts w:hint="eastAsia" w:ascii="宋体" w:hAnsi="宋体" w:eastAsia="宋体" w:cs="Times New Roman"/>
                <w:bCs/>
                <w:spacing w:val="30"/>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3"/>
              </w:rPr>
              <w:t>邮政编</w:t>
            </w:r>
            <w:r>
              <w:rPr>
                <w:rFonts w:hint="eastAsia" w:ascii="宋体" w:hAnsi="宋体" w:eastAsia="宋体" w:cs="Times New Roman"/>
                <w:bCs/>
                <w:spacing w:val="30"/>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4"/>
              </w:rPr>
              <w:t>付款单</w:t>
            </w:r>
            <w:r>
              <w:rPr>
                <w:rFonts w:hint="eastAsia" w:ascii="宋体" w:hAnsi="宋体" w:eastAsia="宋体" w:cs="Times New Roman"/>
                <w:bCs/>
                <w:spacing w:val="30"/>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5"/>
              </w:rPr>
              <w:t>开户名</w:t>
            </w:r>
            <w:r>
              <w:rPr>
                <w:rFonts w:hint="eastAsia" w:ascii="宋体" w:hAnsi="宋体" w:eastAsia="宋体" w:cs="Times New Roman"/>
                <w:bCs/>
                <w:spacing w:val="30"/>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6"/>
              </w:rPr>
              <w:t>开户银</w:t>
            </w:r>
            <w:r>
              <w:rPr>
                <w:rFonts w:hint="eastAsia" w:ascii="宋体" w:hAnsi="宋体" w:eastAsia="宋体" w:cs="Times New Roman"/>
                <w:bCs/>
                <w:spacing w:val="30"/>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7"/>
              </w:rPr>
              <w:t>开户银</w:t>
            </w:r>
            <w:r>
              <w:rPr>
                <w:rFonts w:hint="eastAsia" w:ascii="宋体" w:hAnsi="宋体" w:eastAsia="宋体" w:cs="Times New Roman"/>
                <w:bCs/>
                <w:spacing w:val="30"/>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8"/>
              </w:rPr>
              <w:t>银行账</w:t>
            </w:r>
            <w:r>
              <w:rPr>
                <w:rFonts w:hint="eastAsia" w:ascii="宋体" w:hAnsi="宋体" w:eastAsia="宋体" w:cs="Times New Roman"/>
                <w:bCs/>
                <w:spacing w:val="30"/>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9"/>
              </w:rPr>
              <w:t>银行账</w:t>
            </w:r>
            <w:r>
              <w:rPr>
                <w:rFonts w:hint="eastAsia" w:ascii="宋体" w:hAnsi="宋体" w:eastAsia="宋体" w:cs="Times New Roman"/>
                <w:bCs/>
                <w:spacing w:val="30"/>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435540982"/>
      <w:bookmarkStart w:id="20" w:name="_Toc240432233"/>
      <w:bookmarkStart w:id="21" w:name="_Toc37172691"/>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生产厂家全称：（签字或盖章）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moder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9580C"/>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3AAA"/>
    <w:rsid w:val="00154A37"/>
    <w:rsid w:val="00155AB8"/>
    <w:rsid w:val="00156527"/>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CCC"/>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B4085"/>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8390B"/>
    <w:rsid w:val="00592954"/>
    <w:rsid w:val="00593668"/>
    <w:rsid w:val="005A03AA"/>
    <w:rsid w:val="005A4B13"/>
    <w:rsid w:val="005A4B8A"/>
    <w:rsid w:val="005A63B3"/>
    <w:rsid w:val="005B1A5E"/>
    <w:rsid w:val="005B2EA3"/>
    <w:rsid w:val="005B3948"/>
    <w:rsid w:val="005C0D9D"/>
    <w:rsid w:val="005C1F06"/>
    <w:rsid w:val="005C3150"/>
    <w:rsid w:val="005D0B03"/>
    <w:rsid w:val="005E5B5F"/>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1E51"/>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61A"/>
    <w:rsid w:val="00910A73"/>
    <w:rsid w:val="00911F1B"/>
    <w:rsid w:val="009141ED"/>
    <w:rsid w:val="00914CA0"/>
    <w:rsid w:val="00916AC5"/>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563"/>
    <w:rsid w:val="00977E68"/>
    <w:rsid w:val="00977F7E"/>
    <w:rsid w:val="00980D50"/>
    <w:rsid w:val="00981994"/>
    <w:rsid w:val="00985CB0"/>
    <w:rsid w:val="009861BC"/>
    <w:rsid w:val="009876D3"/>
    <w:rsid w:val="00993684"/>
    <w:rsid w:val="00993A4B"/>
    <w:rsid w:val="0099585E"/>
    <w:rsid w:val="00997675"/>
    <w:rsid w:val="009A1A23"/>
    <w:rsid w:val="009A4C72"/>
    <w:rsid w:val="009A68A6"/>
    <w:rsid w:val="009B02ED"/>
    <w:rsid w:val="009B1DC8"/>
    <w:rsid w:val="009B2329"/>
    <w:rsid w:val="009B2BF5"/>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0154"/>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6C07"/>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39F"/>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33EC"/>
    <w:rsid w:val="00CF40F3"/>
    <w:rsid w:val="00CF4B59"/>
    <w:rsid w:val="00CF5B6D"/>
    <w:rsid w:val="00CF644A"/>
    <w:rsid w:val="00CF6D7C"/>
    <w:rsid w:val="00CF7198"/>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DF71F6"/>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062"/>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9D16F3"/>
    <w:rsid w:val="13320EEE"/>
    <w:rsid w:val="150D7490"/>
    <w:rsid w:val="1E0C79BC"/>
    <w:rsid w:val="381254EF"/>
    <w:rsid w:val="577D7005"/>
    <w:rsid w:val="7FFD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7FA9A-36B6-4ADB-A190-64BEDC720CE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5023</Words>
  <Characters>28632</Characters>
  <Lines>238</Lines>
  <Paragraphs>67</Paragraphs>
  <TotalTime>2</TotalTime>
  <ScaleCrop>false</ScaleCrop>
  <LinksUpToDate>false</LinksUpToDate>
  <CharactersWithSpaces>33588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2020-09-10T07:42:00Z</cp:lastPrinted>
  <dcterms:modified xsi:type="dcterms:W3CDTF">2020-10-20T07:22:34Z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