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SZ学科建设设备（1）（第二次）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2020-XNYY-YQ-146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关于SZ学科建设设备（1）的采购</w:t>
      </w:r>
      <w:r>
        <w:rPr>
          <w:rFonts w:ascii="Tahoma" w:hAnsi="Tahoma" w:cs="Tahoma"/>
          <w:b/>
          <w:bCs/>
          <w:kern w:val="0"/>
          <w:sz w:val="28"/>
          <w:szCs w:val="28"/>
        </w:rPr>
        <w:t>公告</w:t>
      </w:r>
      <w:r>
        <w:rPr>
          <w:rFonts w:hint="eastAsia" w:ascii="Tahoma" w:hAnsi="Tahoma" w:cs="Tahoma"/>
          <w:kern w:val="0"/>
          <w:sz w:val="28"/>
          <w:szCs w:val="28"/>
        </w:rPr>
        <w:t>2020-XNYY-YQ-146</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太赫磁辐射源</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红外热像仪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太赫磁辐射源</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红外热像仪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435540980"/>
      <w:bookmarkStart w:id="11" w:name="_Toc390713968"/>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37780286"/>
      <w:bookmarkStart w:id="17" w:name="_Toc285612603"/>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240432233"/>
      <w:bookmarkStart w:id="22" w:name="_Toc37780287"/>
      <w:bookmarkStart w:id="23" w:name="_Toc285612604"/>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before="156" w:beforeLines="50" w:line="240" w:lineRule="atLeast"/>
        <w:jc w:val="center"/>
        <w:rPr>
          <w:rFonts w:ascii="宋体" w:hAnsi="宋体" w:cs="宋体"/>
          <w:bCs/>
          <w:kern w:val="0"/>
          <w:sz w:val="44"/>
          <w:szCs w:val="44"/>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太赫磁辐射源</w:t>
      </w:r>
    </w:p>
    <w:tbl>
      <w:tblPr>
        <w:tblStyle w:val="17"/>
        <w:tblW w:w="9305" w:type="dxa"/>
        <w:tblInd w:w="-294" w:type="dxa"/>
        <w:tblLayout w:type="fixed"/>
        <w:tblCellMar>
          <w:top w:w="0" w:type="dxa"/>
          <w:left w:w="108" w:type="dxa"/>
          <w:bottom w:w="0" w:type="dxa"/>
          <w:right w:w="108" w:type="dxa"/>
        </w:tblCellMar>
      </w:tblPr>
      <w:tblGrid>
        <w:gridCol w:w="1111"/>
        <w:gridCol w:w="2595"/>
        <w:gridCol w:w="4356"/>
        <w:gridCol w:w="1243"/>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595"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35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1243"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CellMar>
            <w:top w:w="0" w:type="dxa"/>
            <w:left w:w="108" w:type="dxa"/>
            <w:bottom w:w="0" w:type="dxa"/>
            <w:right w:w="108" w:type="dxa"/>
          </w:tblCellMar>
        </w:tblPrEx>
        <w:trPr>
          <w:trHeight w:val="373"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35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51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356" w:type="dxa"/>
            <w:tcBorders>
              <w:top w:val="nil"/>
              <w:left w:val="nil"/>
              <w:bottom w:val="single" w:color="auto" w:sz="4" w:space="0"/>
              <w:right w:val="single" w:color="auto" w:sz="4" w:space="0"/>
            </w:tcBorders>
          </w:tcPr>
          <w:p>
            <w:pPr>
              <w:adjustRightInd w:val="0"/>
              <w:snapToGrid w:val="0"/>
              <w:spacing w:before="156" w:beforeLines="50" w:line="240" w:lineRule="atLeast"/>
              <w:rPr>
                <w:rFonts w:cs="宋体" w:asciiTheme="majorEastAsia" w:hAnsiTheme="majorEastAsia" w:eastAsiaTheme="majorEastAsia"/>
                <w:kern w:val="0"/>
              </w:rPr>
            </w:pPr>
            <w:r>
              <w:rPr>
                <w:rFonts w:cs="宋体" w:asciiTheme="majorEastAsia" w:hAnsiTheme="majorEastAsia" w:eastAsiaTheme="majorEastAsia"/>
                <w:kern w:val="0"/>
              </w:rPr>
              <w:t>用于</w:t>
            </w:r>
            <w:r>
              <w:rPr>
                <w:rFonts w:hint="eastAsia" w:cs="宋体" w:asciiTheme="majorEastAsia" w:hAnsiTheme="majorEastAsia" w:eastAsiaTheme="majorEastAsia"/>
                <w:kern w:val="0"/>
              </w:rPr>
              <w:t>产生高功率太赫兹信号，辐照生物样品观察其生物效应</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实验对象</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细胞、细菌等生物样本</w:t>
            </w: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07"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2595"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特殊功能需求</w:t>
            </w:r>
          </w:p>
        </w:tc>
        <w:tc>
          <w:tcPr>
            <w:tcW w:w="4356"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Times New Roman" w:asciiTheme="majorEastAsia" w:hAnsiTheme="majorEastAsia" w:eastAsiaTheme="majorEastAsia"/>
              </w:rPr>
            </w:pPr>
          </w:p>
        </w:tc>
        <w:tc>
          <w:tcPr>
            <w:tcW w:w="1243"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356" w:type="dxa"/>
            <w:tcBorders>
              <w:top w:val="nil"/>
              <w:left w:val="nil"/>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b/>
                <w:bCs/>
              </w:rPr>
            </w:pPr>
          </w:p>
        </w:tc>
      </w:tr>
      <w:tr>
        <w:tblPrEx>
          <w:tblCellMar>
            <w:top w:w="0" w:type="dxa"/>
            <w:left w:w="108" w:type="dxa"/>
            <w:bottom w:w="0" w:type="dxa"/>
            <w:right w:w="108" w:type="dxa"/>
          </w:tblCellMar>
        </w:tblPrEx>
        <w:trPr>
          <w:trHeight w:val="44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356" w:type="dxa"/>
            <w:tcBorders>
              <w:top w:val="nil"/>
              <w:left w:val="nil"/>
              <w:bottom w:val="single" w:color="auto" w:sz="4" w:space="0"/>
              <w:right w:val="single" w:color="auto" w:sz="4" w:space="0"/>
            </w:tcBorders>
            <w:vAlign w:val="center"/>
          </w:tcPr>
          <w:p>
            <w:pPr>
              <w:jc w:val="left"/>
              <w:rPr>
                <w:rFonts w:cs="Times New Roman" w:asciiTheme="majorEastAsia" w:hAnsiTheme="majorEastAsia" w:eastAsiaTheme="majorEastAsia"/>
              </w:rPr>
            </w:pPr>
            <w:r>
              <w:rPr>
                <w:rFonts w:hint="eastAsia"/>
              </w:rPr>
              <w:t>输出频率：1</w:t>
            </w:r>
            <w:r>
              <w:t xml:space="preserve">40 </w:t>
            </w:r>
            <w:r>
              <w:rPr>
                <w:rFonts w:hint="eastAsia"/>
              </w:rPr>
              <w:t>GHz±</w:t>
            </w:r>
            <w:r>
              <w:t>5</w:t>
            </w:r>
            <w:r>
              <w:rPr>
                <w:rFonts w:hint="eastAsia"/>
              </w:rPr>
              <w:t>GHz</w:t>
            </w:r>
          </w:p>
        </w:tc>
        <w:tc>
          <w:tcPr>
            <w:tcW w:w="1243" w:type="dxa"/>
            <w:tcBorders>
              <w:top w:val="nil"/>
              <w:left w:val="nil"/>
              <w:bottom w:val="single" w:color="auto" w:sz="4" w:space="0"/>
              <w:right w:val="single" w:color="auto" w:sz="8" w:space="0"/>
            </w:tcBorders>
            <w:vAlign w:val="center"/>
          </w:tcPr>
          <w:p>
            <w:pPr>
              <w:rPr>
                <w:rFonts w:cs="宋体" w:asciiTheme="majorEastAsia" w:hAnsiTheme="majorEastAsia" w:eastAsiaTheme="majorEastAsia"/>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356" w:type="dxa"/>
            <w:tcBorders>
              <w:top w:val="single" w:color="auto" w:sz="4" w:space="0"/>
              <w:left w:val="nil"/>
              <w:bottom w:val="single" w:color="auto" w:sz="4" w:space="0"/>
              <w:right w:val="single" w:color="auto" w:sz="4" w:space="0"/>
            </w:tcBorders>
            <w:vAlign w:val="center"/>
          </w:tcPr>
          <w:p>
            <w:pPr>
              <w:jc w:val="left"/>
              <w:rPr>
                <w:rFonts w:asciiTheme="majorEastAsia" w:hAnsiTheme="majorEastAsia" w:eastAsiaTheme="majorEastAsia"/>
              </w:rPr>
            </w:pPr>
            <w:r>
              <w:rPr>
                <w:rFonts w:hint="eastAsia"/>
              </w:rPr>
              <w:t>输出功率：≥180 mW</w:t>
            </w:r>
          </w:p>
        </w:tc>
        <w:tc>
          <w:tcPr>
            <w:tcW w:w="1243" w:type="dxa"/>
            <w:tcBorders>
              <w:top w:val="single" w:color="auto" w:sz="4" w:space="0"/>
              <w:left w:val="nil"/>
              <w:bottom w:val="single" w:color="auto" w:sz="4" w:space="0"/>
              <w:right w:val="single" w:color="auto" w:sz="8" w:space="0"/>
            </w:tcBorders>
            <w:vAlign w:val="center"/>
          </w:tcPr>
          <w:p>
            <w:pPr>
              <w:rPr>
                <w:rFonts w:hint="eastAsia" w:cs="宋体" w:asciiTheme="majorEastAsia" w:hAnsiTheme="majorEastAsia" w:eastAsiaTheme="majorEastAsia"/>
                <w:lang w:val="en-US" w:eastAsia="zh-CN"/>
              </w:rPr>
            </w:pPr>
            <w:r>
              <w:rPr>
                <w:rFonts w:hint="eastAsia" w:eastAsiaTheme="majorEastAsia"/>
                <w:lang w:val="en-US" w:eastAsia="zh-CN"/>
              </w:rPr>
              <w:t xml:space="preserve"> </w:t>
            </w: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3</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调制频率：1 Hz-10 kHz</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4</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zh-CN"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4</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 xml:space="preserve"> IMAPTT 雪崩二极管技术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5</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5</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喇叭天线：增益2</w:t>
            </w:r>
            <w:r>
              <w:rPr>
                <w:rFonts w:cs="Times New Roman" w:asciiTheme="majorEastAsia" w:hAnsiTheme="majorEastAsia" w:eastAsiaTheme="majorEastAsia"/>
                <w:kern w:val="0"/>
              </w:rPr>
              <w:t xml:space="preserve">5 </w:t>
            </w:r>
            <w:r>
              <w:rPr>
                <w:rFonts w:hint="eastAsia" w:cs="Times New Roman" w:asciiTheme="majorEastAsia" w:hAnsiTheme="majorEastAsia" w:eastAsiaTheme="majorEastAsia"/>
                <w:kern w:val="0"/>
              </w:rPr>
              <w:t>dB</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6</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配带保护隔离器提高稳定性</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7</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lang w:val="zh-CN"/>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7</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TTL 调制，1us 上升/下降沿时间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lang w:val="en-US" w:eastAsia="zh-CN"/>
              </w:rPr>
            </w:pPr>
          </w:p>
        </w:tc>
      </w:tr>
      <w:tr>
        <w:tblPrEx>
          <w:tblCellMar>
            <w:top w:w="0" w:type="dxa"/>
            <w:left w:w="108" w:type="dxa"/>
            <w:bottom w:w="0" w:type="dxa"/>
            <w:right w:w="108" w:type="dxa"/>
          </w:tblCellMar>
        </w:tblPrEx>
        <w:trPr>
          <w:trHeight w:val="487"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8</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喇叭天线长度：≥2</w:t>
            </w:r>
            <w:r>
              <w:rPr>
                <w:rFonts w:cs="Times New Roman" w:asciiTheme="majorEastAsia" w:hAnsiTheme="majorEastAsia" w:eastAsiaTheme="majorEastAsia"/>
                <w:kern w:val="0"/>
              </w:rPr>
              <w:t xml:space="preserve">9 </w:t>
            </w:r>
            <w:r>
              <w:rPr>
                <w:rFonts w:hint="eastAsia" w:cs="Times New Roman" w:asciiTheme="majorEastAsia" w:hAnsiTheme="majorEastAsia" w:eastAsiaTheme="majorEastAsia"/>
                <w:kern w:val="0"/>
              </w:rPr>
              <w:t>mm</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1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9</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hint="eastAsia"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9</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重量</w:t>
            </w:r>
            <w:r>
              <w:rPr>
                <w:rFonts w:hint="eastAsia" w:cs="Times New Roman" w:asciiTheme="majorEastAsia" w:hAnsiTheme="majorEastAsia" w:eastAsiaTheme="majorEastAsia"/>
                <w:kern w:val="0"/>
                <w:lang w:eastAsia="zh-CN"/>
              </w:rPr>
              <w:t>≤</w:t>
            </w:r>
            <w:r>
              <w:rPr>
                <w:rFonts w:hint="eastAsia" w:cs="Times New Roman" w:asciiTheme="majorEastAsia" w:hAnsiTheme="majorEastAsia" w:eastAsiaTheme="majorEastAsia"/>
                <w:kern w:val="0"/>
              </w:rPr>
              <w:t>3.5 kg</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10</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调制电压：+5V，方波调制</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w:t>
            </w:r>
          </w:p>
        </w:tc>
      </w:tr>
      <w:tr>
        <w:tblPrEx>
          <w:tblCellMar>
            <w:top w:w="0" w:type="dxa"/>
            <w:left w:w="108" w:type="dxa"/>
            <w:bottom w:w="0" w:type="dxa"/>
            <w:right w:w="108" w:type="dxa"/>
          </w:tblCellMar>
        </w:tblPrEx>
        <w:trPr>
          <w:trHeight w:val="431"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lang w:val="en-US" w:eastAsia="zh-CN"/>
              </w:rPr>
              <w:t>11</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cs="Times New Roman" w:asciiTheme="majorEastAsia" w:hAnsiTheme="majorEastAsia" w:eastAsiaTheme="majorEastAsia"/>
                <w:kern w:val="0"/>
                <w:lang w:val="en-US" w:eastAsia="zh-CN"/>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lang w:val="en-US" w:eastAsia="zh-CN"/>
              </w:rPr>
              <w:t>11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调制连接头：BNC</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高功率太赫兹辐射系统</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468"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highlight w:val="yellow"/>
              </w:rPr>
            </w:pPr>
            <w:r>
              <w:rPr>
                <w:rFonts w:hint="eastAsia" w:cs="Times New Roman" w:asciiTheme="majorEastAsia" w:hAnsiTheme="majorEastAsia" w:eastAsiaTheme="majorEastAsia"/>
                <w:kern w:val="0"/>
              </w:rPr>
              <w:t>太赫兹聚焦光路</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cs="Times New Roman" w:asciiTheme="majorEastAsia" w:hAnsiTheme="majorEastAsia" w:eastAsiaTheme="majorEastAsia"/>
                <w:b/>
                <w:bCs/>
                <w:kern w:val="0"/>
              </w:rPr>
            </w:pP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rPr>
              <w:t>≥</w:t>
            </w:r>
            <w:r>
              <w:rPr>
                <w:rFonts w:hint="eastAsia"/>
                <w:lang w:val="en-US" w:eastAsia="zh-CN"/>
              </w:rPr>
              <w:t>3</w:t>
            </w:r>
            <w:r>
              <w:rPr>
                <w:rFonts w:cs="Times New Roman" w:asciiTheme="majorEastAsia" w:hAnsiTheme="majorEastAsia" w:eastAsiaTheme="majorEastAsia"/>
                <w:kern w:val="0"/>
              </w:rPr>
              <w:t>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6小时（本地）</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维修到达现场时间≤24小时（外地）</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356" w:type="dxa"/>
            <w:tcBorders>
              <w:top w:val="single" w:color="auto" w:sz="4" w:space="0"/>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595"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356" w:type="dxa"/>
            <w:tcBorders>
              <w:top w:val="nil"/>
              <w:left w:val="nil"/>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cs="Times New Roman" w:asciiTheme="majorEastAsia" w:hAnsiTheme="majorEastAsia" w:eastAsiaTheme="majorEastAsia"/>
                <w:kern w:val="0"/>
              </w:rPr>
              <w:t>支持</w:t>
            </w:r>
          </w:p>
        </w:tc>
        <w:tc>
          <w:tcPr>
            <w:tcW w:w="1243"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rPr>
            </w:pPr>
          </w:p>
        </w:tc>
      </w:tr>
    </w:tbl>
    <w:p>
      <w:pPr>
        <w:rPr>
          <w:rFonts w:hint="eastAsia" w:ascii="宋体" w:hAnsi="宋体" w:cs="宋体"/>
          <w:bCs/>
          <w:kern w:val="0"/>
          <w:sz w:val="44"/>
          <w:szCs w:val="44"/>
        </w:rPr>
      </w:pPr>
      <w:r>
        <w:rPr>
          <w:rFonts w:hint="eastAsia" w:ascii="宋体" w:hAnsi="宋体" w:cs="宋体"/>
          <w:bCs/>
          <w:kern w:val="0"/>
          <w:sz w:val="44"/>
          <w:szCs w:val="44"/>
        </w:rPr>
        <w:br w:type="page"/>
      </w:r>
    </w:p>
    <w:p>
      <w:pPr>
        <w:spacing w:line="520" w:lineRule="exact"/>
        <w:jc w:val="center"/>
        <w:rPr>
          <w:rFonts w:ascii="宋体" w:hAnsi="宋体" w:cs="宋体"/>
          <w:bCs/>
          <w:kern w:val="0"/>
          <w:sz w:val="44"/>
          <w:szCs w:val="44"/>
        </w:rPr>
      </w:pPr>
      <w:r>
        <w:rPr>
          <w:rFonts w:hint="eastAsia" w:ascii="宋体" w:hAnsi="宋体" w:cs="宋体"/>
          <w:bCs/>
          <w:kern w:val="0"/>
          <w:sz w:val="44"/>
          <w:szCs w:val="44"/>
        </w:rPr>
        <w:t>红外热象仪</w:t>
      </w:r>
      <w:bookmarkStart w:id="26" w:name="_GoBack"/>
      <w:bookmarkEnd w:id="26"/>
    </w:p>
    <w:tbl>
      <w:tblPr>
        <w:tblStyle w:val="17"/>
        <w:tblW w:w="9781" w:type="dxa"/>
        <w:jc w:val="center"/>
        <w:tblLayout w:type="fixed"/>
        <w:tblCellMar>
          <w:top w:w="0" w:type="dxa"/>
          <w:left w:w="0" w:type="dxa"/>
          <w:bottom w:w="0" w:type="dxa"/>
          <w:right w:w="0" w:type="dxa"/>
        </w:tblCellMar>
      </w:tblPr>
      <w:tblGrid>
        <w:gridCol w:w="1168"/>
        <w:gridCol w:w="2268"/>
        <w:gridCol w:w="4944"/>
        <w:gridCol w:w="1401"/>
      </w:tblGrid>
      <w:tr>
        <w:tblPrEx>
          <w:tblCellMar>
            <w:top w:w="0" w:type="dxa"/>
            <w:left w:w="0" w:type="dxa"/>
            <w:bottom w:w="0" w:type="dxa"/>
            <w:right w:w="0" w:type="dxa"/>
          </w:tblCellMar>
        </w:tblPrEx>
        <w:trPr>
          <w:trHeight w:val="57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技术和性能参数名称</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技术参数和性能要求</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设备使用需求</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设备用途</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热像仪是一种非接触的测温仪器，通过对物体表面的热（温度）分布成像与分析，能够快速发现物体的热缺陷。在材料散热、隔热等特性，材料结构与强度测试，材料形成过程的温度监测，材料在加工中的温度均匀性和燃烧形态等研究中，热像仪有着广泛的应用。</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实验对象</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kern w:val="0"/>
                <w:szCs w:val="21"/>
              </w:rPr>
            </w:pPr>
            <w:r>
              <w:rPr>
                <w:rFonts w:ascii="宋体" w:hAnsi="宋体" w:cs="宋体"/>
                <w:color w:val="000000"/>
                <w:kern w:val="0"/>
                <w:szCs w:val="21"/>
              </w:rPr>
              <w:t>光热治疗中纳米材料的温度研究</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主要技术参数</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144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★参数1</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热像</w:t>
            </w:r>
            <w:r>
              <w:rPr>
                <w:rFonts w:hint="eastAsia" w:ascii="宋体" w:hAnsi="宋体"/>
                <w:szCs w:val="21"/>
              </w:rPr>
              <w:t>探测</w:t>
            </w:r>
            <w:r>
              <w:rPr>
                <w:rFonts w:hint="eastAsia" w:ascii="宋体" w:hAnsi="宋体"/>
                <w:bCs/>
                <w:szCs w:val="21"/>
              </w:rPr>
              <w:t>器物理像素：不低于640×480像素</w:t>
            </w:r>
            <w:r>
              <w:rPr>
                <w:rFonts w:hint="eastAsia" w:ascii="宋体" w:hAnsi="宋体"/>
                <w:bCs/>
                <w:szCs w:val="21"/>
              </w:rPr>
              <w:br w:type="textWrapping"/>
            </w:r>
            <w:r>
              <w:rPr>
                <w:rFonts w:hint="eastAsia" w:ascii="宋体" w:hAnsi="宋体"/>
                <w:bCs/>
                <w:szCs w:val="21"/>
              </w:rPr>
              <w:t xml:space="preserve">温度灵敏度（NETD）： </w:t>
            </w:r>
            <w:r>
              <w:rPr>
                <w:rFonts w:hint="eastAsia"/>
                <w:szCs w:val="21"/>
              </w:rPr>
              <w:t>≤</w:t>
            </w:r>
            <w:r>
              <w:rPr>
                <w:rFonts w:hint="eastAsia" w:ascii="宋体" w:hAnsi="宋体"/>
                <w:bCs/>
                <w:szCs w:val="21"/>
              </w:rPr>
              <w:t>25mk@30℃</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91"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★参数2</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bCs/>
                <w:color w:val="000000"/>
                <w:szCs w:val="21"/>
              </w:rPr>
            </w:pPr>
            <w:r>
              <w:rPr>
                <w:rFonts w:hint="eastAsia" w:ascii="宋体" w:hAnsi="宋体"/>
                <w:bCs/>
                <w:color w:val="000000"/>
                <w:szCs w:val="21"/>
              </w:rPr>
              <w:t>需配备镜头：</w:t>
            </w:r>
            <w:r>
              <w:rPr>
                <w:rFonts w:hint="eastAsia" w:ascii="宋体" w:hAnsi="宋体"/>
                <w:bCs/>
                <w:szCs w:val="21"/>
              </w:rPr>
              <w:t>支持本机1~35倍数码变焦</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957"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★参数3</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color w:val="000000"/>
                <w:szCs w:val="21"/>
              </w:rPr>
              <w:t>测温范围：-40℃—+700℃（支持0～</w:t>
            </w:r>
            <w:r>
              <w:rPr>
                <w:rFonts w:ascii="宋体" w:hAnsi="宋体"/>
                <w:bCs/>
                <w:color w:val="000000"/>
                <w:szCs w:val="21"/>
              </w:rPr>
              <w:t>700</w:t>
            </w:r>
            <w:r>
              <w:rPr>
                <w:rFonts w:hint="eastAsia" w:ascii="宋体" w:hAnsi="宋体"/>
                <w:bCs/>
                <w:szCs w:val="21"/>
              </w:rPr>
              <w:t>℃连续不间断测温）</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54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参数4</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szCs w:val="21"/>
              </w:rPr>
              <w:t>对焦：连续，自动（单词拍摄）或手动对焦</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9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参数5</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bCs/>
                <w:szCs w:val="21"/>
              </w:rPr>
              <w:t>分区域发射率：可为点、线、区域单独设置发射率，实现不同材料的精准测温</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9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参数6</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bCs/>
                <w:szCs w:val="21"/>
              </w:rPr>
              <w:t>单个电池工作时间：≥5小时</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826"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2.7</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参数7</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bCs/>
                <w:szCs w:val="21"/>
              </w:rPr>
            </w:pPr>
            <w:r>
              <w:rPr>
                <w:rFonts w:hint="eastAsia" w:ascii="宋体" w:hAnsi="宋体"/>
                <w:bCs/>
                <w:szCs w:val="21"/>
              </w:rPr>
              <w:t>自定义的多窗口分析模式，最多可支持10个窗口同步测试分析</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9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参数8</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720"/>
              </w:tabs>
              <w:ind w:firstLine="237" w:firstLineChars="118"/>
              <w:jc w:val="left"/>
              <w:rPr>
                <w:rFonts w:ascii="宋体" w:hAnsi="宋体"/>
                <w:bCs/>
              </w:rPr>
            </w:pPr>
            <w:r>
              <w:rPr>
                <w:rFonts w:hint="eastAsia" w:ascii="宋体" w:hAnsi="宋体"/>
                <w:bCs/>
                <w:szCs w:val="21"/>
              </w:rPr>
              <w:t>支持录制全辐射红外热像视频流，可以自定义录制采样帧频，可以自定义自动录制的触发条件（高温触发、低温触发、</w:t>
            </w:r>
            <w:r>
              <w:rPr>
                <w:rFonts w:hint="eastAsia" w:ascii="宋体" w:hAnsi="宋体"/>
                <w:bCs/>
              </w:rPr>
              <w:t>持续时间触发、外部触发等）；</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配置需求</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配置1</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热像仪主机（含镜头）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6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配置2</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可充电锂电池（3块）</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配置3</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电池充电器</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配置4</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镜头盖</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配置5</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USB线缆、HDMI连接线高速、SD卡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配置6</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ascii="宋体" w:hAnsi="宋体" w:cs="宋体"/>
                <w:szCs w:val="21"/>
              </w:rPr>
            </w:pPr>
            <w:r>
              <w:rPr>
                <w:rFonts w:hint="eastAsia" w:ascii="宋体" w:hAnsi="宋体" w:cs="宋体"/>
                <w:szCs w:val="21"/>
              </w:rPr>
              <w:t>手腕带、颈带、读卡器、U盘、硬质便携箱。</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售后服务</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保修年限</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≥3年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出现故障回应时间</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维修到达现场时间≤ 6小时（本地）</w:t>
            </w:r>
            <w:r>
              <w:rPr>
                <w:rFonts w:hint="eastAsia" w:ascii="宋体" w:hAnsi="宋体" w:cs="宋体"/>
                <w:kern w:val="0"/>
                <w:szCs w:val="21"/>
              </w:rPr>
              <w:br w:type="textWrapping"/>
            </w:r>
            <w:r>
              <w:rPr>
                <w:rFonts w:hint="eastAsia" w:ascii="宋体" w:hAnsi="宋体" w:cs="宋体"/>
                <w:kern w:val="0"/>
                <w:szCs w:val="21"/>
              </w:rPr>
              <w:t>维修到达现场时间≤24小时（外地）</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维修支持</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配件供应时间≥10年</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耗材及零配件</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提供耗材及主要零配件目录（含报价）</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维修资料</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提供详细操作手册、维修保养手册、安装手册等</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4.6</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预防性维修</w:t>
            </w:r>
            <w:r>
              <w:rPr>
                <w:rFonts w:hint="eastAsia" w:ascii="宋体" w:hAnsi="宋体" w:cs="宋体"/>
                <w:color w:val="000000"/>
                <w:kern w:val="0"/>
                <w:szCs w:val="21"/>
              </w:rPr>
              <w:br w:type="textWrapping"/>
            </w:r>
            <w:r>
              <w:rPr>
                <w:rFonts w:hint="eastAsia" w:ascii="宋体" w:hAnsi="宋体" w:cs="宋体"/>
                <w:color w:val="000000"/>
                <w:kern w:val="0"/>
                <w:szCs w:val="21"/>
              </w:rPr>
              <w:t>/定期维护保养</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保修期内提供定期维护保养服务</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4.7</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维修密码支持</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rPr>
              <w:t>开放</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4.8</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升级</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终身免费软件升级</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4.9</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使用培训</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支持</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r>
        <w:tblPrEx>
          <w:tblCellMar>
            <w:top w:w="0" w:type="dxa"/>
            <w:left w:w="0" w:type="dxa"/>
            <w:bottom w:w="0" w:type="dxa"/>
            <w:right w:w="0" w:type="dxa"/>
          </w:tblCellMar>
        </w:tblPrEx>
        <w:trPr>
          <w:trHeight w:val="600" w:hRule="atLeast"/>
          <w:jc w:val="center"/>
        </w:trPr>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4.10</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工程师培训</w:t>
            </w:r>
          </w:p>
        </w:tc>
        <w:tc>
          <w:tcPr>
            <w:tcW w:w="4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支持</w:t>
            </w: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color w:val="000000"/>
                <w:szCs w:val="21"/>
              </w:rPr>
            </w:pP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100437CE"/>
    <w:rsid w:val="25BA7CD0"/>
    <w:rsid w:val="2B933507"/>
    <w:rsid w:val="2FD07A0F"/>
    <w:rsid w:val="303C5C91"/>
    <w:rsid w:val="3BED7056"/>
    <w:rsid w:val="44016BA3"/>
    <w:rsid w:val="50C23962"/>
    <w:rsid w:val="55DE24EB"/>
    <w:rsid w:val="656F7344"/>
    <w:rsid w:val="6F770516"/>
    <w:rsid w:val="6FAC3495"/>
    <w:rsid w:val="7B29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2021-02-01T07:55:24Z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