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普通心电监护仪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2020-JL13(03)-W10085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bookmarkStart w:id="25" w:name="_GoBack"/>
      <w:r>
        <w:rPr>
          <w:rFonts w:hint="eastAsia" w:ascii="Tahoma" w:hAnsi="Tahoma" w:cs="Tahoma"/>
          <w:b/>
          <w:bCs/>
          <w:kern w:val="0"/>
          <w:sz w:val="28"/>
          <w:szCs w:val="28"/>
        </w:rPr>
        <w:t>关于普通心电监护仪的采购</w:t>
      </w:r>
      <w:r>
        <w:rPr>
          <w:rFonts w:ascii="Tahoma" w:hAnsi="Tahoma" w:cs="Tahoma"/>
          <w:b/>
          <w:bCs/>
          <w:kern w:val="0"/>
          <w:sz w:val="28"/>
          <w:szCs w:val="28"/>
        </w:rPr>
        <w:t>公告</w:t>
      </w:r>
      <w:r>
        <w:rPr>
          <w:rFonts w:hint="eastAsia" w:ascii="Tahoma" w:hAnsi="Tahoma" w:cs="Tahoma"/>
          <w:kern w:val="0"/>
          <w:sz w:val="28"/>
          <w:szCs w:val="28"/>
        </w:rPr>
        <w:t>2020-JL13(03)-W10085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普通心电监护仪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2020-JL13(03)-W10085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普通心电</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bookmarkEnd w:id="25"/>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90713967"/>
      <w:bookmarkStart w:id="6" w:name="_Toc435540979"/>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sz w:val="21"/>
                <w:szCs w:val="21"/>
              </w:rPr>
              <w:t>普通心电监护仪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665"/>
        <w:gridCol w:w="37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76"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序号</w:t>
            </w:r>
          </w:p>
        </w:tc>
        <w:tc>
          <w:tcPr>
            <w:tcW w:w="2665"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技术和性能参数名称</w:t>
            </w:r>
          </w:p>
        </w:tc>
        <w:tc>
          <w:tcPr>
            <w:tcW w:w="3720"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技术参数和性能要求</w:t>
            </w:r>
          </w:p>
        </w:tc>
        <w:tc>
          <w:tcPr>
            <w:tcW w:w="1410" w:type="dxa"/>
            <w:noWrap w:val="0"/>
            <w:vAlign w:val="center"/>
          </w:tcPr>
          <w:p>
            <w:pPr>
              <w:widowControl/>
              <w:spacing w:line="240" w:lineRule="auto"/>
              <w:jc w:val="center"/>
              <w:rPr>
                <w:rFonts w:ascii="幼圆" w:hAnsi="宋体" w:eastAsia="幼圆" w:cs="宋体"/>
                <w:b/>
                <w:bCs/>
                <w:kern w:val="0"/>
              </w:rPr>
            </w:pPr>
            <w:r>
              <w:rPr>
                <w:rFonts w:hint="eastAsia" w:ascii="幼圆" w:hAnsi="宋体"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76"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1</w:t>
            </w:r>
          </w:p>
        </w:tc>
        <w:tc>
          <w:tcPr>
            <w:tcW w:w="2665"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设备使用需求</w:t>
            </w:r>
          </w:p>
        </w:tc>
        <w:tc>
          <w:tcPr>
            <w:tcW w:w="3720" w:type="dxa"/>
            <w:noWrap w:val="0"/>
            <w:vAlign w:val="center"/>
          </w:tcPr>
          <w:p>
            <w:pPr>
              <w:widowControl/>
              <w:spacing w:line="240" w:lineRule="auto"/>
              <w:jc w:val="center"/>
              <w:rPr>
                <w:rFonts w:hint="eastAsia" w:ascii="宋体" w:hAnsi="宋体" w:cs="宋体"/>
                <w:b/>
                <w:bCs/>
                <w:kern w:val="0"/>
              </w:rPr>
            </w:pPr>
          </w:p>
        </w:tc>
        <w:tc>
          <w:tcPr>
            <w:tcW w:w="1410"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1.1</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设备用途</w:t>
            </w:r>
          </w:p>
        </w:tc>
        <w:tc>
          <w:tcPr>
            <w:tcW w:w="3720" w:type="dxa"/>
            <w:noWrap w:val="0"/>
            <w:vAlign w:val="center"/>
          </w:tcPr>
          <w:p>
            <w:pPr>
              <w:widowControl/>
              <w:spacing w:line="240" w:lineRule="auto"/>
              <w:rPr>
                <w:rFonts w:hint="eastAsia" w:ascii="宋体" w:hAnsi="宋体" w:cs="宋体"/>
                <w:bCs/>
                <w:kern w:val="0"/>
              </w:rPr>
            </w:pPr>
            <w:r>
              <w:rPr>
                <w:rFonts w:ascii="宋体" w:hAnsi="宋体" w:cs="宋体"/>
                <w:bCs/>
                <w:kern w:val="0"/>
              </w:rPr>
              <w:t>对患者进行实时生命体征监测</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shd w:val="clear" w:color="000000" w:fill="auto"/>
            <w:noWrap w:val="0"/>
            <w:vAlign w:val="center"/>
          </w:tcPr>
          <w:p>
            <w:pPr>
              <w:widowControl/>
              <w:spacing w:line="240" w:lineRule="auto"/>
              <w:jc w:val="center"/>
              <w:rPr>
                <w:rFonts w:ascii="宋体" w:hAnsi="宋体" w:cs="宋体"/>
                <w:kern w:val="0"/>
              </w:rPr>
            </w:pPr>
            <w:r>
              <w:rPr>
                <w:rFonts w:hint="eastAsia" w:ascii="宋体" w:hAnsi="宋体" w:cs="宋体"/>
                <w:kern w:val="0"/>
              </w:rPr>
              <w:t>1.2</w:t>
            </w:r>
          </w:p>
        </w:tc>
        <w:tc>
          <w:tcPr>
            <w:tcW w:w="2665" w:type="dxa"/>
            <w:shd w:val="clear" w:color="000000" w:fill="auto"/>
            <w:noWrap w:val="0"/>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实验对象</w:t>
            </w:r>
          </w:p>
        </w:tc>
        <w:tc>
          <w:tcPr>
            <w:tcW w:w="3720" w:type="dxa"/>
            <w:shd w:val="clear" w:color="000000" w:fill="auto"/>
            <w:noWrap w:val="0"/>
            <w:vAlign w:val="center"/>
          </w:tcPr>
          <w:p>
            <w:pPr>
              <w:widowControl/>
              <w:spacing w:line="276" w:lineRule="auto"/>
              <w:rPr>
                <w:rFonts w:hint="eastAsia" w:ascii="宋体" w:hAnsi="宋体" w:cs="宋体"/>
                <w:kern w:val="0"/>
              </w:rPr>
            </w:pPr>
            <w:r>
              <w:rPr>
                <w:rFonts w:hint="eastAsia" w:ascii="宋体" w:hAnsi="宋体" w:cs="Calibri"/>
                <w:szCs w:val="18"/>
              </w:rPr>
              <w:t>凡是病情危重需要进行持续不间断的监测生命体征的</w:t>
            </w:r>
            <w:r>
              <w:rPr>
                <w:rFonts w:ascii="宋体" w:hAnsi="宋体" w:cs="Calibri"/>
                <w:szCs w:val="18"/>
              </w:rPr>
              <w:t>全年龄段患者</w:t>
            </w:r>
            <w:r>
              <w:rPr>
                <w:rFonts w:hint="eastAsia" w:ascii="宋体" w:hAnsi="宋体" w:cs="Calibri"/>
                <w:szCs w:val="18"/>
              </w:rPr>
              <w:t>。</w:t>
            </w:r>
          </w:p>
        </w:tc>
        <w:tc>
          <w:tcPr>
            <w:tcW w:w="1410" w:type="dxa"/>
            <w:shd w:val="clear" w:color="000000" w:fill="auto"/>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76" w:type="dxa"/>
            <w:noWrap w:val="0"/>
            <w:vAlign w:val="center"/>
          </w:tcPr>
          <w:p>
            <w:pPr>
              <w:widowControl/>
              <w:spacing w:line="240" w:lineRule="auto"/>
              <w:jc w:val="center"/>
              <w:rPr>
                <w:rFonts w:ascii="宋体" w:hAnsi="宋体" w:cs="宋体"/>
                <w:bCs/>
                <w:kern w:val="0"/>
              </w:rPr>
            </w:pPr>
            <w:r>
              <w:rPr>
                <w:rFonts w:hint="eastAsia" w:ascii="宋体" w:hAnsi="宋体" w:cs="宋体"/>
                <w:bCs/>
                <w:kern w:val="0"/>
              </w:rPr>
              <w:t>1.3</w:t>
            </w:r>
          </w:p>
        </w:tc>
        <w:tc>
          <w:tcPr>
            <w:tcW w:w="2665" w:type="dxa"/>
            <w:noWrap w:val="0"/>
            <w:vAlign w:val="center"/>
          </w:tcPr>
          <w:p>
            <w:pPr>
              <w:widowControl/>
              <w:spacing w:line="240" w:lineRule="auto"/>
              <w:jc w:val="center"/>
              <w:rPr>
                <w:rFonts w:ascii="宋体" w:hAnsi="宋体" w:cs="宋体"/>
                <w:bCs/>
                <w:kern w:val="0"/>
              </w:rPr>
            </w:pPr>
            <w:r>
              <w:rPr>
                <w:rFonts w:hint="eastAsia" w:ascii="宋体" w:hAnsi="宋体" w:cs="宋体"/>
                <w:bCs/>
                <w:kern w:val="0"/>
              </w:rPr>
              <w:t>特殊功能需求</w:t>
            </w:r>
          </w:p>
        </w:tc>
        <w:tc>
          <w:tcPr>
            <w:tcW w:w="3720" w:type="dxa"/>
            <w:noWrap w:val="0"/>
            <w:vAlign w:val="center"/>
          </w:tcPr>
          <w:p>
            <w:pPr>
              <w:widowControl/>
              <w:spacing w:line="240" w:lineRule="auto"/>
              <w:rPr>
                <w:rFonts w:hint="eastAsia" w:ascii="宋体" w:hAnsi="宋体" w:cs="宋体"/>
                <w:bCs/>
                <w:color w:val="FF0000"/>
                <w:kern w:val="0"/>
              </w:rPr>
            </w:pPr>
          </w:p>
        </w:tc>
        <w:tc>
          <w:tcPr>
            <w:tcW w:w="1410" w:type="dxa"/>
            <w:noWrap w:val="0"/>
            <w:vAlign w:val="center"/>
          </w:tcPr>
          <w:p>
            <w:pPr>
              <w:widowControl/>
              <w:spacing w:line="240" w:lineRule="auto"/>
              <w:rPr>
                <w:rFonts w:ascii="宋体" w:hAnsi="宋体" w:cs="宋体"/>
                <w:b/>
                <w:bCs/>
                <w:kern w:val="0"/>
              </w:rPr>
            </w:pPr>
            <w:r>
              <w:rPr>
                <w:rFonts w:hint="eastAsia" w:ascii="宋体" w:hAnsi="宋体" w:cs="宋体"/>
                <w:b/>
                <w:bCs/>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76" w:type="dxa"/>
            <w:noWrap w:val="0"/>
            <w:vAlign w:val="center"/>
          </w:tcPr>
          <w:p>
            <w:pPr>
              <w:widowControl/>
              <w:spacing w:line="240" w:lineRule="auto"/>
              <w:jc w:val="center"/>
              <w:rPr>
                <w:rFonts w:ascii="宋体" w:hAnsi="宋体" w:cs="宋体"/>
                <w:b/>
                <w:kern w:val="0"/>
              </w:rPr>
            </w:pPr>
            <w:r>
              <w:rPr>
                <w:rFonts w:hint="eastAsia" w:ascii="宋体" w:hAnsi="宋体" w:cs="宋体"/>
                <w:b/>
                <w:kern w:val="0"/>
              </w:rPr>
              <w:t>2</w:t>
            </w:r>
          </w:p>
        </w:tc>
        <w:tc>
          <w:tcPr>
            <w:tcW w:w="2665"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主要技术参数</w:t>
            </w:r>
            <w:r>
              <w:rPr>
                <w:rFonts w:hint="eastAsia" w:ascii="宋体" w:hAnsi="宋体" w:cs="宋体"/>
                <w:b/>
                <w:bCs/>
                <w:kern w:val="0"/>
              </w:rPr>
              <w:br w:type="textWrapping"/>
            </w:r>
            <w:r>
              <w:rPr>
                <w:rFonts w:hint="eastAsia" w:ascii="宋体" w:hAnsi="宋体" w:cs="宋体"/>
                <w:b/>
                <w:bCs/>
                <w:kern w:val="0"/>
              </w:rPr>
              <w:t>（一行只写一个参数）</w:t>
            </w:r>
          </w:p>
        </w:tc>
        <w:tc>
          <w:tcPr>
            <w:tcW w:w="3720" w:type="dxa"/>
            <w:noWrap w:val="0"/>
            <w:vAlign w:val="center"/>
          </w:tcPr>
          <w:p>
            <w:pPr>
              <w:widowControl/>
              <w:spacing w:line="240" w:lineRule="auto"/>
              <w:rPr>
                <w:rFonts w:ascii="宋体" w:hAnsi="宋体" w:cs="宋体"/>
                <w:kern w:val="0"/>
              </w:rPr>
            </w:pPr>
            <w:r>
              <w:rPr>
                <w:rFonts w:hint="eastAsia" w:ascii="宋体" w:hAnsi="宋体" w:cs="宋体"/>
                <w:kern w:val="0"/>
              </w:rPr>
              <w:t>　</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2.1</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★参数1</w:t>
            </w:r>
          </w:p>
        </w:tc>
        <w:tc>
          <w:tcPr>
            <w:tcW w:w="3720" w:type="dxa"/>
            <w:noWrap w:val="0"/>
            <w:vAlign w:val="center"/>
          </w:tcPr>
          <w:p>
            <w:pPr>
              <w:widowControl/>
              <w:spacing w:line="276" w:lineRule="auto"/>
              <w:rPr>
                <w:rFonts w:hint="eastAsia" w:ascii="宋体" w:hAnsi="宋体" w:cs="宋体"/>
                <w:bCs/>
                <w:kern w:val="0"/>
              </w:rPr>
            </w:pPr>
            <w:r>
              <w:rPr>
                <w:rFonts w:hint="eastAsia" w:ascii="宋体" w:hAnsi="宋体" w:cs="宋体"/>
                <w:bCs/>
                <w:kern w:val="0"/>
              </w:rPr>
              <w:t>彩色显示屏幕≥12寸</w:t>
            </w:r>
          </w:p>
          <w:p>
            <w:pPr>
              <w:widowControl/>
              <w:spacing w:line="276" w:lineRule="auto"/>
              <w:rPr>
                <w:rFonts w:hint="eastAsia" w:ascii="宋体" w:hAnsi="宋体" w:cs="宋体"/>
                <w:bCs/>
                <w:kern w:val="0"/>
              </w:rPr>
            </w:pPr>
            <w:r>
              <w:rPr>
                <w:rFonts w:hint="eastAsia" w:ascii="宋体" w:hAnsi="宋体" w:cs="宋体"/>
                <w:bCs/>
                <w:kern w:val="0"/>
              </w:rPr>
              <w:t>分辨率≥800*600</w:t>
            </w:r>
          </w:p>
          <w:p>
            <w:pPr>
              <w:widowControl/>
              <w:spacing w:line="276" w:lineRule="auto"/>
              <w:rPr>
                <w:rFonts w:ascii="宋体" w:hAnsi="宋体" w:cs="宋体"/>
                <w:bCs/>
                <w:kern w:val="0"/>
              </w:rPr>
            </w:pPr>
            <w:r>
              <w:rPr>
                <w:rFonts w:hint="eastAsia" w:ascii="宋体" w:hAnsi="宋体" w:cs="Calibri"/>
                <w:szCs w:val="18"/>
              </w:rPr>
              <w:t>观察波形通道≥8道</w:t>
            </w:r>
          </w:p>
        </w:tc>
        <w:tc>
          <w:tcPr>
            <w:tcW w:w="1410" w:type="dxa"/>
            <w:noWrap w:val="0"/>
            <w:vAlign w:val="top"/>
          </w:tcPr>
          <w:p>
            <w:pPr>
              <w:widowControl/>
              <w:spacing w:line="240" w:lineRule="auto"/>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w:t>
            </w:r>
            <w:r>
              <w:rPr>
                <w:rFonts w:ascii="宋体" w:hAnsi="宋体" w:cs="宋体"/>
                <w:kern w:val="0"/>
              </w:rPr>
              <w:t>2</w:t>
            </w:r>
          </w:p>
        </w:tc>
        <w:tc>
          <w:tcPr>
            <w:tcW w:w="2665" w:type="dxa"/>
            <w:noWrap w:val="0"/>
            <w:vAlign w:val="center"/>
          </w:tcPr>
          <w:p>
            <w:pPr>
              <w:widowControl/>
              <w:spacing w:line="240" w:lineRule="auto"/>
              <w:jc w:val="center"/>
              <w:rPr>
                <w:rFonts w:hint="eastAsia" w:ascii="宋体" w:hAnsi="宋体" w:cs="宋体"/>
                <w:bCs/>
                <w:kern w:val="0"/>
              </w:rPr>
            </w:pPr>
            <w:r>
              <w:rPr>
                <w:rFonts w:hint="eastAsia" w:ascii="宋体" w:hAnsi="宋体" w:cs="宋体"/>
                <w:bCs/>
                <w:kern w:val="0"/>
              </w:rPr>
              <w:t>★参数2</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标准配置可监测心电、呼吸、无创血压、血氧饱和度、</w:t>
            </w:r>
            <w:r>
              <w:rPr>
                <w:rFonts w:ascii="宋体" w:hAnsi="宋体" w:cs="宋体"/>
                <w:bCs/>
                <w:kern w:val="0"/>
              </w:rPr>
              <w:t>脉率</w:t>
            </w:r>
            <w:r>
              <w:rPr>
                <w:rFonts w:hint="eastAsia" w:ascii="宋体" w:hAnsi="宋体" w:cs="宋体"/>
                <w:bCs/>
                <w:kern w:val="0"/>
              </w:rPr>
              <w:t>等。</w:t>
            </w:r>
          </w:p>
        </w:tc>
        <w:tc>
          <w:tcPr>
            <w:tcW w:w="1410" w:type="dxa"/>
            <w:noWrap w:val="0"/>
            <w:vAlign w:val="top"/>
          </w:tcPr>
          <w:p>
            <w:pPr>
              <w:widowControl/>
              <w:spacing w:line="240" w:lineRule="auto"/>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w:t>
            </w:r>
            <w:r>
              <w:rPr>
                <w:rFonts w:ascii="宋体" w:hAnsi="宋体" w:cs="宋体"/>
                <w:kern w:val="0"/>
              </w:rPr>
              <w:t>3</w:t>
            </w:r>
          </w:p>
        </w:tc>
        <w:tc>
          <w:tcPr>
            <w:tcW w:w="2665" w:type="dxa"/>
            <w:noWrap w:val="0"/>
            <w:vAlign w:val="center"/>
          </w:tcPr>
          <w:p>
            <w:pPr>
              <w:widowControl/>
              <w:spacing w:line="240" w:lineRule="auto"/>
              <w:jc w:val="center"/>
              <w:rPr>
                <w:rFonts w:hint="eastAsia" w:ascii="宋体" w:hAnsi="宋体" w:cs="宋体"/>
                <w:bCs/>
                <w:kern w:val="0"/>
              </w:rPr>
            </w:pPr>
            <w:r>
              <w:rPr>
                <w:rFonts w:hint="eastAsia" w:ascii="宋体" w:hAnsi="宋体"/>
                <w:kern w:val="0"/>
                <w:lang w:val="zh-CN"/>
              </w:rPr>
              <w:t>▲</w:t>
            </w:r>
            <w:r>
              <w:rPr>
                <w:rFonts w:hint="eastAsia" w:ascii="宋体" w:hAnsi="宋体" w:cs="宋体"/>
                <w:bCs/>
                <w:kern w:val="0"/>
              </w:rPr>
              <w:t>参数3</w:t>
            </w:r>
          </w:p>
        </w:tc>
        <w:tc>
          <w:tcPr>
            <w:tcW w:w="3720" w:type="dxa"/>
            <w:noWrap w:val="0"/>
            <w:vAlign w:val="center"/>
          </w:tcPr>
          <w:p>
            <w:pPr>
              <w:widowControl/>
              <w:spacing w:line="240" w:lineRule="auto"/>
              <w:rPr>
                <w:rFonts w:hint="eastAsia" w:ascii="宋体" w:hAnsi="宋体" w:cs="宋体"/>
                <w:bCs/>
                <w:kern w:val="0"/>
              </w:rPr>
            </w:pPr>
            <w:r>
              <w:rPr>
                <w:rFonts w:hint="eastAsia" w:ascii="宋体" w:hAnsi="宋体" w:cs="宋体"/>
                <w:bCs/>
                <w:kern w:val="0"/>
              </w:rPr>
              <w:t>单台监护仪（无需连接中央站）可存储、查看≥10道波形的全息无压缩波形，上述10道以上的全息波形，同步存储时间均要求≥48小时</w:t>
            </w:r>
          </w:p>
        </w:tc>
        <w:tc>
          <w:tcPr>
            <w:tcW w:w="1410" w:type="dxa"/>
            <w:noWrap w:val="0"/>
            <w:vAlign w:val="top"/>
          </w:tcPr>
          <w:p>
            <w:pPr>
              <w:widowControl/>
              <w:spacing w:line="276" w:lineRule="auto"/>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2.4</w:t>
            </w:r>
          </w:p>
        </w:tc>
        <w:tc>
          <w:tcPr>
            <w:tcW w:w="2665" w:type="dxa"/>
            <w:noWrap w:val="0"/>
            <w:vAlign w:val="center"/>
          </w:tcPr>
          <w:p>
            <w:pPr>
              <w:widowControl/>
              <w:spacing w:line="240" w:lineRule="auto"/>
              <w:jc w:val="center"/>
              <w:rPr>
                <w:rFonts w:hint="eastAsia" w:ascii="宋体" w:hAnsi="宋体" w:cs="宋体"/>
                <w:bCs/>
                <w:kern w:val="0"/>
              </w:rPr>
            </w:pPr>
            <w:r>
              <w:rPr>
                <w:rFonts w:hint="eastAsia" w:ascii="宋体" w:hAnsi="宋体"/>
                <w:kern w:val="0"/>
                <w:lang w:val="zh-CN"/>
              </w:rPr>
              <w:t>▲</w:t>
            </w:r>
            <w:r>
              <w:rPr>
                <w:rFonts w:hint="eastAsia" w:ascii="宋体" w:hAnsi="宋体" w:cs="宋体"/>
                <w:bCs/>
                <w:kern w:val="0"/>
              </w:rPr>
              <w:t>参数4</w:t>
            </w:r>
          </w:p>
        </w:tc>
        <w:tc>
          <w:tcPr>
            <w:tcW w:w="3720" w:type="dxa"/>
            <w:noWrap w:val="0"/>
            <w:vAlign w:val="center"/>
          </w:tcPr>
          <w:p>
            <w:pPr>
              <w:widowControl/>
              <w:spacing w:line="240" w:lineRule="auto"/>
              <w:rPr>
                <w:rFonts w:hint="eastAsia" w:ascii="宋体" w:hAnsi="宋体" w:cs="Calibri"/>
                <w:szCs w:val="18"/>
              </w:rPr>
            </w:pPr>
            <w:r>
              <w:rPr>
                <w:rFonts w:hint="eastAsia" w:ascii="宋体" w:hAnsi="宋体" w:cs="Calibri"/>
                <w:szCs w:val="18"/>
              </w:rPr>
              <w:t>血氧饱和度能做到智能延迟报警。</w:t>
            </w:r>
          </w:p>
        </w:tc>
        <w:tc>
          <w:tcPr>
            <w:tcW w:w="1410" w:type="dxa"/>
            <w:noWrap w:val="0"/>
            <w:vAlign w:val="top"/>
          </w:tcPr>
          <w:p>
            <w:pPr>
              <w:widowControl/>
              <w:spacing w:line="276" w:lineRule="auto"/>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2.5</w:t>
            </w:r>
          </w:p>
        </w:tc>
        <w:tc>
          <w:tcPr>
            <w:tcW w:w="2665" w:type="dxa"/>
            <w:noWrap w:val="0"/>
            <w:vAlign w:val="center"/>
          </w:tcPr>
          <w:p>
            <w:pPr>
              <w:widowControl/>
              <w:spacing w:line="240" w:lineRule="auto"/>
              <w:jc w:val="center"/>
              <w:rPr>
                <w:rFonts w:hint="eastAsia" w:ascii="宋体" w:hAnsi="宋体" w:cs="宋体"/>
                <w:bCs/>
                <w:kern w:val="0"/>
              </w:rPr>
            </w:pPr>
            <w:r>
              <w:rPr>
                <w:rFonts w:hint="eastAsia" w:ascii="宋体" w:hAnsi="宋体"/>
                <w:kern w:val="0"/>
                <w:lang w:val="zh-CN"/>
              </w:rPr>
              <w:t>▲</w:t>
            </w:r>
            <w:r>
              <w:rPr>
                <w:rFonts w:hint="eastAsia" w:ascii="宋体" w:hAnsi="宋体" w:cs="宋体"/>
                <w:bCs/>
                <w:kern w:val="0"/>
              </w:rPr>
              <w:t>参数5</w:t>
            </w:r>
          </w:p>
        </w:tc>
        <w:tc>
          <w:tcPr>
            <w:tcW w:w="3720" w:type="dxa"/>
            <w:noWrap w:val="0"/>
            <w:vAlign w:val="center"/>
          </w:tcPr>
          <w:p>
            <w:pPr>
              <w:widowControl/>
              <w:spacing w:line="240" w:lineRule="auto"/>
              <w:rPr>
                <w:rFonts w:hint="eastAsia" w:ascii="宋体" w:hAnsi="宋体" w:cs="宋体"/>
                <w:bCs/>
                <w:kern w:val="0"/>
              </w:rPr>
            </w:pPr>
            <w:r>
              <w:rPr>
                <w:rFonts w:hint="eastAsia" w:ascii="宋体" w:hAnsi="宋体" w:cs="Calibri"/>
                <w:szCs w:val="18"/>
              </w:rPr>
              <w:t>可升级呼气末二氧化碳，同一模块支持主流/旁流两种二氧化碳</w:t>
            </w:r>
          </w:p>
        </w:tc>
        <w:tc>
          <w:tcPr>
            <w:tcW w:w="1410" w:type="dxa"/>
            <w:noWrap w:val="0"/>
            <w:vAlign w:val="top"/>
          </w:tcPr>
          <w:p>
            <w:pPr>
              <w:widowControl/>
              <w:spacing w:line="276" w:lineRule="auto"/>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2.6</w:t>
            </w:r>
          </w:p>
        </w:tc>
        <w:tc>
          <w:tcPr>
            <w:tcW w:w="2665" w:type="dxa"/>
            <w:noWrap w:val="0"/>
            <w:vAlign w:val="center"/>
          </w:tcPr>
          <w:p>
            <w:pPr>
              <w:widowControl/>
              <w:spacing w:line="240" w:lineRule="auto"/>
              <w:jc w:val="center"/>
              <w:rPr>
                <w:rFonts w:hint="eastAsia" w:ascii="宋体" w:hAnsi="宋体" w:cs="宋体"/>
                <w:bCs/>
                <w:kern w:val="0"/>
              </w:rPr>
            </w:pPr>
            <w:bookmarkStart w:id="9" w:name="_Hlk536390667"/>
            <w:r>
              <w:rPr>
                <w:rFonts w:hint="eastAsia" w:ascii="宋体" w:hAnsi="宋体" w:cs="宋体"/>
                <w:bCs/>
                <w:kern w:val="0"/>
              </w:rPr>
              <w:t>参数</w:t>
            </w:r>
            <w:bookmarkEnd w:id="9"/>
            <w:r>
              <w:rPr>
                <w:rFonts w:hint="eastAsia" w:ascii="宋体" w:hAnsi="宋体" w:cs="宋体"/>
                <w:bCs/>
                <w:kern w:val="0"/>
              </w:rPr>
              <w:t>6</w:t>
            </w:r>
          </w:p>
        </w:tc>
        <w:tc>
          <w:tcPr>
            <w:tcW w:w="3720" w:type="dxa"/>
            <w:noWrap w:val="0"/>
            <w:vAlign w:val="center"/>
          </w:tcPr>
          <w:p>
            <w:pPr>
              <w:widowControl/>
              <w:spacing w:line="240" w:lineRule="auto"/>
              <w:rPr>
                <w:rFonts w:hint="eastAsia" w:ascii="宋体" w:hAnsi="宋体" w:cs="宋体"/>
                <w:bCs/>
                <w:kern w:val="0"/>
              </w:rPr>
            </w:pPr>
            <w:r>
              <w:rPr>
                <w:rFonts w:hint="eastAsia" w:ascii="宋体" w:hAnsi="宋体" w:cs="Calibri"/>
                <w:szCs w:val="18"/>
              </w:rPr>
              <w:t>标配3/5导联ECG功能，可选配12导联心电功能。</w:t>
            </w:r>
          </w:p>
        </w:tc>
        <w:tc>
          <w:tcPr>
            <w:tcW w:w="1410" w:type="dxa"/>
            <w:noWrap w:val="0"/>
            <w:vAlign w:val="top"/>
          </w:tcPr>
          <w:p>
            <w:pPr>
              <w:widowControl/>
              <w:spacing w:line="276" w:lineRule="auto"/>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2.7</w:t>
            </w:r>
          </w:p>
        </w:tc>
        <w:tc>
          <w:tcPr>
            <w:tcW w:w="2665" w:type="dxa"/>
            <w:noWrap w:val="0"/>
            <w:vAlign w:val="center"/>
          </w:tcPr>
          <w:p>
            <w:pPr>
              <w:jc w:val="center"/>
              <w:rPr>
                <w:rFonts w:ascii="宋体" w:hAnsi="宋体"/>
              </w:rPr>
            </w:pPr>
            <w:r>
              <w:rPr>
                <w:rFonts w:hint="eastAsia" w:ascii="宋体" w:hAnsi="宋体" w:cs="宋体"/>
                <w:kern w:val="0"/>
              </w:rPr>
              <w:t>参数7</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模块化、插件式床边监护仪，主机、显示屏和插件槽一体化设计。</w:t>
            </w:r>
          </w:p>
        </w:tc>
        <w:tc>
          <w:tcPr>
            <w:tcW w:w="1410" w:type="dxa"/>
            <w:noWrap w:val="0"/>
            <w:vAlign w:val="top"/>
          </w:tcPr>
          <w:p>
            <w:pPr>
              <w:widowControl/>
              <w:spacing w:line="276" w:lineRule="auto"/>
              <w:rPr>
                <w:rFonts w:hint="eastAsia" w:ascii="宋体" w:hAnsi="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2.8</w:t>
            </w:r>
          </w:p>
        </w:tc>
        <w:tc>
          <w:tcPr>
            <w:tcW w:w="2665" w:type="dxa"/>
            <w:noWrap w:val="0"/>
            <w:vAlign w:val="center"/>
          </w:tcPr>
          <w:p>
            <w:pPr>
              <w:jc w:val="center"/>
              <w:rPr>
                <w:rFonts w:ascii="宋体" w:hAnsi="宋体"/>
              </w:rPr>
            </w:pPr>
            <w:r>
              <w:rPr>
                <w:rFonts w:hint="eastAsia" w:ascii="宋体" w:hAnsi="宋体" w:cs="宋体"/>
                <w:kern w:val="0"/>
              </w:rPr>
              <w:t>参数8</w:t>
            </w:r>
          </w:p>
        </w:tc>
        <w:tc>
          <w:tcPr>
            <w:tcW w:w="3720" w:type="dxa"/>
            <w:noWrap w:val="0"/>
            <w:vAlign w:val="center"/>
          </w:tcPr>
          <w:p>
            <w:pPr>
              <w:widowControl/>
              <w:spacing w:line="276" w:lineRule="auto"/>
              <w:rPr>
                <w:rFonts w:ascii="宋体" w:hAnsi="宋体" w:cs="宋体"/>
                <w:bCs/>
                <w:color w:val="FF0000"/>
                <w:kern w:val="0"/>
              </w:rPr>
            </w:pPr>
            <w:r>
              <w:rPr>
                <w:rFonts w:hint="eastAsia" w:ascii="宋体" w:hAnsi="宋体" w:cs="宋体"/>
                <w:bCs/>
                <w:kern w:val="0"/>
              </w:rPr>
              <w:t>具备≥20种心律失常分析功能</w:t>
            </w:r>
          </w:p>
        </w:tc>
        <w:tc>
          <w:tcPr>
            <w:tcW w:w="1410" w:type="dxa"/>
            <w:noWrap w:val="0"/>
            <w:vAlign w:val="top"/>
          </w:tcPr>
          <w:p>
            <w:pPr>
              <w:widowControl/>
              <w:spacing w:line="276" w:lineRule="auto"/>
              <w:rPr>
                <w:rFonts w:hint="eastAsia" w:ascii="宋体" w:hAnsi="宋体" w:cs="宋体"/>
                <w:bCs/>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2.9</w:t>
            </w:r>
          </w:p>
        </w:tc>
        <w:tc>
          <w:tcPr>
            <w:tcW w:w="2665" w:type="dxa"/>
            <w:noWrap w:val="0"/>
            <w:vAlign w:val="center"/>
          </w:tcPr>
          <w:p>
            <w:pPr>
              <w:jc w:val="center"/>
              <w:rPr>
                <w:rFonts w:ascii="宋体" w:hAnsi="宋体"/>
              </w:rPr>
            </w:pPr>
            <w:r>
              <w:rPr>
                <w:rFonts w:hint="eastAsia" w:ascii="宋体" w:hAnsi="宋体" w:cs="宋体"/>
                <w:kern w:val="0"/>
              </w:rPr>
              <w:t>参数9</w:t>
            </w:r>
          </w:p>
        </w:tc>
        <w:tc>
          <w:tcPr>
            <w:tcW w:w="3720" w:type="dxa"/>
            <w:noWrap w:val="0"/>
            <w:vAlign w:val="center"/>
          </w:tcPr>
          <w:p>
            <w:pPr>
              <w:widowControl/>
              <w:spacing w:line="240" w:lineRule="auto"/>
              <w:rPr>
                <w:rFonts w:hint="eastAsia" w:ascii="宋体" w:hAnsi="宋体" w:cs="宋体"/>
                <w:bCs/>
                <w:kern w:val="0"/>
              </w:rPr>
            </w:pPr>
            <w:r>
              <w:rPr>
                <w:rFonts w:hint="eastAsia" w:ascii="宋体" w:hAnsi="宋体" w:cs="宋体"/>
                <w:bCs/>
                <w:kern w:val="0"/>
              </w:rPr>
              <w:t>导联脱落监测功能</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2.10</w:t>
            </w:r>
          </w:p>
        </w:tc>
        <w:tc>
          <w:tcPr>
            <w:tcW w:w="2665" w:type="dxa"/>
            <w:noWrap w:val="0"/>
            <w:vAlign w:val="center"/>
          </w:tcPr>
          <w:p>
            <w:pPr>
              <w:jc w:val="center"/>
              <w:rPr>
                <w:rFonts w:ascii="宋体" w:hAnsi="宋体"/>
              </w:rPr>
            </w:pPr>
            <w:r>
              <w:rPr>
                <w:rFonts w:hint="eastAsia" w:ascii="宋体" w:hAnsi="宋体" w:cs="宋体"/>
                <w:kern w:val="0"/>
              </w:rPr>
              <w:t>参数10</w:t>
            </w:r>
          </w:p>
        </w:tc>
        <w:tc>
          <w:tcPr>
            <w:tcW w:w="3720" w:type="dxa"/>
            <w:noWrap w:val="0"/>
            <w:vAlign w:val="center"/>
          </w:tcPr>
          <w:p>
            <w:pPr>
              <w:widowControl/>
              <w:spacing w:line="240" w:lineRule="auto"/>
              <w:rPr>
                <w:rFonts w:hint="eastAsia" w:ascii="宋体" w:hAnsi="宋体" w:cs="宋体"/>
                <w:bCs/>
                <w:kern w:val="0"/>
              </w:rPr>
            </w:pPr>
            <w:r>
              <w:rPr>
                <w:rFonts w:hint="eastAsia" w:ascii="宋体" w:hAnsi="宋体" w:cs="宋体"/>
                <w:bCs/>
                <w:kern w:val="0"/>
              </w:rPr>
              <w:t>血氧探头与主机同品牌</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2.11</w:t>
            </w:r>
          </w:p>
        </w:tc>
        <w:tc>
          <w:tcPr>
            <w:tcW w:w="2665" w:type="dxa"/>
            <w:noWrap w:val="0"/>
            <w:vAlign w:val="center"/>
          </w:tcPr>
          <w:p>
            <w:pPr>
              <w:jc w:val="center"/>
              <w:rPr>
                <w:rFonts w:ascii="宋体" w:hAnsi="宋体"/>
              </w:rPr>
            </w:pPr>
            <w:r>
              <w:rPr>
                <w:rFonts w:hint="eastAsia" w:ascii="宋体" w:hAnsi="宋体" w:cs="宋体"/>
                <w:kern w:val="0"/>
              </w:rPr>
              <w:t>参数11</w:t>
            </w:r>
          </w:p>
        </w:tc>
        <w:tc>
          <w:tcPr>
            <w:tcW w:w="3720" w:type="dxa"/>
            <w:noWrap w:val="0"/>
            <w:vAlign w:val="center"/>
          </w:tcPr>
          <w:p>
            <w:pPr>
              <w:widowControl/>
              <w:spacing w:line="240" w:lineRule="auto"/>
              <w:rPr>
                <w:rFonts w:hint="eastAsia" w:ascii="宋体" w:hAnsi="宋体" w:cs="宋体"/>
                <w:bCs/>
                <w:kern w:val="0"/>
              </w:rPr>
            </w:pPr>
            <w:r>
              <w:rPr>
                <w:rFonts w:hint="eastAsia" w:ascii="宋体" w:hAnsi="宋体" w:cs="宋体"/>
                <w:bCs/>
                <w:kern w:val="0"/>
              </w:rPr>
              <w:t>锂电池供电时间: ≥2h</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76" w:type="dxa"/>
            <w:noWrap w:val="0"/>
            <w:vAlign w:val="center"/>
          </w:tcPr>
          <w:p>
            <w:pPr>
              <w:widowControl/>
              <w:spacing w:line="240" w:lineRule="auto"/>
              <w:jc w:val="center"/>
              <w:rPr>
                <w:rFonts w:ascii="宋体" w:hAnsi="宋体" w:cs="宋体"/>
                <w:b/>
                <w:kern w:val="0"/>
              </w:rPr>
            </w:pPr>
            <w:r>
              <w:rPr>
                <w:rFonts w:hint="eastAsia" w:ascii="宋体" w:hAnsi="宋体" w:cs="宋体"/>
                <w:b/>
                <w:kern w:val="0"/>
              </w:rPr>
              <w:t>3</w:t>
            </w:r>
          </w:p>
        </w:tc>
        <w:tc>
          <w:tcPr>
            <w:tcW w:w="2665"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配置需求</w:t>
            </w:r>
            <w:r>
              <w:rPr>
                <w:rFonts w:hint="eastAsia" w:ascii="宋体" w:hAnsi="宋体" w:cs="宋体"/>
                <w:b/>
                <w:bCs/>
                <w:kern w:val="0"/>
              </w:rPr>
              <w:br w:type="textWrapping"/>
            </w:r>
            <w:r>
              <w:rPr>
                <w:rFonts w:hint="eastAsia" w:ascii="宋体" w:hAnsi="宋体" w:cs="宋体"/>
                <w:b/>
                <w:bCs/>
                <w:kern w:val="0"/>
              </w:rPr>
              <w:t>（一行只写一个配置）</w:t>
            </w:r>
          </w:p>
        </w:tc>
        <w:tc>
          <w:tcPr>
            <w:tcW w:w="3720" w:type="dxa"/>
            <w:noWrap w:val="0"/>
            <w:vAlign w:val="center"/>
          </w:tcPr>
          <w:p>
            <w:pPr>
              <w:widowControl/>
              <w:spacing w:line="240" w:lineRule="auto"/>
              <w:rPr>
                <w:rFonts w:ascii="宋体" w:hAnsi="宋体" w:cs="宋体"/>
                <w:kern w:val="0"/>
              </w:rPr>
            </w:pP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3.1</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配置1</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监护仪主机 1台</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3.2</w:t>
            </w:r>
          </w:p>
        </w:tc>
        <w:tc>
          <w:tcPr>
            <w:tcW w:w="2665"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配置2</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心电电极片 1包</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 xml:space="preserve">3.3 </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配置3</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无创血压导气管，1根</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3.4</w:t>
            </w:r>
          </w:p>
        </w:tc>
        <w:tc>
          <w:tcPr>
            <w:tcW w:w="2665"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配置4</w:t>
            </w:r>
          </w:p>
        </w:tc>
        <w:tc>
          <w:tcPr>
            <w:tcW w:w="3720" w:type="dxa"/>
            <w:noWrap w:val="0"/>
            <w:vAlign w:val="center"/>
          </w:tcPr>
          <w:p>
            <w:pPr>
              <w:widowControl/>
              <w:spacing w:line="240" w:lineRule="auto"/>
              <w:rPr>
                <w:rFonts w:hint="eastAsia" w:ascii="宋体" w:hAnsi="宋体" w:cs="宋体"/>
                <w:bCs/>
                <w:kern w:val="0"/>
              </w:rPr>
            </w:pPr>
            <w:r>
              <w:rPr>
                <w:rFonts w:hint="eastAsia" w:ascii="宋体" w:hAnsi="宋体" w:cs="宋体"/>
                <w:bCs/>
                <w:kern w:val="0"/>
              </w:rPr>
              <w:t>根据</w:t>
            </w:r>
            <w:r>
              <w:rPr>
                <w:rFonts w:ascii="宋体" w:hAnsi="宋体" w:cs="宋体"/>
                <w:bCs/>
                <w:kern w:val="0"/>
              </w:rPr>
              <w:t>临床</w:t>
            </w:r>
            <w:r>
              <w:rPr>
                <w:rFonts w:hint="eastAsia" w:ascii="宋体" w:hAnsi="宋体" w:cs="宋体"/>
                <w:bCs/>
                <w:kern w:val="0"/>
              </w:rPr>
              <w:t>需求</w:t>
            </w:r>
            <w:r>
              <w:rPr>
                <w:rFonts w:ascii="宋体" w:hAnsi="宋体" w:cs="宋体"/>
                <w:bCs/>
                <w:kern w:val="0"/>
              </w:rPr>
              <w:t>可提供</w:t>
            </w:r>
            <w:r>
              <w:rPr>
                <w:rFonts w:hint="eastAsia" w:ascii="宋体" w:hAnsi="宋体" w:cs="宋体"/>
                <w:bCs/>
                <w:kern w:val="0"/>
              </w:rPr>
              <w:t>成人、儿童、新生儿血压袖套三种</w:t>
            </w:r>
            <w:r>
              <w:rPr>
                <w:rFonts w:ascii="宋体" w:hAnsi="宋体" w:cs="宋体"/>
                <w:bCs/>
                <w:kern w:val="0"/>
              </w:rPr>
              <w:t>类型选择</w:t>
            </w:r>
            <w:r>
              <w:rPr>
                <w:rFonts w:hint="eastAsia" w:ascii="宋体" w:hAnsi="宋体" w:cs="宋体"/>
                <w:bCs/>
                <w:kern w:val="0"/>
              </w:rPr>
              <w:t>，1套</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3.5</w:t>
            </w:r>
          </w:p>
        </w:tc>
        <w:tc>
          <w:tcPr>
            <w:tcW w:w="2665"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配置5</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5导心电导联线主电缆，1根　</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3.6</w:t>
            </w:r>
          </w:p>
        </w:tc>
        <w:tc>
          <w:tcPr>
            <w:tcW w:w="2665"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配置6</w:t>
            </w:r>
          </w:p>
        </w:tc>
        <w:tc>
          <w:tcPr>
            <w:tcW w:w="3720" w:type="dxa"/>
            <w:noWrap w:val="0"/>
            <w:vAlign w:val="center"/>
          </w:tcPr>
          <w:p>
            <w:pPr>
              <w:widowControl/>
              <w:spacing w:line="240" w:lineRule="auto"/>
              <w:rPr>
                <w:rFonts w:hint="eastAsia" w:ascii="宋体" w:hAnsi="宋体" w:cs="宋体"/>
                <w:bCs/>
                <w:kern w:val="0"/>
              </w:rPr>
            </w:pPr>
            <w:r>
              <w:rPr>
                <w:rFonts w:ascii="宋体" w:hAnsi="宋体" w:cs="宋体"/>
                <w:bCs/>
                <w:kern w:val="0"/>
              </w:rPr>
              <w:t>3</w:t>
            </w:r>
            <w:r>
              <w:rPr>
                <w:rFonts w:hint="eastAsia" w:ascii="宋体" w:hAnsi="宋体" w:cs="宋体"/>
                <w:bCs/>
                <w:kern w:val="0"/>
              </w:rPr>
              <w:t>/5导兼容</w:t>
            </w:r>
            <w:r>
              <w:rPr>
                <w:rFonts w:ascii="宋体" w:hAnsi="宋体" w:cs="宋体"/>
                <w:bCs/>
                <w:kern w:val="0"/>
              </w:rPr>
              <w:t>心电电缆</w:t>
            </w:r>
            <w:r>
              <w:rPr>
                <w:rFonts w:hint="eastAsia" w:ascii="宋体" w:hAnsi="宋体" w:cs="宋体"/>
                <w:bCs/>
                <w:kern w:val="0"/>
              </w:rPr>
              <w:t>，1根</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3.7</w:t>
            </w:r>
          </w:p>
        </w:tc>
        <w:tc>
          <w:tcPr>
            <w:tcW w:w="2665"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配置7</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指套式血氧饱和度探头，1个</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3.8</w:t>
            </w:r>
          </w:p>
        </w:tc>
        <w:tc>
          <w:tcPr>
            <w:tcW w:w="2665"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配置8</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血氧饱和度主电缆，1根</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6"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3.9</w:t>
            </w:r>
          </w:p>
        </w:tc>
        <w:tc>
          <w:tcPr>
            <w:tcW w:w="2665" w:type="dxa"/>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配置9</w:t>
            </w:r>
          </w:p>
        </w:tc>
        <w:tc>
          <w:tcPr>
            <w:tcW w:w="3720" w:type="dxa"/>
            <w:noWrap w:val="0"/>
            <w:vAlign w:val="center"/>
          </w:tcPr>
          <w:p>
            <w:pPr>
              <w:widowControl/>
              <w:spacing w:line="240" w:lineRule="auto"/>
              <w:rPr>
                <w:rFonts w:ascii="宋体" w:hAnsi="宋体" w:cs="宋体"/>
                <w:bCs/>
                <w:kern w:val="0"/>
              </w:rPr>
            </w:pPr>
            <w:r>
              <w:rPr>
                <w:rFonts w:hint="eastAsia" w:ascii="宋体" w:hAnsi="宋体" w:cs="宋体"/>
                <w:bCs/>
                <w:kern w:val="0"/>
              </w:rPr>
              <w:t>锂电池，1块</w:t>
            </w:r>
          </w:p>
        </w:tc>
        <w:tc>
          <w:tcPr>
            <w:tcW w:w="1410" w:type="dxa"/>
            <w:noWrap w:val="0"/>
            <w:vAlign w:val="center"/>
          </w:tcPr>
          <w:p>
            <w:pPr>
              <w:widowControl/>
              <w:spacing w:line="240" w:lineRule="auto"/>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6"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4</w:t>
            </w:r>
          </w:p>
        </w:tc>
        <w:tc>
          <w:tcPr>
            <w:tcW w:w="2665"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售后服务</w:t>
            </w:r>
          </w:p>
        </w:tc>
        <w:tc>
          <w:tcPr>
            <w:tcW w:w="3720" w:type="dxa"/>
            <w:noWrap w:val="0"/>
            <w:vAlign w:val="center"/>
          </w:tcPr>
          <w:p>
            <w:pPr>
              <w:widowControl/>
              <w:spacing w:line="240" w:lineRule="auto"/>
              <w:jc w:val="left"/>
              <w:rPr>
                <w:rFonts w:ascii="宋体" w:hAnsi="宋体" w:cs="宋体"/>
                <w:b/>
                <w:bCs/>
                <w:kern w:val="0"/>
              </w:rPr>
            </w:pPr>
          </w:p>
        </w:tc>
        <w:tc>
          <w:tcPr>
            <w:tcW w:w="1410" w:type="dxa"/>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4.1</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保修年限</w:t>
            </w:r>
          </w:p>
        </w:tc>
        <w:tc>
          <w:tcPr>
            <w:tcW w:w="3720" w:type="dxa"/>
            <w:noWrap w:val="0"/>
            <w:vAlign w:val="center"/>
          </w:tcPr>
          <w:p>
            <w:pPr>
              <w:widowControl/>
              <w:spacing w:line="240" w:lineRule="auto"/>
              <w:jc w:val="left"/>
              <w:rPr>
                <w:rFonts w:ascii="宋体" w:hAnsi="宋体"/>
                <w:kern w:val="0"/>
              </w:rPr>
            </w:pPr>
            <w:r>
              <w:rPr>
                <w:rFonts w:ascii="宋体" w:hAnsi="宋体"/>
                <w:kern w:val="0"/>
              </w:rPr>
              <w:t>≥3年</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4.2</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出现故障回应时间</w:t>
            </w:r>
          </w:p>
        </w:tc>
        <w:tc>
          <w:tcPr>
            <w:tcW w:w="3720" w:type="dxa"/>
            <w:noWrap w:val="0"/>
            <w:vAlign w:val="center"/>
          </w:tcPr>
          <w:p>
            <w:pPr>
              <w:widowControl/>
              <w:spacing w:line="240" w:lineRule="auto"/>
              <w:jc w:val="left"/>
              <w:rPr>
                <w:rFonts w:ascii="宋体" w:hAnsi="宋体"/>
                <w:kern w:val="0"/>
              </w:rPr>
            </w:pPr>
            <w:r>
              <w:rPr>
                <w:rFonts w:ascii="宋体" w:hAnsi="宋体"/>
                <w:kern w:val="0"/>
              </w:rPr>
              <w:t>维修到达现场时间≤ 6小时（本地）</w:t>
            </w:r>
            <w:r>
              <w:rPr>
                <w:rFonts w:ascii="宋体" w:hAnsi="宋体"/>
                <w:kern w:val="0"/>
              </w:rPr>
              <w:br w:type="textWrapping"/>
            </w:r>
            <w:r>
              <w:rPr>
                <w:rFonts w:ascii="宋体" w:hAnsi="宋体"/>
                <w:kern w:val="0"/>
              </w:rPr>
              <w:t>维修到达现场时间≤24小时（外地）</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4.3</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维修支持</w:t>
            </w:r>
          </w:p>
        </w:tc>
        <w:tc>
          <w:tcPr>
            <w:tcW w:w="3720" w:type="dxa"/>
            <w:noWrap w:val="0"/>
            <w:vAlign w:val="center"/>
          </w:tcPr>
          <w:p>
            <w:pPr>
              <w:widowControl/>
              <w:spacing w:line="240" w:lineRule="auto"/>
              <w:jc w:val="left"/>
              <w:rPr>
                <w:rFonts w:ascii="宋体" w:hAnsi="宋体"/>
                <w:kern w:val="0"/>
              </w:rPr>
            </w:pPr>
            <w:r>
              <w:rPr>
                <w:rFonts w:ascii="宋体" w:hAnsi="宋体"/>
                <w:kern w:val="0"/>
              </w:rPr>
              <w:t>配件供应时间≥10年</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4.4</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耗材及零配件</w:t>
            </w:r>
          </w:p>
        </w:tc>
        <w:tc>
          <w:tcPr>
            <w:tcW w:w="3720" w:type="dxa"/>
            <w:noWrap w:val="0"/>
            <w:vAlign w:val="center"/>
          </w:tcPr>
          <w:p>
            <w:pPr>
              <w:widowControl/>
              <w:spacing w:line="240" w:lineRule="auto"/>
              <w:jc w:val="left"/>
              <w:rPr>
                <w:rFonts w:ascii="宋体" w:hAnsi="宋体"/>
                <w:kern w:val="0"/>
              </w:rPr>
            </w:pPr>
            <w:r>
              <w:rPr>
                <w:rFonts w:ascii="宋体" w:hAnsi="宋体"/>
                <w:kern w:val="0"/>
              </w:rPr>
              <w:t>提供耗材及主要零配件目录（含报价）</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4.5</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维修资料</w:t>
            </w:r>
          </w:p>
        </w:tc>
        <w:tc>
          <w:tcPr>
            <w:tcW w:w="3720" w:type="dxa"/>
            <w:noWrap w:val="0"/>
            <w:vAlign w:val="center"/>
          </w:tcPr>
          <w:p>
            <w:pPr>
              <w:widowControl/>
              <w:spacing w:line="240" w:lineRule="auto"/>
              <w:jc w:val="left"/>
              <w:rPr>
                <w:rFonts w:ascii="宋体" w:hAnsi="宋体"/>
                <w:kern w:val="0"/>
              </w:rPr>
            </w:pPr>
            <w:r>
              <w:rPr>
                <w:rFonts w:ascii="宋体" w:hAnsi="宋体"/>
                <w:kern w:val="0"/>
              </w:rPr>
              <w:t>提供详细操作手册、维修保养手册、安装手册等</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4.6</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维修工具</w:t>
            </w:r>
          </w:p>
        </w:tc>
        <w:tc>
          <w:tcPr>
            <w:tcW w:w="3720" w:type="dxa"/>
            <w:noWrap w:val="0"/>
            <w:vAlign w:val="center"/>
          </w:tcPr>
          <w:p>
            <w:pPr>
              <w:widowControl/>
              <w:spacing w:line="240" w:lineRule="auto"/>
              <w:jc w:val="left"/>
              <w:rPr>
                <w:rFonts w:ascii="宋体" w:hAnsi="宋体"/>
                <w:kern w:val="0"/>
              </w:rPr>
            </w:pPr>
            <w:r>
              <w:rPr>
                <w:rFonts w:ascii="宋体" w:hAnsi="宋体"/>
                <w:kern w:val="0"/>
              </w:rPr>
              <w:t>提供维修专用工具1套</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4.7</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预防性维修</w:t>
            </w:r>
            <w:r>
              <w:rPr>
                <w:rFonts w:hint="eastAsia" w:ascii="宋体" w:hAnsi="宋体" w:cs="宋体"/>
                <w:kern w:val="0"/>
              </w:rPr>
              <w:br w:type="textWrapping"/>
            </w:r>
            <w:r>
              <w:rPr>
                <w:rFonts w:hint="eastAsia" w:ascii="宋体" w:hAnsi="宋体" w:cs="宋体"/>
                <w:kern w:val="0"/>
              </w:rPr>
              <w:t>/定期维护保养</w:t>
            </w:r>
          </w:p>
        </w:tc>
        <w:tc>
          <w:tcPr>
            <w:tcW w:w="3720" w:type="dxa"/>
            <w:noWrap w:val="0"/>
            <w:vAlign w:val="center"/>
          </w:tcPr>
          <w:p>
            <w:pPr>
              <w:widowControl/>
              <w:spacing w:line="240" w:lineRule="auto"/>
              <w:jc w:val="left"/>
              <w:rPr>
                <w:rFonts w:ascii="宋体" w:hAnsi="宋体"/>
                <w:kern w:val="0"/>
              </w:rPr>
            </w:pPr>
            <w:r>
              <w:rPr>
                <w:rFonts w:ascii="宋体" w:hAnsi="宋体"/>
                <w:kern w:val="0"/>
              </w:rPr>
              <w:t>保修期内提供定期维护保养服务</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4.8</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维修密码支持</w:t>
            </w:r>
          </w:p>
        </w:tc>
        <w:tc>
          <w:tcPr>
            <w:tcW w:w="3720" w:type="dxa"/>
            <w:noWrap w:val="0"/>
            <w:vAlign w:val="center"/>
          </w:tcPr>
          <w:p>
            <w:pPr>
              <w:widowControl/>
              <w:spacing w:line="240" w:lineRule="auto"/>
              <w:jc w:val="left"/>
              <w:rPr>
                <w:rFonts w:ascii="宋体" w:hAnsi="宋体"/>
                <w:kern w:val="0"/>
              </w:rPr>
            </w:pPr>
            <w:r>
              <w:rPr>
                <w:rFonts w:ascii="宋体" w:hAnsi="宋体"/>
                <w:kern w:val="0"/>
              </w:rPr>
              <w:t>开放</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4.9</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升级</w:t>
            </w:r>
          </w:p>
        </w:tc>
        <w:tc>
          <w:tcPr>
            <w:tcW w:w="3720" w:type="dxa"/>
            <w:noWrap w:val="0"/>
            <w:vAlign w:val="center"/>
          </w:tcPr>
          <w:p>
            <w:pPr>
              <w:widowControl/>
              <w:spacing w:line="240" w:lineRule="auto"/>
              <w:jc w:val="left"/>
              <w:rPr>
                <w:rFonts w:ascii="宋体" w:hAnsi="宋体"/>
                <w:kern w:val="0"/>
              </w:rPr>
            </w:pPr>
            <w:r>
              <w:rPr>
                <w:rFonts w:ascii="宋体" w:hAnsi="宋体"/>
                <w:kern w:val="0"/>
              </w:rPr>
              <w:t>终身免费软件升级</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4.10</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使用培训</w:t>
            </w:r>
          </w:p>
        </w:tc>
        <w:tc>
          <w:tcPr>
            <w:tcW w:w="3720" w:type="dxa"/>
            <w:noWrap w:val="0"/>
            <w:vAlign w:val="center"/>
          </w:tcPr>
          <w:p>
            <w:pPr>
              <w:widowControl/>
              <w:spacing w:line="240" w:lineRule="auto"/>
              <w:jc w:val="left"/>
              <w:rPr>
                <w:rFonts w:ascii="宋体" w:hAnsi="宋体"/>
                <w:kern w:val="0"/>
              </w:rPr>
            </w:pPr>
            <w:r>
              <w:rPr>
                <w:rFonts w:ascii="宋体" w:hAnsi="宋体"/>
                <w:kern w:val="0"/>
              </w:rPr>
              <w:t>支持</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6" w:type="dxa"/>
            <w:noWrap w:val="0"/>
            <w:vAlign w:val="center"/>
          </w:tcPr>
          <w:p>
            <w:pPr>
              <w:widowControl/>
              <w:spacing w:line="240" w:lineRule="auto"/>
              <w:jc w:val="center"/>
              <w:rPr>
                <w:rFonts w:ascii="宋体" w:hAnsi="宋体" w:cs="宋体"/>
                <w:kern w:val="0"/>
              </w:rPr>
            </w:pPr>
            <w:r>
              <w:rPr>
                <w:rFonts w:hint="eastAsia" w:ascii="宋体" w:hAnsi="宋体" w:cs="宋体"/>
                <w:kern w:val="0"/>
              </w:rPr>
              <w:t>4.11</w:t>
            </w:r>
          </w:p>
        </w:tc>
        <w:tc>
          <w:tcPr>
            <w:tcW w:w="2665" w:type="dxa"/>
            <w:noWrap w:val="0"/>
            <w:vAlign w:val="center"/>
          </w:tcPr>
          <w:p>
            <w:pPr>
              <w:widowControl/>
              <w:spacing w:line="240" w:lineRule="auto"/>
              <w:jc w:val="center"/>
              <w:rPr>
                <w:rFonts w:ascii="宋体" w:hAnsi="宋体" w:cs="宋体"/>
                <w:kern w:val="0"/>
              </w:rPr>
            </w:pPr>
            <w:r>
              <w:rPr>
                <w:rFonts w:hint="eastAsia" w:ascii="宋体" w:hAnsi="宋体" w:cs="宋体"/>
                <w:kern w:val="0"/>
              </w:rPr>
              <w:t>工程师培训</w:t>
            </w:r>
          </w:p>
        </w:tc>
        <w:tc>
          <w:tcPr>
            <w:tcW w:w="3720" w:type="dxa"/>
            <w:noWrap w:val="0"/>
            <w:vAlign w:val="center"/>
          </w:tcPr>
          <w:p>
            <w:pPr>
              <w:widowControl/>
              <w:spacing w:line="240" w:lineRule="auto"/>
              <w:jc w:val="left"/>
              <w:rPr>
                <w:rFonts w:ascii="宋体" w:hAnsi="宋体"/>
                <w:kern w:val="0"/>
              </w:rPr>
            </w:pPr>
            <w:r>
              <w:rPr>
                <w:rFonts w:ascii="宋体" w:hAnsi="宋体"/>
                <w:kern w:val="0"/>
              </w:rPr>
              <w:t>支持</w:t>
            </w:r>
          </w:p>
        </w:tc>
        <w:tc>
          <w:tcPr>
            <w:tcW w:w="1410" w:type="dxa"/>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10" w:name="_Toc285612601"/>
      <w:bookmarkStart w:id="11" w:name="_Toc37172689"/>
      <w:bookmarkStart w:id="12" w:name="_Toc240432230"/>
      <w:bookmarkStart w:id="13" w:name="_Toc435540980"/>
      <w:bookmarkStart w:id="14" w:name="_Toc390713968"/>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10"/>
      <w:bookmarkEnd w:id="11"/>
      <w:bookmarkEnd w:id="12"/>
      <w:bookmarkEnd w:id="13"/>
      <w:bookmarkEnd w:id="14"/>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eastAsia" w:cs="Times New Roman"/>
                <w:kern w:val="0"/>
                <w:sz w:val="21"/>
                <w:szCs w:val="21"/>
                <w:lang w:val="en-US" w:eastAsia="zh-CN"/>
              </w:rPr>
            </w:pPr>
            <w:r>
              <w:rPr>
                <w:rFonts w:ascii="Segoe UI Symbol" w:hAnsi="Segoe UI Symbol" w:cs="Segoe UI Symbol" w:eastAsiaTheme="minorEastAsia"/>
                <w:kern w:val="0"/>
                <w:sz w:val="21"/>
                <w:szCs w:val="21"/>
              </w:rPr>
              <w:t>★</w:t>
            </w:r>
            <w:r>
              <w:rPr>
                <w:rFonts w:hint="eastAsia" w:cs="Times New Roman"/>
                <w:kern w:val="0"/>
                <w:sz w:val="21"/>
                <w:szCs w:val="21"/>
                <w:lang w:val="en-US" w:eastAsia="zh-CN"/>
              </w:rPr>
              <w:t>参数1  彩色显示屏幕≥12寸</w:t>
            </w:r>
          </w:p>
          <w:p>
            <w:pPr>
              <w:widowControl/>
              <w:snapToGrid w:val="0"/>
              <w:spacing w:line="240" w:lineRule="auto"/>
              <w:contextualSpacing/>
              <w:jc w:val="left"/>
              <w:rPr>
                <w:rFonts w:hint="eastAsia" w:cs="Times New Roman"/>
                <w:kern w:val="0"/>
                <w:sz w:val="21"/>
                <w:szCs w:val="21"/>
                <w:lang w:val="en-US" w:eastAsia="zh-CN"/>
              </w:rPr>
            </w:pPr>
            <w:r>
              <w:rPr>
                <w:rFonts w:hint="eastAsia" w:cs="Times New Roman"/>
                <w:kern w:val="0"/>
                <w:sz w:val="21"/>
                <w:szCs w:val="21"/>
                <w:lang w:val="en-US" w:eastAsia="zh-CN"/>
              </w:rPr>
              <w:t>分辨率≥800*600</w:t>
            </w:r>
          </w:p>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hint="eastAsia" w:cs="Times New Roman"/>
                <w:kern w:val="0"/>
                <w:sz w:val="21"/>
                <w:szCs w:val="21"/>
                <w:lang w:val="en-US" w:eastAsia="zh-CN"/>
              </w:rPr>
              <w:t>观察波形通道≥8道</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0"/>
                <w:szCs w:val="2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ascii="Segoe UI Symbol" w:hAnsi="Segoe UI Symbol" w:cs="Segoe UI Symbol" w:eastAsiaTheme="minorEastAsia"/>
                <w:kern w:val="0"/>
                <w:sz w:val="21"/>
                <w:szCs w:val="21"/>
              </w:rPr>
              <w:t>★</w:t>
            </w:r>
            <w:r>
              <w:rPr>
                <w:rFonts w:cs="Times New Roman" w:eastAsiaTheme="minorEastAsia"/>
                <w:kern w:val="0"/>
                <w:sz w:val="21"/>
                <w:szCs w:val="21"/>
              </w:rPr>
              <w:t>参数2</w:t>
            </w:r>
            <w:r>
              <w:rPr>
                <w:rFonts w:hint="eastAsia" w:cs="Times New Roman"/>
                <w:kern w:val="0"/>
                <w:sz w:val="21"/>
                <w:szCs w:val="21"/>
                <w:lang w:val="en-US" w:eastAsia="zh-CN"/>
              </w:rPr>
              <w:t xml:space="preserve">  </w:t>
            </w:r>
            <w:r>
              <w:rPr>
                <w:rFonts w:hint="eastAsia" w:ascii="宋体" w:hAnsi="宋体" w:cs="宋体"/>
                <w:bCs/>
                <w:kern w:val="0"/>
              </w:rPr>
              <w:t>标准配置可监测心电、呼吸、无创血压、血氧饱和度、</w:t>
            </w:r>
            <w:r>
              <w:rPr>
                <w:rFonts w:ascii="宋体" w:hAnsi="宋体" w:cs="宋体"/>
                <w:bCs/>
                <w:kern w:val="0"/>
              </w:rPr>
              <w:t>脉率</w:t>
            </w:r>
            <w:r>
              <w:rPr>
                <w:rFonts w:hint="eastAsia" w:ascii="宋体" w:hAnsi="宋体" w:cs="宋体"/>
                <w:bCs/>
                <w:kern w:val="0"/>
              </w:rPr>
              <w:t>等</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▲参数3</w:t>
            </w:r>
            <w:r>
              <w:rPr>
                <w:rFonts w:hint="eastAsia" w:cs="Times New Roman"/>
                <w:kern w:val="0"/>
                <w:sz w:val="21"/>
                <w:szCs w:val="21"/>
                <w:lang w:val="en-US" w:eastAsia="zh-CN"/>
              </w:rPr>
              <w:t xml:space="preserve">  </w:t>
            </w:r>
            <w:r>
              <w:rPr>
                <w:rFonts w:hint="eastAsia" w:ascii="宋体" w:hAnsi="宋体" w:cs="宋体"/>
                <w:bCs/>
                <w:kern w:val="0"/>
              </w:rPr>
              <w:t>单台监护仪（无需连接中央站）可存储、查看≥10道波形的全息无压缩波形，上述10道以上的全息波形，同步存储时间均要求≥48小时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4</w:t>
            </w:r>
            <w:r>
              <w:rPr>
                <w:rFonts w:hint="eastAsia" w:cs="Times New Roman"/>
                <w:kern w:val="0"/>
                <w:sz w:val="21"/>
                <w:szCs w:val="21"/>
                <w:lang w:val="en-US" w:eastAsia="zh-CN"/>
              </w:rPr>
              <w:t xml:space="preserve">  </w:t>
            </w:r>
            <w:r>
              <w:rPr>
                <w:rFonts w:hint="eastAsia" w:ascii="宋体" w:hAnsi="宋体" w:cs="Calibri"/>
                <w:szCs w:val="18"/>
              </w:rPr>
              <w:t>血氧饱和度能做到智能延迟报警</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5</w:t>
            </w:r>
            <w:r>
              <w:rPr>
                <w:rFonts w:hint="eastAsia" w:cs="Times New Roman"/>
                <w:kern w:val="0"/>
                <w:sz w:val="21"/>
                <w:szCs w:val="21"/>
                <w:lang w:val="en-US" w:eastAsia="zh-CN"/>
              </w:rPr>
              <w:t xml:space="preserve">  </w:t>
            </w:r>
            <w:r>
              <w:rPr>
                <w:rFonts w:hint="eastAsia" w:ascii="宋体" w:hAnsi="宋体" w:cs="Calibri"/>
                <w:szCs w:val="18"/>
              </w:rPr>
              <w:t>可升级呼气末二氧化碳，同一模块支持主流/旁流两种二氧化碳</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6</w:t>
            </w:r>
            <w:r>
              <w:rPr>
                <w:rFonts w:hint="eastAsia" w:cs="Times New Roman"/>
                <w:kern w:val="0"/>
                <w:sz w:val="21"/>
                <w:szCs w:val="21"/>
                <w:lang w:val="en-US" w:eastAsia="zh-CN"/>
              </w:rPr>
              <w:t xml:space="preserve">  </w:t>
            </w:r>
            <w:r>
              <w:rPr>
                <w:rFonts w:hint="eastAsia" w:ascii="宋体" w:hAnsi="宋体" w:cs="Calibri"/>
                <w:szCs w:val="18"/>
              </w:rPr>
              <w:t>标配3/5导联ECG功能，可选配12导联心电功能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7</w:t>
            </w:r>
            <w:r>
              <w:rPr>
                <w:rFonts w:hint="eastAsia" w:cs="Times New Roman"/>
                <w:kern w:val="0"/>
                <w:sz w:val="21"/>
                <w:szCs w:val="21"/>
                <w:lang w:val="en-US" w:eastAsia="zh-CN"/>
              </w:rPr>
              <w:t xml:space="preserve">  </w:t>
            </w:r>
            <w:r>
              <w:rPr>
                <w:rFonts w:hint="eastAsia" w:ascii="宋体" w:hAnsi="宋体" w:cs="宋体"/>
                <w:bCs/>
                <w:kern w:val="0"/>
              </w:rPr>
              <w:t>模块化、插件式床边监护仪，主机、显示屏和插件槽一体化设计</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8</w:t>
            </w:r>
            <w:r>
              <w:rPr>
                <w:rFonts w:hint="eastAsia" w:cs="Times New Roman"/>
                <w:kern w:val="0"/>
                <w:sz w:val="21"/>
                <w:szCs w:val="21"/>
                <w:lang w:val="en-US" w:eastAsia="zh-CN"/>
              </w:rPr>
              <w:t xml:space="preserve">  </w:t>
            </w:r>
            <w:r>
              <w:rPr>
                <w:rFonts w:hint="eastAsia" w:ascii="宋体" w:hAnsi="宋体" w:cs="宋体"/>
                <w:bCs/>
                <w:kern w:val="0"/>
              </w:rPr>
              <w:t>具备≥20种心律失常分析功能</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1"/>
                <w:szCs w:val="21"/>
                <w:lang w:val="en-US" w:eastAsia="zh-CN"/>
              </w:rPr>
            </w:pPr>
            <w:r>
              <w:rPr>
                <w:rFonts w:cs="Times New Roman" w:eastAsiaTheme="minorEastAsia"/>
                <w:kern w:val="0"/>
                <w:sz w:val="21"/>
                <w:szCs w:val="21"/>
              </w:rPr>
              <w:t>参数</w:t>
            </w:r>
            <w:r>
              <w:rPr>
                <w:rFonts w:hint="eastAsia" w:cs="Times New Roman" w:eastAsiaTheme="minorEastAsia"/>
                <w:kern w:val="0"/>
                <w:sz w:val="21"/>
                <w:szCs w:val="21"/>
              </w:rPr>
              <w:t>9</w:t>
            </w:r>
            <w:r>
              <w:rPr>
                <w:rFonts w:hint="eastAsia" w:cs="Times New Roman"/>
                <w:kern w:val="0"/>
                <w:sz w:val="21"/>
                <w:szCs w:val="21"/>
                <w:lang w:val="en-US" w:eastAsia="zh-CN"/>
              </w:rPr>
              <w:t xml:space="preserve">  </w:t>
            </w:r>
            <w:r>
              <w:rPr>
                <w:rFonts w:hint="eastAsia" w:ascii="宋体" w:hAnsi="宋体" w:cs="宋体"/>
                <w:bCs/>
                <w:kern w:val="0"/>
              </w:rPr>
              <w:t>导联脱落监测功能</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cs="Times New Roman" w:eastAsiaTheme="minorEastAsia"/>
                <w:kern w:val="0"/>
                <w:sz w:val="21"/>
                <w:szCs w:val="21"/>
              </w:rPr>
              <w:t>参数1</w:t>
            </w:r>
            <w:r>
              <w:rPr>
                <w:rFonts w:hint="eastAsia" w:cs="Times New Roman" w:eastAsiaTheme="minorEastAsia"/>
                <w:kern w:val="0"/>
                <w:sz w:val="21"/>
                <w:szCs w:val="21"/>
              </w:rPr>
              <w:t>0</w:t>
            </w:r>
            <w:r>
              <w:rPr>
                <w:rFonts w:hint="eastAsia" w:cs="Times New Roman"/>
                <w:kern w:val="0"/>
                <w:sz w:val="21"/>
                <w:szCs w:val="21"/>
                <w:lang w:val="en-US" w:eastAsia="zh-CN"/>
              </w:rPr>
              <w:t xml:space="preserve">  </w:t>
            </w:r>
            <w:r>
              <w:rPr>
                <w:rFonts w:hint="eastAsia" w:ascii="宋体" w:hAnsi="宋体" w:cs="宋体"/>
                <w:bCs/>
                <w:kern w:val="0"/>
              </w:rPr>
              <w:t>血氧探头与主机同品牌</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napToGrid w:val="0"/>
              <w:spacing w:line="240" w:lineRule="auto"/>
              <w:contextualSpacing/>
              <w:jc w:val="left"/>
              <w:rPr>
                <w:rFonts w:cs="Times New Roman" w:eastAsiaTheme="minorEastAsia"/>
                <w:kern w:val="0"/>
                <w:sz w:val="21"/>
                <w:szCs w:val="21"/>
              </w:rPr>
            </w:pPr>
            <w:r>
              <w:rPr>
                <w:rFonts w:cs="Times New Roman" w:eastAsiaTheme="minorEastAsia"/>
                <w:kern w:val="0"/>
                <w:sz w:val="21"/>
                <w:szCs w:val="21"/>
              </w:rPr>
              <w:t>参数1</w:t>
            </w:r>
            <w:r>
              <w:rPr>
                <w:rFonts w:hint="eastAsia" w:cs="Times New Roman" w:eastAsiaTheme="minorEastAsia"/>
                <w:kern w:val="0"/>
                <w:sz w:val="21"/>
                <w:szCs w:val="21"/>
              </w:rPr>
              <w:t>1</w:t>
            </w:r>
            <w:r>
              <w:rPr>
                <w:rFonts w:hint="eastAsia" w:cs="Times New Roman"/>
                <w:kern w:val="0"/>
                <w:sz w:val="21"/>
                <w:szCs w:val="21"/>
                <w:lang w:val="en-US" w:eastAsia="zh-CN"/>
              </w:rPr>
              <w:t xml:space="preserve">  </w:t>
            </w:r>
            <w:r>
              <w:rPr>
                <w:rFonts w:hint="eastAsia" w:ascii="宋体" w:hAnsi="宋体" w:cs="宋体"/>
                <w:bCs/>
                <w:kern w:val="0"/>
              </w:rPr>
              <w:t>锂电池供电时间: ≥2h</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5" w:name="_Toc285612603"/>
      <w:bookmarkStart w:id="16" w:name="_Toc37172690"/>
      <w:bookmarkStart w:id="17" w:name="_Toc390713969"/>
      <w:bookmarkStart w:id="18"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37172691"/>
      <w:bookmarkStart w:id="20" w:name="_Toc285612604"/>
      <w:bookmarkStart w:id="21" w:name="_Toc435540982"/>
      <w:bookmarkStart w:id="22" w:name="_Toc240432233"/>
      <w:bookmarkStart w:id="23" w:name="_Toc390713970"/>
      <w:r>
        <w:rPr>
          <w:rFonts w:hint="eastAsia" w:ascii="黑体" w:hAnsi="黑体" w:eastAsia="黑体" w:cs="Times New Roman"/>
          <w:kern w:val="0"/>
          <w:sz w:val="32"/>
          <w:szCs w:val="32"/>
        </w:rPr>
        <w:t>第五部分  附件/投标文件格式</w:t>
      </w:r>
      <w:bookmarkEnd w:id="19"/>
      <w:bookmarkEnd w:id="20"/>
      <w:bookmarkEnd w:id="21"/>
      <w:bookmarkEnd w:id="22"/>
      <w:bookmarkEnd w:id="23"/>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4"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4"/>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A903801"/>
    <w:rsid w:val="0C034D5B"/>
    <w:rsid w:val="1D1D420F"/>
    <w:rsid w:val="265E7F9C"/>
    <w:rsid w:val="27112A95"/>
    <w:rsid w:val="3A8F5BC3"/>
    <w:rsid w:val="3F92641F"/>
    <w:rsid w:val="64975810"/>
    <w:rsid w:val="65BD4F9F"/>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2</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2020-12-18T07:24:25Z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