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琼脂糖平板电泳仪</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2021-JL13(03)-W30072</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琼脂糖平板电泳仪</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2021-JL13(03)-W30072</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琼脂糖平板电泳仪</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2021-JL13(03)-W30072</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琼脂糖平板电泳仪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0.8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390713967"/>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琼脂糖平板电泳仪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90713968"/>
      <w:bookmarkStart w:id="11" w:name="_Toc37780285"/>
      <w:bookmarkStart w:id="12" w:name="_Toc43554098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435540981"/>
      <w:bookmarkStart w:id="17" w:name="_Toc37780286"/>
      <w:bookmarkStart w:id="18" w:name="_Toc285612603"/>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435540982"/>
      <w:bookmarkStart w:id="21" w:name="_Toc37780287"/>
      <w:bookmarkStart w:id="22" w:name="_Toc37172691"/>
      <w:bookmarkStart w:id="23" w:name="_Toc390713970"/>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宋体" w:eastAsia="方正小标宋简体" w:cs="宋体"/>
          <w:bCs/>
          <w:kern w:val="0"/>
          <w:sz w:val="28"/>
          <w:szCs w:val="32"/>
          <w:lang w:eastAsia="zh-CN"/>
        </w:rPr>
      </w:pPr>
      <w:bookmarkStart w:id="26" w:name="_GoBack"/>
      <w:r>
        <w:rPr>
          <w:rFonts w:hint="eastAsia" w:ascii="方正小标宋简体" w:hAnsi="宋体" w:eastAsia="方正小标宋简体" w:cs="宋体"/>
          <w:bCs/>
          <w:kern w:val="0"/>
          <w:sz w:val="40"/>
          <w:szCs w:val="44"/>
        </w:rPr>
        <w:t>琼脂糖平板电泳仪</w:t>
      </w:r>
      <w:bookmarkEnd w:id="26"/>
      <w:r>
        <w:rPr>
          <w:rFonts w:hint="eastAsia" w:ascii="方正小标宋简体" w:hAnsi="宋体" w:eastAsia="方正小标宋简体" w:cs="宋体"/>
          <w:bCs/>
          <w:kern w:val="0"/>
          <w:sz w:val="40"/>
          <w:szCs w:val="44"/>
          <w:lang w:eastAsia="zh-CN"/>
        </w:rPr>
        <w:t>技术要求</w:t>
      </w:r>
    </w:p>
    <w:tbl>
      <w:tblPr>
        <w:tblStyle w:val="17"/>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171"/>
        <w:gridCol w:w="5448"/>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blHeader/>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技术和性能参数</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名称</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1</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设备使用需求</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1.1</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设备用途</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Calibri" w:asciiTheme="minorEastAsia" w:hAnsiTheme="minorEastAsia"/>
                <w:kern w:val="0"/>
                <w:szCs w:val="21"/>
              </w:rPr>
            </w:pPr>
            <w:r>
              <w:rPr>
                <w:rFonts w:hint="eastAsia" w:cs="宋体" w:asciiTheme="minorEastAsia" w:hAnsiTheme="minorEastAsia"/>
                <w:szCs w:val="21"/>
                <w:lang w:bidi="ar"/>
              </w:rPr>
              <w:t>主要用于</w:t>
            </w:r>
            <w:r>
              <w:rPr>
                <w:rFonts w:hint="eastAsia" w:asciiTheme="minorEastAsia" w:hAnsiTheme="minorEastAsia"/>
                <w:color w:val="000000"/>
                <w:kern w:val="0"/>
                <w:szCs w:val="21"/>
              </w:rPr>
              <w:t>PCR产物分析、限制性酶解分析、Northern</w:t>
            </w:r>
            <w:r>
              <w:rPr>
                <w:rFonts w:asciiTheme="minorEastAsia" w:hAnsiTheme="minorEastAsia"/>
                <w:color w:val="000000"/>
                <w:kern w:val="0"/>
                <w:szCs w:val="21"/>
              </w:rPr>
              <w:t>&amp;</w:t>
            </w:r>
            <w:r>
              <w:rPr>
                <w:rFonts w:hint="eastAsia" w:cs="Calibri" w:asciiTheme="minorEastAsia" w:hAnsiTheme="minorEastAsia"/>
                <w:color w:val="000000"/>
                <w:kern w:val="0"/>
                <w:szCs w:val="21"/>
              </w:rPr>
              <w:t>Southern印记转移</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kern w:val="0"/>
                <w:szCs w:val="21"/>
              </w:rPr>
            </w:pPr>
            <w:r>
              <w:rPr>
                <w:rFonts w:hint="eastAsia" w:cs="宋体" w:asciiTheme="minorEastAsia" w:hAnsiTheme="minorEastAsia"/>
                <w:b/>
                <w:kern w:val="0"/>
                <w:szCs w:val="21"/>
              </w:rPr>
              <w:t>2</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主要技术参数</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（一行只写一个参数）</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　</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2.1</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★参数1</w:t>
            </w:r>
          </w:p>
        </w:tc>
        <w:tc>
          <w:tcPr>
            <w:tcW w:w="5448" w:type="dxa"/>
            <w:vAlign w:val="center"/>
          </w:tcPr>
          <w:p>
            <w:pPr>
              <w:pStyle w:val="46"/>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电流：4-600mA（1 mA 连续可调）；</w:t>
            </w:r>
            <w:r>
              <w:rPr>
                <w:rFonts w:hint="eastAsia" w:cs="宋体" w:asciiTheme="minorEastAsia" w:hAnsiTheme="minorEastAsia" w:eastAsiaTheme="minorEastAsia"/>
                <w:szCs w:val="21"/>
              </w:rPr>
              <w:t>电压：10-300 V（1V连续可调）；功率：</w:t>
            </w:r>
            <w:r>
              <w:rPr>
                <w:rFonts w:cs="宋体" w:asciiTheme="minorEastAsia" w:hAnsiTheme="minorEastAsia" w:eastAsiaTheme="minorEastAsia"/>
                <w:szCs w:val="21"/>
              </w:rPr>
              <w:t>100</w:t>
            </w:r>
            <w:r>
              <w:rPr>
                <w:rFonts w:hint="eastAsia" w:cs="宋体" w:asciiTheme="minorEastAsia" w:hAnsiTheme="minorEastAsia" w:eastAsiaTheme="minorEastAsia"/>
                <w:szCs w:val="21"/>
              </w:rPr>
              <w:t xml:space="preserve"> W (最大)</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2.2</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★参数2</w:t>
            </w:r>
          </w:p>
        </w:tc>
        <w:tc>
          <w:tcPr>
            <w:tcW w:w="5448" w:type="dxa"/>
            <w:vAlign w:val="center"/>
          </w:tcPr>
          <w:p>
            <w:pPr>
              <w:pStyle w:val="8"/>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样品通量：2 – 50 个</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2.3</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参数3</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r>
              <w:rPr>
                <w:rFonts w:hint="eastAsia" w:cs="宋体" w:asciiTheme="minorEastAsia" w:hAnsiTheme="minorEastAsia"/>
                <w:szCs w:val="21"/>
              </w:rPr>
              <w:t>安全标准： 符合欧盟CE标准，EN61010</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2.4</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Theme="minorEastAsia" w:hAnsiTheme="minorEastAsia"/>
                <w:szCs w:val="21"/>
              </w:rPr>
            </w:pPr>
            <w:r>
              <w:rPr>
                <w:rFonts w:hint="eastAsia" w:cs="宋体" w:asciiTheme="minorEastAsia" w:hAnsiTheme="minorEastAsia"/>
                <w:kern w:val="0"/>
                <w:szCs w:val="21"/>
              </w:rPr>
              <w:t>参数4</w:t>
            </w:r>
          </w:p>
        </w:tc>
        <w:tc>
          <w:tcPr>
            <w:tcW w:w="5448" w:type="dxa"/>
            <w:vAlign w:val="center"/>
          </w:tcPr>
          <w:p>
            <w:pPr>
              <w:pStyle w:val="46"/>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cs="宋体" w:asciiTheme="minorEastAsia" w:hAnsiTheme="minorEastAsia" w:eastAsiaTheme="minorEastAsia"/>
                <w:szCs w:val="21"/>
              </w:rPr>
              <w:t>1</w:t>
            </w:r>
            <w:r>
              <w:rPr>
                <w:rFonts w:hint="eastAsia" w:cs="宋体" w:asciiTheme="minorEastAsia" w:hAnsiTheme="minorEastAsia" w:eastAsiaTheme="minorEastAsia"/>
                <w:szCs w:val="21"/>
              </w:rPr>
              <w:t>)带有荧光标尺的透照凝胶托盘;</w:t>
            </w:r>
          </w:p>
          <w:p>
            <w:pPr>
              <w:pStyle w:val="46"/>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cs="宋体" w:asciiTheme="minorEastAsia" w:hAnsiTheme="minorEastAsia" w:eastAsiaTheme="minorEastAsia"/>
                <w:szCs w:val="21"/>
              </w:rPr>
              <w:t>2</w:t>
            </w:r>
            <w:r>
              <w:rPr>
                <w:rFonts w:hint="eastAsia" w:cs="宋体" w:asciiTheme="minorEastAsia" w:hAnsiTheme="minorEastAsia" w:eastAsiaTheme="minorEastAsia"/>
                <w:szCs w:val="21"/>
              </w:rPr>
              <w:t>)具有多种不同大小的手铺胶选择。</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2.5</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参数5</w:t>
            </w:r>
          </w:p>
        </w:tc>
        <w:tc>
          <w:tcPr>
            <w:tcW w:w="5448" w:type="dxa"/>
            <w:vAlign w:val="center"/>
          </w:tcPr>
          <w:p>
            <w:pPr>
              <w:pStyle w:val="46"/>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asciiTheme="minorEastAsia" w:hAnsiTheme="minorEastAsia" w:eastAsiaTheme="minorEastAsia"/>
                <w:szCs w:val="21"/>
              </w:rPr>
            </w:pPr>
            <w:r>
              <w:rPr>
                <w:rFonts w:asciiTheme="minorEastAsia" w:hAnsiTheme="minorEastAsia" w:eastAsiaTheme="minorEastAsia"/>
                <w:szCs w:val="21"/>
              </w:rPr>
              <w:t>制胶器模具成型，可以制作4种不同的胶；</w:t>
            </w:r>
            <w:r>
              <w:rPr>
                <w:rFonts w:hint="eastAsia" w:asciiTheme="minorEastAsia" w:hAnsiTheme="minorEastAsia" w:eastAsiaTheme="minorEastAsia"/>
                <w:szCs w:val="21"/>
              </w:rPr>
              <w:t>制胶器有</w:t>
            </w:r>
            <w:r>
              <w:rPr>
                <w:rFonts w:asciiTheme="minorEastAsia" w:hAnsiTheme="minorEastAsia" w:eastAsiaTheme="minorEastAsia"/>
                <w:szCs w:val="21"/>
              </w:rPr>
              <w:t>限位功能，</w:t>
            </w:r>
            <w:r>
              <w:rPr>
                <w:rFonts w:hint="eastAsia" w:asciiTheme="minorEastAsia" w:hAnsiTheme="minorEastAsia" w:eastAsiaTheme="minorEastAsia"/>
                <w:szCs w:val="21"/>
              </w:rPr>
              <w:t>保证</w:t>
            </w:r>
            <w:r>
              <w:rPr>
                <w:rFonts w:asciiTheme="minorEastAsia" w:hAnsiTheme="minorEastAsia" w:eastAsiaTheme="minorEastAsia"/>
                <w:szCs w:val="21"/>
              </w:rPr>
              <w:t>操作准确</w:t>
            </w:r>
            <w:r>
              <w:rPr>
                <w:rFonts w:hint="eastAsia" w:asciiTheme="minorEastAsia" w:hAnsiTheme="minorEastAsia" w:eastAsiaTheme="minorEastAsia"/>
                <w:szCs w:val="21"/>
              </w:rPr>
              <w:t>；</w:t>
            </w:r>
            <w:r>
              <w:rPr>
                <w:rFonts w:asciiTheme="minorEastAsia" w:hAnsiTheme="minorEastAsia" w:eastAsiaTheme="minorEastAsia"/>
                <w:szCs w:val="21"/>
              </w:rPr>
              <w:t>电泳槽，梳子，托盘和凝胶板均由进口PC注塑成型，不变形</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2.6</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Theme="minorEastAsia" w:hAnsiTheme="minorEastAsia"/>
                <w:szCs w:val="21"/>
              </w:rPr>
            </w:pPr>
            <w:r>
              <w:rPr>
                <w:rFonts w:hint="eastAsia" w:cs="宋体" w:asciiTheme="minorEastAsia" w:hAnsiTheme="minorEastAsia"/>
                <w:kern w:val="0"/>
                <w:szCs w:val="21"/>
              </w:rPr>
              <w:t>参数6</w:t>
            </w:r>
          </w:p>
        </w:tc>
        <w:tc>
          <w:tcPr>
            <w:tcW w:w="5448" w:type="dxa"/>
            <w:vAlign w:val="center"/>
          </w:tcPr>
          <w:p>
            <w:pPr>
              <w:pStyle w:val="46"/>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外形尺寸(WxLxH)：≥ 290×150×65mm；凝胶托盘规格(L×W)：60×60mm；120×60mm；60×120mm；120×120mm</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2.8</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Theme="minorEastAsia" w:hAnsiTheme="minorEastAsia"/>
                <w:szCs w:val="21"/>
              </w:rPr>
            </w:pPr>
            <w:r>
              <w:rPr>
                <w:rFonts w:hint="eastAsia" w:cs="宋体" w:asciiTheme="minorEastAsia" w:hAnsiTheme="minorEastAsia"/>
                <w:kern w:val="0"/>
                <w:szCs w:val="21"/>
              </w:rPr>
              <w:t>参数8</w:t>
            </w:r>
          </w:p>
        </w:tc>
        <w:tc>
          <w:tcPr>
            <w:tcW w:w="5448" w:type="dxa"/>
            <w:vAlign w:val="center"/>
          </w:tcPr>
          <w:p>
            <w:pPr>
              <w:pStyle w:val="46"/>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安全性能：空载监测；荷载突变监测；地面漏电保护；过载/短路监测；过压保护</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2.9</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Theme="minorEastAsia" w:hAnsiTheme="minorEastAsia"/>
                <w:szCs w:val="21"/>
              </w:rPr>
            </w:pPr>
            <w:r>
              <w:rPr>
                <w:rFonts w:hint="eastAsia" w:cs="宋体" w:asciiTheme="minorEastAsia" w:hAnsiTheme="minorEastAsia"/>
                <w:kern w:val="0"/>
                <w:szCs w:val="21"/>
              </w:rPr>
              <w:t>参数9</w:t>
            </w:r>
          </w:p>
        </w:tc>
        <w:tc>
          <w:tcPr>
            <w:tcW w:w="5448" w:type="dxa"/>
            <w:vAlign w:val="center"/>
          </w:tcPr>
          <w:p>
            <w:pPr>
              <w:pStyle w:val="8"/>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可同时加载4个电泳槽</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2.10</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参数10</w:t>
            </w:r>
          </w:p>
        </w:tc>
        <w:tc>
          <w:tcPr>
            <w:tcW w:w="5448" w:type="dxa"/>
            <w:vAlign w:val="center"/>
          </w:tcPr>
          <w:p>
            <w:pPr>
              <w:pStyle w:val="8"/>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输出插孔：4对并联；断电后自动恢复</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2.11</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参数11</w:t>
            </w:r>
          </w:p>
        </w:tc>
        <w:tc>
          <w:tcPr>
            <w:tcW w:w="5448" w:type="dxa"/>
            <w:vAlign w:val="center"/>
          </w:tcPr>
          <w:p>
            <w:pPr>
              <w:pStyle w:val="8"/>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操作条件：0-40℃；0-95%</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kern w:val="0"/>
                <w:szCs w:val="21"/>
              </w:rPr>
            </w:pPr>
            <w:r>
              <w:rPr>
                <w:rFonts w:hint="eastAsia" w:cs="宋体" w:asciiTheme="minorEastAsia" w:hAnsiTheme="minorEastAsia"/>
                <w:b/>
                <w:kern w:val="0"/>
                <w:szCs w:val="21"/>
              </w:rPr>
              <w:t>3</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配置需求</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（一行只写一个配置）</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kern w:val="0"/>
                <w:szCs w:val="21"/>
              </w:rPr>
            </w:pPr>
            <w:r>
              <w:rPr>
                <w:rFonts w:hint="eastAsia" w:cs="宋体" w:asciiTheme="minorEastAsia" w:hAnsiTheme="minorEastAsia"/>
                <w:b/>
                <w:kern w:val="0"/>
                <w:szCs w:val="21"/>
              </w:rPr>
              <w:t>3</w:t>
            </w:r>
            <w:r>
              <w:rPr>
                <w:rFonts w:cs="宋体" w:asciiTheme="minorEastAsia" w:hAnsiTheme="minorEastAsia"/>
                <w:b/>
                <w:kern w:val="0"/>
                <w:szCs w:val="21"/>
              </w:rPr>
              <w:t>.1</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kern w:val="0"/>
                <w:szCs w:val="21"/>
              </w:rPr>
              <w:t>配置1</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r>
              <w:rPr>
                <w:rFonts w:hint="eastAsia" w:cs="宋体" w:asciiTheme="minorEastAsia" w:hAnsiTheme="minorEastAsia"/>
                <w:szCs w:val="21"/>
              </w:rPr>
              <w:t>电泳电源一台</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2</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配置</w:t>
            </w:r>
            <w:r>
              <w:rPr>
                <w:rFonts w:cs="宋体" w:asciiTheme="minorEastAsia" w:hAnsiTheme="minorEastAsia"/>
                <w:kern w:val="0"/>
                <w:szCs w:val="21"/>
              </w:rPr>
              <w:t>2</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r>
              <w:rPr>
                <w:rFonts w:hint="eastAsia" w:cs="宋体" w:asciiTheme="minorEastAsia" w:hAnsiTheme="minorEastAsia"/>
                <w:szCs w:val="21"/>
              </w:rPr>
              <w:t xml:space="preserve">电泳槽缓冲液槽和上盖各一个 </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.3</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配置</w:t>
            </w:r>
            <w:r>
              <w:rPr>
                <w:rFonts w:cs="宋体" w:asciiTheme="minorEastAsia" w:hAnsiTheme="minorEastAsia"/>
                <w:kern w:val="0"/>
                <w:szCs w:val="21"/>
              </w:rPr>
              <w:t>3</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r>
              <w:rPr>
                <w:rFonts w:hint="eastAsia" w:cs="宋体" w:asciiTheme="minorEastAsia" w:hAnsiTheme="minorEastAsia"/>
                <w:szCs w:val="21"/>
              </w:rPr>
              <w:t>制胶托盘一个，凝胶托盘60×60mm两个，120×60mm、60×120mm、120×120mm各一个， 1.0 mm，11和25孔；1.5 mm，6和13孔；1.5 mm，8和18孔；2.0 mm 2孔和3孔各一把。</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3.2</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配置</w:t>
            </w:r>
            <w:r>
              <w:rPr>
                <w:rFonts w:cs="宋体" w:asciiTheme="minorEastAsia" w:hAnsiTheme="minorEastAsia"/>
                <w:kern w:val="0"/>
                <w:szCs w:val="21"/>
              </w:rPr>
              <w:t>4</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color w:val="FF0000"/>
                <w:szCs w:val="21"/>
              </w:rPr>
            </w:pPr>
            <w:r>
              <w:rPr>
                <w:rFonts w:hint="eastAsia" w:cs="宋体" w:asciiTheme="minorEastAsia" w:hAnsiTheme="minorEastAsia"/>
                <w:szCs w:val="21"/>
              </w:rPr>
              <w:t>样品梳子：1.0 mm，11和25孔一把；1.5 mm，6和13孔一把；1.5 mm，8和18孔一把；2.0 mm 2孔和3孔一把。</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4</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ind w:left="357" w:firstLine="360"/>
              <w:textAlignment w:val="auto"/>
              <w:rPr>
                <w:rFonts w:cs="宋体" w:asciiTheme="minorEastAsia" w:hAnsiTheme="minorEastAsia"/>
                <w:szCs w:val="21"/>
              </w:rPr>
            </w:pP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4.1</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保修年限</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r>
              <w:rPr>
                <w:rFonts w:hint="eastAsia" w:cs="宋体" w:asciiTheme="minorEastAsia" w:hAnsiTheme="minorEastAsia"/>
                <w:kern w:val="0"/>
                <w:szCs w:val="21"/>
              </w:rPr>
              <w:t>≥3年</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4.2</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出现故障回应时间</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r>
              <w:rPr>
                <w:rFonts w:hint="eastAsia" w:cs="宋体" w:asciiTheme="minorEastAsia" w:hAnsiTheme="minorEastAsia"/>
                <w:kern w:val="0"/>
                <w:szCs w:val="21"/>
              </w:rPr>
              <w:t>维修到达现场时间≤ 6小时（本地）</w:t>
            </w:r>
            <w:r>
              <w:rPr>
                <w:rFonts w:hint="eastAsia" w:cs="宋体" w:asciiTheme="minorEastAsia" w:hAnsiTheme="minorEastAsia"/>
                <w:kern w:val="0"/>
                <w:szCs w:val="21"/>
              </w:rPr>
              <w:br w:type="textWrapping"/>
            </w:r>
            <w:r>
              <w:rPr>
                <w:rFonts w:hint="eastAsia" w:cs="宋体" w:asciiTheme="minorEastAsia" w:hAnsiTheme="minorEastAsia"/>
                <w:kern w:val="0"/>
                <w:szCs w:val="21"/>
              </w:rPr>
              <w:t>维修到达现场时间≤24小时（外地</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4.3</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维修支持</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r>
              <w:rPr>
                <w:rFonts w:hint="eastAsia" w:cs="宋体" w:asciiTheme="minorEastAsia" w:hAnsiTheme="minorEastAsia"/>
                <w:kern w:val="0"/>
                <w:szCs w:val="21"/>
              </w:rPr>
              <w:t>配件供应时间≥10年</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4.4</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耗材及零配件</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r>
              <w:rPr>
                <w:rFonts w:hint="eastAsia" w:cs="宋体" w:asciiTheme="minorEastAsia" w:hAnsiTheme="minorEastAsia"/>
                <w:szCs w:val="21"/>
              </w:rPr>
              <w:t>提供耗材及主要零配件目录（含报价）</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4.5</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维修资料</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r>
              <w:rPr>
                <w:rFonts w:hint="eastAsia" w:cs="宋体" w:asciiTheme="minorEastAsia" w:hAnsiTheme="minorEastAsia"/>
                <w:kern w:val="0"/>
                <w:szCs w:val="21"/>
              </w:rPr>
              <w:t>提供详细操作手册、维修保养手册、安装手册等</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4.6</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维修工具</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r>
              <w:rPr>
                <w:rFonts w:hint="eastAsia" w:cs="宋体" w:asciiTheme="minorEastAsia" w:hAnsiTheme="minorEastAsia"/>
                <w:kern w:val="0"/>
                <w:szCs w:val="21"/>
              </w:rPr>
              <w:t>提供维修专用工具1套</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4.7</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r>
              <w:rPr>
                <w:rFonts w:hint="eastAsia" w:cs="宋体" w:asciiTheme="minorEastAsia" w:hAnsiTheme="minorEastAsia"/>
                <w:kern w:val="0"/>
                <w:szCs w:val="21"/>
              </w:rPr>
              <w:t>保修期内提供定期维护保养服务</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4.8</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维修密码支持</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r>
              <w:rPr>
                <w:rFonts w:hint="eastAsia" w:cs="宋体" w:asciiTheme="minorEastAsia" w:hAnsiTheme="minorEastAsia"/>
                <w:kern w:val="0"/>
                <w:szCs w:val="21"/>
              </w:rPr>
              <w:t>开放</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4.9</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升级</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r>
              <w:rPr>
                <w:rFonts w:hint="eastAsia" w:cs="宋体" w:asciiTheme="minorEastAsia" w:hAnsiTheme="minorEastAsia"/>
                <w:kern w:val="0"/>
                <w:szCs w:val="21"/>
              </w:rPr>
              <w:t>终身免费软件升级</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4.10</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使用培训</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r>
              <w:rPr>
                <w:rFonts w:hint="eastAsia" w:cs="宋体" w:asciiTheme="minorEastAsia" w:hAnsiTheme="minorEastAsia"/>
                <w:szCs w:val="21"/>
              </w:rPr>
              <w:t>支持</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4.11</w:t>
            </w:r>
          </w:p>
        </w:tc>
        <w:tc>
          <w:tcPr>
            <w:tcW w:w="2171"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工程师培训</w:t>
            </w:r>
          </w:p>
        </w:tc>
        <w:tc>
          <w:tcPr>
            <w:tcW w:w="5448" w:type="dxa"/>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r>
              <w:rPr>
                <w:rFonts w:hint="eastAsia" w:cs="宋体" w:asciiTheme="minorEastAsia" w:hAnsiTheme="minorEastAsia"/>
                <w:szCs w:val="21"/>
              </w:rPr>
              <w:t>支持</w:t>
            </w:r>
          </w:p>
        </w:tc>
        <w:tc>
          <w:tcPr>
            <w:tcW w:w="646"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bl>
    <w:p>
      <w:pPr>
        <w:rPr>
          <w:rFonts w:ascii="黑体" w:hAnsi="黑体" w:eastAsia="黑体"/>
          <w:sz w:val="32"/>
          <w:szCs w:val="32"/>
        </w:rPr>
      </w:pPr>
    </w:p>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6771E6C"/>
    <w:rsid w:val="1EEF51FE"/>
    <w:rsid w:val="1F1C3038"/>
    <w:rsid w:val="28721247"/>
    <w:rsid w:val="3BB30E33"/>
    <w:rsid w:val="464E6EBE"/>
    <w:rsid w:val="48ED6FEB"/>
    <w:rsid w:val="541A0AD3"/>
    <w:rsid w:val="54507F18"/>
    <w:rsid w:val="60931FBB"/>
    <w:rsid w:val="648F679F"/>
    <w:rsid w:val="76BA7B85"/>
    <w:rsid w:val="77872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1</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2021-02-10T08:06:58Z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