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梯度PCR仪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2021-JL13(03)-W30022</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关于梯度PCR仪的采购</w:t>
      </w:r>
      <w:r>
        <w:rPr>
          <w:rFonts w:ascii="Tahoma" w:hAnsi="Tahoma" w:cs="Tahoma"/>
          <w:b/>
          <w:bCs/>
          <w:kern w:val="0"/>
          <w:sz w:val="28"/>
          <w:szCs w:val="28"/>
        </w:rPr>
        <w:t>公告</w:t>
      </w:r>
      <w:r>
        <w:rPr>
          <w:rFonts w:hint="eastAsia" w:ascii="Tahoma" w:hAnsi="Tahoma" w:cs="Tahoma"/>
          <w:kern w:val="0"/>
          <w:sz w:val="28"/>
          <w:szCs w:val="28"/>
        </w:rPr>
        <w:t>2021-JL13(03)-W30022</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梯度PCR仪</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2021-JL13(03)-W30022</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ascii="宋体" w:hAnsi="宋体" w:eastAsia="宋体" w:cs="Times New Roman"/>
                <w:kern w:val="0"/>
                <w:szCs w:val="21"/>
              </w:rPr>
              <w:t>梯度PCR仪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5.28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26</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20</w:t>
      </w:r>
      <w:bookmarkStart w:id="26" w:name="_GoBack"/>
      <w:bookmarkEnd w:id="26"/>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梯度PCR仪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40432230"/>
      <w:bookmarkStart w:id="11" w:name="_Toc285612601"/>
      <w:bookmarkStart w:id="12" w:name="_Toc390713968"/>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90713970"/>
      <w:bookmarkStart w:id="21" w:name="_Toc435540982"/>
      <w:bookmarkStart w:id="22" w:name="_Toc37780287"/>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_x0000_s1026" o:spid="_x0000_s1026" o:spt="202" type="#_x0000_t202" style="position:absolute;left:0pt;margin-left:226.9pt;margin-top:10.35pt;height:103.9pt;width:209.1pt;z-index:251661312;v-text-anchor:middle;mso-width-relative:page;mso-height-relative:page;"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9" o:spid="_x0000_s1029" o:spt="202" type="#_x0000_t202" style="position:absolute;left:0pt;margin-left:2.1pt;margin-top:10.35pt;height:103.9pt;width:206.6pt;z-index:251660288;v-text-anchor:middle;mso-width-relative:page;mso-height-relative:page;"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_x0000_s1028" o:spid="_x0000_s1028" o:spt="202" type="#_x0000_t202" style="position:absolute;left:0pt;margin-left:228.25pt;margin-top:14.25pt;height:105.95pt;width:210.95pt;z-index:251663360;v-text-anchor:middle;mso-width-relative:page;mso-height-relative:page;"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7" o:spid="_x0000_s1027" o:spt="202" type="#_x0000_t202" style="position:absolute;left:0pt;margin-left:1.4pt;margin-top:15.6pt;height:104.6pt;width:211.6pt;z-index:251662336;v-text-anchor:middle;mso-width-relative:page;mso-height-relative:page;"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ascii="方正小标宋简体" w:hAnsi="宋体" w:eastAsia="方正小标宋简体" w:cs="宋体"/>
          <w:bCs/>
          <w:kern w:val="0"/>
          <w:sz w:val="28"/>
          <w:szCs w:val="32"/>
        </w:rPr>
      </w:pPr>
      <w:r>
        <w:rPr>
          <w:rFonts w:hint="eastAsia" w:ascii="方正小标宋简体" w:hAnsi="宋体" w:eastAsia="方正小标宋简体" w:cs="宋体"/>
          <w:bCs/>
          <w:kern w:val="0"/>
          <w:sz w:val="40"/>
          <w:szCs w:val="44"/>
        </w:rPr>
        <w:t>梯度梯度PCR仪技术参数确认表</w:t>
      </w:r>
    </w:p>
    <w:tbl>
      <w:tblPr>
        <w:tblStyle w:val="1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040"/>
        <w:gridCol w:w="504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97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04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047"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1034"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04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047" w:type="dxa"/>
            <w:vAlign w:val="center"/>
          </w:tcPr>
          <w:p>
            <w:pPr>
              <w:widowControl/>
              <w:jc w:val="center"/>
              <w:rPr>
                <w:rFonts w:cs="宋体" w:asciiTheme="minorEastAsia" w:hAnsiTheme="minorEastAsia"/>
                <w:b/>
                <w:bCs/>
                <w:kern w:val="0"/>
                <w:szCs w:val="21"/>
              </w:rPr>
            </w:pPr>
          </w:p>
        </w:tc>
        <w:tc>
          <w:tcPr>
            <w:tcW w:w="1034" w:type="dxa"/>
            <w:vAlign w:val="center"/>
          </w:tcPr>
          <w:p>
            <w:pPr>
              <w:widowControl/>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047" w:type="dxa"/>
            <w:vAlign w:val="center"/>
          </w:tcPr>
          <w:p>
            <w:pPr>
              <w:widowControl/>
              <w:rPr>
                <w:rFonts w:cs="宋体" w:asciiTheme="minorEastAsia" w:hAnsiTheme="minorEastAsia"/>
                <w:kern w:val="0"/>
                <w:szCs w:val="21"/>
              </w:rPr>
            </w:pPr>
            <w:r>
              <w:rPr>
                <w:rFonts w:cs="Arial" w:asciiTheme="minorEastAsia" w:hAnsiTheme="minorEastAsia"/>
                <w:color w:val="333333"/>
                <w:szCs w:val="21"/>
                <w:shd w:val="clear" w:color="auto" w:fill="FFFFFF"/>
              </w:rPr>
              <w:t>主要用于研究未知DNA退火温度的扩增，这样可节省试验时间、提高实验效率，又节约实验成本</w:t>
            </w:r>
            <w:r>
              <w:rPr>
                <w:rFonts w:hint="eastAsia" w:cs="Arial" w:asciiTheme="minorEastAsia" w:hAnsiTheme="minorEastAsia"/>
                <w:color w:val="333333"/>
                <w:szCs w:val="21"/>
                <w:shd w:val="clear" w:color="auto" w:fill="FFFFFF"/>
              </w:rPr>
              <w:t>，</w:t>
            </w:r>
            <w:r>
              <w:rPr>
                <w:rFonts w:hint="eastAsia" w:asciiTheme="minorEastAsia" w:hAnsiTheme="minorEastAsia"/>
                <w:bCs/>
                <w:szCs w:val="21"/>
              </w:rPr>
              <w:t>为不同基因分析应用的基因扩增的研究提供帮助。</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78"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04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047" w:type="dxa"/>
            <w:vAlign w:val="center"/>
          </w:tcPr>
          <w:p>
            <w:pPr>
              <w:widowControl/>
              <w:jc w:val="center"/>
              <w:rPr>
                <w:rFonts w:cs="宋体" w:asciiTheme="minorEastAsia" w:hAnsiTheme="minorEastAsia"/>
                <w:kern w:val="0"/>
                <w:szCs w:val="21"/>
              </w:rPr>
            </w:pP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040" w:type="dxa"/>
            <w:vAlign w:val="center"/>
          </w:tcPr>
          <w:p>
            <w:pPr>
              <w:widowControl/>
              <w:jc w:val="center"/>
              <w:rPr>
                <w:rFonts w:cs="宋体" w:asciiTheme="minorEastAsia" w:hAnsiTheme="minorEastAsia"/>
                <w:kern w:val="0"/>
                <w:szCs w:val="21"/>
              </w:rPr>
            </w:pPr>
            <w:r>
              <w:rPr>
                <w:rFonts w:cs="宋体" w:asciiTheme="minorEastAsia" w:hAnsiTheme="minorEastAsia"/>
                <w:szCs w:val="21"/>
              </w:rPr>
              <w:t>★</w:t>
            </w:r>
            <w:r>
              <w:rPr>
                <w:rFonts w:hint="eastAsia" w:cs="宋体" w:asciiTheme="minorEastAsia" w:hAnsiTheme="minorEastAsia"/>
                <w:kern w:val="0"/>
                <w:szCs w:val="21"/>
              </w:rPr>
              <w:t>参数1</w:t>
            </w:r>
          </w:p>
        </w:tc>
        <w:tc>
          <w:tcPr>
            <w:tcW w:w="5047" w:type="dxa"/>
            <w:vAlign w:val="center"/>
          </w:tcPr>
          <w:p>
            <w:pPr>
              <w:rPr>
                <w:rFonts w:cs="华文中宋" w:asciiTheme="minorEastAsia" w:hAnsiTheme="minorEastAsia"/>
                <w:szCs w:val="21"/>
              </w:rPr>
            </w:pPr>
            <w:r>
              <w:rPr>
                <w:rFonts w:hint="eastAsia" w:cs="华文中宋" w:asciiTheme="minorEastAsia" w:hAnsiTheme="minorEastAsia"/>
                <w:szCs w:val="21"/>
              </w:rPr>
              <w:t>简单直观：触摸屏，直观的图形界面，友好操作界面，内置各种应用，并配置Wi-Fi模块；</w:t>
            </w:r>
          </w:p>
        </w:tc>
        <w:tc>
          <w:tcPr>
            <w:tcW w:w="1034" w:type="dxa"/>
            <w:vAlign w:val="center"/>
          </w:tcPr>
          <w:p>
            <w:pPr>
              <w:widowControl/>
              <w:jc w:val="center"/>
              <w:rPr>
                <w:rFonts w:cs="华文中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2.2</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参数2</w:t>
            </w:r>
          </w:p>
        </w:tc>
        <w:tc>
          <w:tcPr>
            <w:tcW w:w="5047" w:type="dxa"/>
            <w:vAlign w:val="center"/>
          </w:tcPr>
          <w:p>
            <w:pPr>
              <w:rPr>
                <w:rFonts w:cs="华文中宋" w:asciiTheme="minorEastAsia" w:hAnsiTheme="minorEastAsia"/>
                <w:szCs w:val="21"/>
              </w:rPr>
            </w:pPr>
            <w:r>
              <w:rPr>
                <w:rFonts w:hint="eastAsia" w:cs="华文中宋" w:asciiTheme="minorEastAsia" w:hAnsiTheme="minorEastAsia"/>
                <w:szCs w:val="21"/>
              </w:rPr>
              <w:t>性能优越，最高加热速率达到5.5°C /sec；</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2.3</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5047" w:type="dxa"/>
            <w:vAlign w:val="center"/>
          </w:tcPr>
          <w:p>
            <w:pPr>
              <w:rPr>
                <w:rFonts w:cs="华文中宋" w:asciiTheme="minorEastAsia" w:hAnsiTheme="minorEastAsia"/>
                <w:szCs w:val="21"/>
              </w:rPr>
            </w:pPr>
            <w:r>
              <w:rPr>
                <w:rFonts w:hint="eastAsia" w:cs="华文中宋" w:asciiTheme="minorEastAsia" w:hAnsiTheme="minorEastAsia"/>
                <w:szCs w:val="21"/>
              </w:rPr>
              <w:t>可靠性高： 成熟的帕尔贴技术，多探头系统，以及严格的QC 过程；</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040" w:type="dxa"/>
            <w:vAlign w:val="center"/>
          </w:tcPr>
          <w:p>
            <w:pPr>
              <w:jc w:val="center"/>
              <w:rPr>
                <w:rFonts w:asciiTheme="minorEastAsia" w:hAnsiTheme="minorEastAsia"/>
                <w:szCs w:val="21"/>
              </w:rPr>
            </w:pPr>
            <w:r>
              <w:rPr>
                <w:rFonts w:hint="eastAsia" w:cs="宋体" w:asciiTheme="minorEastAsia" w:hAnsiTheme="minorEastAsia"/>
                <w:kern w:val="0"/>
                <w:szCs w:val="21"/>
              </w:rPr>
              <w:t>参数4</w:t>
            </w:r>
          </w:p>
        </w:tc>
        <w:tc>
          <w:tcPr>
            <w:tcW w:w="5047" w:type="dxa"/>
            <w:vAlign w:val="center"/>
          </w:tcPr>
          <w:p>
            <w:pPr>
              <w:spacing w:line="276" w:lineRule="auto"/>
              <w:rPr>
                <w:rFonts w:cs="华文中宋" w:asciiTheme="minorEastAsia" w:hAnsiTheme="minorEastAsia"/>
                <w:szCs w:val="21"/>
              </w:rPr>
            </w:pPr>
            <w:r>
              <w:rPr>
                <w:rFonts w:hint="eastAsia" w:cs="华文中宋" w:asciiTheme="minorEastAsia" w:hAnsiTheme="minorEastAsia"/>
                <w:szCs w:val="21"/>
              </w:rPr>
              <w:t>模块：普通和低缘0.2/0.1 ml /PCR 管，裙边，无裙边，半裙边，全裙边96孔板</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参数5</w:t>
            </w:r>
          </w:p>
        </w:tc>
        <w:tc>
          <w:tcPr>
            <w:tcW w:w="5047" w:type="dxa"/>
            <w:vAlign w:val="center"/>
          </w:tcPr>
          <w:p>
            <w:pPr>
              <w:pStyle w:val="15"/>
              <w:spacing w:line="300" w:lineRule="exact"/>
              <w:jc w:val="left"/>
              <w:rPr>
                <w:rFonts w:cs="华文中宋" w:asciiTheme="minorEastAsia" w:hAnsiTheme="minorEastAsia" w:eastAsiaTheme="minorEastAsia"/>
                <w:sz w:val="21"/>
                <w:szCs w:val="21"/>
              </w:rPr>
            </w:pPr>
            <w:r>
              <w:rPr>
                <w:rFonts w:hint="eastAsia" w:cs="华文中宋" w:asciiTheme="minorEastAsia" w:hAnsiTheme="minorEastAsia" w:eastAsiaTheme="minorEastAsia"/>
                <w:sz w:val="21"/>
                <w:szCs w:val="21"/>
              </w:rPr>
              <w:t>模块温度范围：4-99.9°C</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2040" w:type="dxa"/>
            <w:vAlign w:val="center"/>
          </w:tcPr>
          <w:p>
            <w:pPr>
              <w:jc w:val="center"/>
              <w:rPr>
                <w:rFonts w:asciiTheme="minorEastAsia" w:hAnsiTheme="minorEastAsia"/>
                <w:szCs w:val="21"/>
              </w:rPr>
            </w:pPr>
            <w:r>
              <w:rPr>
                <w:rFonts w:hint="eastAsia" w:cs="宋体" w:asciiTheme="minorEastAsia" w:hAnsiTheme="minorEastAsia"/>
                <w:kern w:val="0"/>
                <w:szCs w:val="21"/>
              </w:rPr>
              <w:t>参数6</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最大降温速率：3.3°C/sec</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2.7</w:t>
            </w:r>
          </w:p>
        </w:tc>
        <w:tc>
          <w:tcPr>
            <w:tcW w:w="2040" w:type="dxa"/>
            <w:vAlign w:val="center"/>
          </w:tcPr>
          <w:p>
            <w:pPr>
              <w:jc w:val="center"/>
              <w:rPr>
                <w:rFonts w:asciiTheme="minorEastAsia" w:hAnsiTheme="minorEastAsia"/>
                <w:szCs w:val="21"/>
              </w:rPr>
            </w:pPr>
            <w:r>
              <w:rPr>
                <w:rFonts w:hint="eastAsia" w:cs="宋体" w:asciiTheme="minorEastAsia" w:hAnsiTheme="minorEastAsia"/>
                <w:kern w:val="0"/>
                <w:szCs w:val="21"/>
              </w:rPr>
              <w:t>参数7</w:t>
            </w:r>
          </w:p>
        </w:tc>
        <w:tc>
          <w:tcPr>
            <w:tcW w:w="5047" w:type="dxa"/>
            <w:vAlign w:val="center"/>
          </w:tcPr>
          <w:p>
            <w:pPr>
              <w:pStyle w:val="47"/>
              <w:widowControl/>
              <w:spacing w:line="300" w:lineRule="exact"/>
              <w:ind w:firstLine="0" w:firstLineChars="0"/>
              <w:jc w:val="left"/>
              <w:rPr>
                <w:rFonts w:cs="华文中宋" w:asciiTheme="minorEastAsia" w:hAnsiTheme="minorEastAsia" w:eastAsiaTheme="minorEastAsia"/>
                <w:szCs w:val="21"/>
              </w:rPr>
            </w:pPr>
            <w:r>
              <w:rPr>
                <w:rFonts w:hint="eastAsia" w:cs="华文中宋" w:asciiTheme="minorEastAsia" w:hAnsiTheme="minorEastAsia" w:eastAsiaTheme="minorEastAsia"/>
                <w:szCs w:val="21"/>
              </w:rPr>
              <w:t>准确度：≤+/-0.2°C</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2.8</w:t>
            </w:r>
          </w:p>
        </w:tc>
        <w:tc>
          <w:tcPr>
            <w:tcW w:w="2040" w:type="dxa"/>
            <w:vAlign w:val="center"/>
          </w:tcPr>
          <w:p>
            <w:pPr>
              <w:jc w:val="center"/>
              <w:rPr>
                <w:rFonts w:asciiTheme="minorEastAsia" w:hAnsiTheme="minorEastAsia"/>
                <w:szCs w:val="21"/>
              </w:rPr>
            </w:pPr>
            <w:r>
              <w:rPr>
                <w:rFonts w:hint="eastAsia" w:cs="宋体" w:asciiTheme="minorEastAsia" w:hAnsiTheme="minorEastAsia"/>
                <w:kern w:val="0"/>
                <w:szCs w:val="21"/>
              </w:rPr>
              <w:t>参数8</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均一性：≤+/-0.2°C</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2.9</w:t>
            </w:r>
          </w:p>
        </w:tc>
        <w:tc>
          <w:tcPr>
            <w:tcW w:w="2040" w:type="dxa"/>
            <w:vAlign w:val="center"/>
          </w:tcPr>
          <w:p>
            <w:pPr>
              <w:jc w:val="center"/>
              <w:rPr>
                <w:rFonts w:asciiTheme="minorEastAsia" w:hAnsiTheme="minorEastAsia"/>
                <w:szCs w:val="21"/>
              </w:rPr>
            </w:pPr>
            <w:r>
              <w:rPr>
                <w:rFonts w:hint="eastAsia" w:cs="宋体" w:asciiTheme="minorEastAsia" w:hAnsiTheme="minorEastAsia"/>
                <w:kern w:val="0"/>
                <w:szCs w:val="21"/>
              </w:rPr>
              <w:t>参数9</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梯度方向：水平</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2.10</w:t>
            </w:r>
          </w:p>
        </w:tc>
        <w:tc>
          <w:tcPr>
            <w:tcW w:w="204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参数10</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梯度温度范围：30-99°C</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2.11</w:t>
            </w:r>
          </w:p>
        </w:tc>
        <w:tc>
          <w:tcPr>
            <w:tcW w:w="204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参数11</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梯度温度跨度：最大跨度24.9°C</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2.12</w:t>
            </w:r>
          </w:p>
        </w:tc>
        <w:tc>
          <w:tcPr>
            <w:tcW w:w="204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参数12</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储存程序数量：≥500个</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2.13</w:t>
            </w:r>
          </w:p>
        </w:tc>
        <w:tc>
          <w:tcPr>
            <w:tcW w:w="204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参数13</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用户密码保护：是</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2.14</w:t>
            </w:r>
          </w:p>
        </w:tc>
        <w:tc>
          <w:tcPr>
            <w:tcW w:w="204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参数14</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热盖：是，固定120°C、 105°C和关</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2.15</w:t>
            </w:r>
          </w:p>
        </w:tc>
        <w:tc>
          <w:tcPr>
            <w:tcW w:w="204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参数15</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计算工具：TM 计算器， 拷贝数计算器， Mastermix 配制计算器,OD 计算器</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2.16</w:t>
            </w:r>
          </w:p>
        </w:tc>
        <w:tc>
          <w:tcPr>
            <w:tcW w:w="2040"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参数16</w:t>
            </w:r>
          </w:p>
        </w:tc>
        <w:tc>
          <w:tcPr>
            <w:tcW w:w="5047" w:type="dxa"/>
            <w:vAlign w:val="center"/>
          </w:tcPr>
          <w:p>
            <w:pPr>
              <w:jc w:val="left"/>
              <w:rPr>
                <w:rFonts w:cs="华文中宋" w:asciiTheme="minorEastAsia" w:hAnsiTheme="minorEastAsia"/>
                <w:szCs w:val="21"/>
              </w:rPr>
            </w:pPr>
            <w:r>
              <w:rPr>
                <w:rFonts w:hint="eastAsia" w:cs="华文中宋" w:asciiTheme="minorEastAsia" w:hAnsiTheme="minorEastAsia"/>
                <w:szCs w:val="21"/>
              </w:rPr>
              <w:t>远程监控：WIFI</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78"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04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047" w:type="dxa"/>
            <w:vAlign w:val="center"/>
          </w:tcPr>
          <w:p>
            <w:pPr>
              <w:ind w:left="357" w:firstLine="360"/>
              <w:rPr>
                <w:rFonts w:cs="宋体" w:asciiTheme="minorEastAsia" w:hAnsiTheme="minorEastAsia"/>
                <w:szCs w:val="21"/>
              </w:rPr>
            </w:pP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5047" w:type="dxa"/>
            <w:vAlign w:val="center"/>
          </w:tcPr>
          <w:p>
            <w:pPr>
              <w:rPr>
                <w:rFonts w:cs="宋体" w:asciiTheme="minorEastAsia" w:hAnsiTheme="minorEastAsia"/>
                <w:szCs w:val="21"/>
              </w:rPr>
            </w:pPr>
            <w:r>
              <w:rPr>
                <w:rFonts w:hint="eastAsia" w:cs="宋体" w:asciiTheme="minorEastAsia" w:hAnsiTheme="minorEastAsia"/>
                <w:szCs w:val="21"/>
              </w:rPr>
              <w:t xml:space="preserve">主机  </w:t>
            </w:r>
            <w:r>
              <w:rPr>
                <w:rFonts w:hint="eastAsia" w:cs="宋体" w:asciiTheme="minorEastAsia" w:hAnsiTheme="minorEastAsia"/>
                <w:kern w:val="0"/>
                <w:szCs w:val="21"/>
              </w:rPr>
              <w:t>1台</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047" w:type="dxa"/>
            <w:vAlign w:val="center"/>
          </w:tcPr>
          <w:p>
            <w:pPr>
              <w:rPr>
                <w:rFonts w:cs="宋体" w:asciiTheme="minorEastAsia" w:hAnsiTheme="minorEastAsia"/>
                <w:szCs w:val="21"/>
              </w:rPr>
            </w:pPr>
            <w:r>
              <w:rPr>
                <w:rFonts w:hint="eastAsia" w:cs="宋体" w:asciiTheme="minorEastAsia" w:hAnsiTheme="minorEastAsia"/>
                <w:szCs w:val="21"/>
              </w:rPr>
              <w:t>适配器</w:t>
            </w:r>
            <w:r>
              <w:rPr>
                <w:rFonts w:hint="eastAsia" w:cs="宋体" w:asciiTheme="minorEastAsia" w:hAnsiTheme="minorEastAsia"/>
                <w:kern w:val="0"/>
                <w:szCs w:val="21"/>
              </w:rPr>
              <w:t>1套</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3.3 </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配置3</w:t>
            </w:r>
          </w:p>
        </w:tc>
        <w:tc>
          <w:tcPr>
            <w:tcW w:w="5047" w:type="dxa"/>
            <w:vAlign w:val="center"/>
          </w:tcPr>
          <w:p>
            <w:pPr>
              <w:spacing w:line="276" w:lineRule="auto"/>
              <w:rPr>
                <w:rFonts w:cs="宋体" w:asciiTheme="minorEastAsia" w:hAnsiTheme="minorEastAsia"/>
                <w:szCs w:val="21"/>
              </w:rPr>
            </w:pPr>
            <w:r>
              <w:rPr>
                <w:rFonts w:cs="宋体" w:asciiTheme="minorEastAsia" w:hAnsiTheme="minorEastAsia"/>
                <w:szCs w:val="21"/>
              </w:rPr>
              <w:t>液态 CO</w:t>
            </w:r>
            <w:r>
              <w:rPr>
                <w:rFonts w:cs="宋体" w:asciiTheme="minorEastAsia" w:hAnsiTheme="minorEastAsia"/>
                <w:szCs w:val="21"/>
                <w:vertAlign w:val="subscript"/>
              </w:rPr>
              <w:t>2</w:t>
            </w:r>
            <w:r>
              <w:rPr>
                <w:rFonts w:cs="宋体" w:asciiTheme="minorEastAsia" w:hAnsiTheme="minorEastAsia"/>
                <w:szCs w:val="21"/>
              </w:rPr>
              <w:t xml:space="preserve"> 气瓶</w:t>
            </w:r>
            <w:r>
              <w:rPr>
                <w:rFonts w:hint="eastAsia" w:cs="宋体" w:asciiTheme="minorEastAsia" w:hAnsiTheme="minorEastAsia"/>
                <w:szCs w:val="21"/>
              </w:rPr>
              <w:t xml:space="preserve">  5L  </w:t>
            </w:r>
            <w:r>
              <w:rPr>
                <w:rFonts w:hint="eastAsia" w:cs="宋体" w:asciiTheme="minorEastAsia" w:hAnsiTheme="minorEastAsia"/>
                <w:kern w:val="0"/>
                <w:szCs w:val="21"/>
              </w:rPr>
              <w:t>10个</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78"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040"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047" w:type="dxa"/>
            <w:vAlign w:val="center"/>
          </w:tcPr>
          <w:p>
            <w:pPr>
              <w:ind w:left="357" w:firstLine="360"/>
              <w:rPr>
                <w:rFonts w:cs="宋体" w:asciiTheme="minorEastAsia" w:hAnsiTheme="minorEastAsia"/>
                <w:szCs w:val="21"/>
              </w:rPr>
            </w:pPr>
          </w:p>
        </w:tc>
        <w:tc>
          <w:tcPr>
            <w:tcW w:w="1034"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047" w:type="dxa"/>
            <w:vAlign w:val="center"/>
          </w:tcPr>
          <w:p>
            <w:pPr>
              <w:rPr>
                <w:rFonts w:cs="宋体" w:asciiTheme="minorEastAsia" w:hAnsiTheme="minorEastAsia"/>
                <w:szCs w:val="21"/>
              </w:rPr>
            </w:pPr>
            <w:r>
              <w:rPr>
                <w:rFonts w:hint="eastAsia" w:cs="宋体" w:asciiTheme="minorEastAsia" w:hAnsiTheme="minorEastAsia"/>
                <w:kern w:val="0"/>
                <w:szCs w:val="21"/>
              </w:rPr>
              <w:t>≥3年</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047" w:type="dxa"/>
            <w:vAlign w:val="center"/>
          </w:tcPr>
          <w:p>
            <w:pPr>
              <w:jc w:val="left"/>
              <w:rPr>
                <w:rFonts w:cs="宋体" w:asciiTheme="minorEastAsia" w:hAnsiTheme="minorEastAsia"/>
                <w:kern w:val="0"/>
                <w:szCs w:val="21"/>
              </w:rPr>
            </w:pPr>
            <w:r>
              <w:rPr>
                <w:rFonts w:hint="eastAsia" w:cs="宋体" w:asciiTheme="minorEastAsia" w:hAnsiTheme="minorEastAsia"/>
                <w:kern w:val="0"/>
                <w:szCs w:val="21"/>
              </w:rPr>
              <w:t>维修到达现场时间≤ 6小时（本地）</w:t>
            </w:r>
          </w:p>
          <w:p>
            <w:pPr>
              <w:jc w:val="left"/>
              <w:rPr>
                <w:rFonts w:cs="宋体" w:asciiTheme="minorEastAsia" w:hAnsiTheme="minorEastAsia"/>
                <w:szCs w:val="21"/>
              </w:rPr>
            </w:pPr>
            <w:r>
              <w:rPr>
                <w:rFonts w:hint="eastAsia" w:cs="宋体" w:asciiTheme="minorEastAsia" w:hAnsiTheme="minorEastAsia"/>
                <w:kern w:val="0"/>
                <w:szCs w:val="21"/>
              </w:rPr>
              <w:t>维修到达现场时间≤24小时（外地</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047" w:type="dxa"/>
            <w:vAlign w:val="center"/>
          </w:tcPr>
          <w:p>
            <w:pPr>
              <w:rPr>
                <w:rFonts w:cs="宋体" w:asciiTheme="minorEastAsia" w:hAnsiTheme="minorEastAsia"/>
                <w:szCs w:val="21"/>
              </w:rPr>
            </w:pPr>
            <w:r>
              <w:rPr>
                <w:rFonts w:hint="eastAsia" w:cs="宋体" w:asciiTheme="minorEastAsia" w:hAnsiTheme="minorEastAsia"/>
                <w:kern w:val="0"/>
                <w:szCs w:val="21"/>
              </w:rPr>
              <w:t>配件供应时间≥10年</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047" w:type="dxa"/>
            <w:vAlign w:val="center"/>
          </w:tcPr>
          <w:p>
            <w:pPr>
              <w:rPr>
                <w:rFonts w:cs="宋体" w:asciiTheme="minorEastAsia" w:hAnsiTheme="minorEastAsia"/>
                <w:szCs w:val="21"/>
              </w:rPr>
            </w:pPr>
            <w:r>
              <w:rPr>
                <w:rFonts w:hint="eastAsia" w:cs="宋体" w:asciiTheme="minorEastAsia" w:hAnsiTheme="minorEastAsia"/>
                <w:szCs w:val="21"/>
              </w:rPr>
              <w:t>提供耗材及主要零配件目录（含报价）</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047" w:type="dxa"/>
            <w:vAlign w:val="center"/>
          </w:tcPr>
          <w:p>
            <w:pPr>
              <w:rPr>
                <w:rFonts w:cs="宋体" w:asciiTheme="minorEastAsia" w:hAnsiTheme="minorEastAsia"/>
                <w:szCs w:val="21"/>
              </w:rPr>
            </w:pPr>
            <w:r>
              <w:rPr>
                <w:rFonts w:hint="eastAsia" w:cs="宋体" w:asciiTheme="minorEastAsia" w:hAnsiTheme="minorEastAsia"/>
                <w:kern w:val="0"/>
                <w:szCs w:val="21"/>
              </w:rPr>
              <w:t>提供详细操作手册、维修保养手册、安装手册等</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047" w:type="dxa"/>
            <w:vAlign w:val="center"/>
          </w:tcPr>
          <w:p>
            <w:pPr>
              <w:rPr>
                <w:rFonts w:cs="宋体" w:asciiTheme="minorEastAsia" w:hAnsiTheme="minorEastAsia"/>
                <w:szCs w:val="21"/>
              </w:rPr>
            </w:pPr>
            <w:r>
              <w:rPr>
                <w:rFonts w:hint="eastAsia" w:cs="宋体" w:asciiTheme="minorEastAsia" w:hAnsiTheme="minorEastAsia"/>
                <w:kern w:val="0"/>
                <w:szCs w:val="21"/>
              </w:rPr>
              <w:t>提供维修专用工具1套</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047" w:type="dxa"/>
            <w:vAlign w:val="center"/>
          </w:tcPr>
          <w:p>
            <w:pPr>
              <w:rPr>
                <w:rFonts w:cs="宋体" w:asciiTheme="minorEastAsia" w:hAnsiTheme="minorEastAsia"/>
                <w:szCs w:val="21"/>
              </w:rPr>
            </w:pPr>
            <w:r>
              <w:rPr>
                <w:rFonts w:hint="eastAsia" w:cs="宋体" w:asciiTheme="minorEastAsia" w:hAnsiTheme="minorEastAsia"/>
                <w:kern w:val="0"/>
                <w:szCs w:val="21"/>
              </w:rPr>
              <w:t>保修期内提供定期维护保养服务</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047" w:type="dxa"/>
            <w:vAlign w:val="center"/>
          </w:tcPr>
          <w:p>
            <w:pPr>
              <w:rPr>
                <w:rFonts w:cs="宋体" w:asciiTheme="minorEastAsia" w:hAnsiTheme="minorEastAsia"/>
                <w:szCs w:val="21"/>
              </w:rPr>
            </w:pPr>
            <w:r>
              <w:rPr>
                <w:rFonts w:hint="eastAsia" w:cs="宋体" w:asciiTheme="minorEastAsia" w:hAnsiTheme="minorEastAsia"/>
                <w:kern w:val="0"/>
                <w:szCs w:val="21"/>
              </w:rPr>
              <w:t>开放</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047" w:type="dxa"/>
            <w:vAlign w:val="center"/>
          </w:tcPr>
          <w:p>
            <w:pPr>
              <w:rPr>
                <w:rFonts w:cs="宋体" w:asciiTheme="minorEastAsia" w:hAnsiTheme="minorEastAsia"/>
                <w:szCs w:val="21"/>
              </w:rPr>
            </w:pPr>
            <w:r>
              <w:rPr>
                <w:rFonts w:hint="eastAsia" w:cs="宋体" w:asciiTheme="minorEastAsia" w:hAnsiTheme="minorEastAsia"/>
                <w:kern w:val="0"/>
                <w:szCs w:val="21"/>
              </w:rPr>
              <w:t>终身免费软件升级</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047" w:type="dxa"/>
            <w:vAlign w:val="center"/>
          </w:tcPr>
          <w:p>
            <w:pPr>
              <w:rPr>
                <w:rFonts w:cs="宋体" w:asciiTheme="minorEastAsia" w:hAnsiTheme="minorEastAsia"/>
                <w:szCs w:val="21"/>
              </w:rPr>
            </w:pPr>
            <w:r>
              <w:rPr>
                <w:rFonts w:hint="eastAsia" w:cs="宋体" w:asciiTheme="minorEastAsia" w:hAnsiTheme="minorEastAsia"/>
                <w:szCs w:val="21"/>
              </w:rPr>
              <w:t>支持</w:t>
            </w:r>
          </w:p>
        </w:tc>
        <w:tc>
          <w:tcPr>
            <w:tcW w:w="1034"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8"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04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5047" w:type="dxa"/>
            <w:vAlign w:val="center"/>
          </w:tcPr>
          <w:p>
            <w:pPr>
              <w:rPr>
                <w:rFonts w:cs="宋体" w:asciiTheme="minorEastAsia" w:hAnsiTheme="minorEastAsia"/>
                <w:szCs w:val="21"/>
              </w:rPr>
            </w:pPr>
            <w:r>
              <w:rPr>
                <w:rFonts w:hint="eastAsia" w:cs="宋体" w:asciiTheme="minorEastAsia" w:hAnsiTheme="minorEastAsia"/>
                <w:szCs w:val="21"/>
              </w:rPr>
              <w:t>支持</w:t>
            </w:r>
          </w:p>
        </w:tc>
        <w:tc>
          <w:tcPr>
            <w:tcW w:w="1034" w:type="dxa"/>
            <w:vAlign w:val="center"/>
          </w:tcPr>
          <w:p>
            <w:pPr>
              <w:widowControl/>
              <w:jc w:val="center"/>
              <w:rPr>
                <w:rFonts w:cs="宋体" w:asciiTheme="minorEastAsia" w:hAnsiTheme="minorEastAsia"/>
                <w:kern w:val="0"/>
                <w:szCs w:val="21"/>
              </w:rPr>
            </w:pPr>
          </w:p>
        </w:tc>
      </w:tr>
    </w:tbl>
    <w:p>
      <w:pPr>
        <w:rPr>
          <w:rFonts w:ascii="黑体" w:hAnsi="黑体" w:eastAsia="黑体"/>
          <w:sz w:val="32"/>
          <w:szCs w:val="32"/>
        </w:rPr>
      </w:pPr>
    </w:p>
    <w:p>
      <w:pPr>
        <w:spacing w:line="520" w:lineRule="exact"/>
        <w:jc w:val="cente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8D1"/>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F1C3038"/>
    <w:rsid w:val="48ED6FEB"/>
    <w:rsid w:val="49B65F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23258</Words>
  <Characters>4548</Characters>
  <Lines>37</Lines>
  <Paragraphs>55</Paragraphs>
  <TotalTime>4</TotalTime>
  <ScaleCrop>false</ScaleCrop>
  <LinksUpToDate>false</LinksUpToDate>
  <CharactersWithSpaces>27751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2021-02-08T11:03:00Z</dcterms:created>
  <dc:creator>Administrator</dc:creator>
  <cp:lastModifiedBy>150----7325</cp:lastModifiedBy>
  <cp:lastPrinted>2020-10-12T06:44:00Z</cp:lastPrinted>
  <dcterms:modified xsi:type="dcterms:W3CDTF">2021-02-20T03:31:42Z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