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实验室级超声波清洗机</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实验室级超声波清洗机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实验室级超声波清洗机</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实验室级超声波清洗机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实验室级超声波清洗机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554098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实验室级超声波清洗机技术要求</w:t>
      </w:r>
    </w:p>
    <w:tbl>
      <w:tblPr>
        <w:tblStyle w:val="17"/>
        <w:tblW w:w="9087" w:type="dxa"/>
        <w:jc w:val="center"/>
        <w:tblLayout w:type="fixed"/>
        <w:tblCellMar>
          <w:top w:w="0" w:type="dxa"/>
          <w:left w:w="108" w:type="dxa"/>
          <w:bottom w:w="0" w:type="dxa"/>
          <w:right w:w="108" w:type="dxa"/>
        </w:tblCellMar>
      </w:tblPr>
      <w:tblGrid>
        <w:gridCol w:w="802"/>
        <w:gridCol w:w="2216"/>
        <w:gridCol w:w="5310"/>
        <w:gridCol w:w="759"/>
      </w:tblGrid>
      <w:tr>
        <w:tblPrEx>
          <w:tblCellMar>
            <w:top w:w="0" w:type="dxa"/>
            <w:left w:w="108" w:type="dxa"/>
            <w:bottom w:w="0" w:type="dxa"/>
            <w:right w:w="108" w:type="dxa"/>
          </w:tblCellMar>
        </w:tblPrEx>
        <w:trPr>
          <w:trHeight w:val="464" w:hRule="atLeast"/>
          <w:tblHeader/>
          <w:jc w:val="center"/>
        </w:trPr>
        <w:tc>
          <w:tcPr>
            <w:tcW w:w="802"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216"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310"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59"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436"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31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820"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设备用途</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用于清洗实验室各种物品</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13" w:hRule="atLeast"/>
          <w:jc w:val="center"/>
        </w:trPr>
        <w:tc>
          <w:tcPr>
            <w:tcW w:w="80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21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5310"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cs="宋体" w:asciiTheme="minorEastAsia" w:hAnsiTheme="minorEastAsia"/>
                <w:color w:val="000000"/>
                <w:kern w:val="0"/>
                <w:szCs w:val="21"/>
              </w:rPr>
            </w:pPr>
          </w:p>
        </w:tc>
        <w:tc>
          <w:tcPr>
            <w:tcW w:w="759"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5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p>
        </w:tc>
        <w:tc>
          <w:tcPr>
            <w:tcW w:w="759" w:type="dxa"/>
            <w:tcBorders>
              <w:top w:val="nil"/>
              <w:left w:val="nil"/>
              <w:bottom w:val="single" w:color="auto" w:sz="4" w:space="0"/>
              <w:right w:val="single" w:color="auto" w:sz="8" w:space="0"/>
            </w:tcBorders>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990"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09"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容量：</w:t>
            </w:r>
            <w:r>
              <w:rPr>
                <w:rFonts w:cs="宋体" w:asciiTheme="minorEastAsia" w:hAnsiTheme="minorEastAsia"/>
                <w:color w:val="000000"/>
                <w:kern w:val="0"/>
                <w:szCs w:val="21"/>
              </w:rPr>
              <w:t>≥</w:t>
            </w:r>
            <w:r>
              <w:rPr>
                <w:rFonts w:hint="eastAsia" w:cs="宋体" w:asciiTheme="minorEastAsia" w:hAnsiTheme="minorEastAsia"/>
                <w:color w:val="000000"/>
                <w:kern w:val="0"/>
                <w:szCs w:val="21"/>
              </w:rPr>
              <w:t>150L</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92"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2</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时间设置：1-99min</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6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kern w:val="0"/>
                <w:szCs w:val="21"/>
                <w:lang w:val="zh-CN"/>
              </w:rPr>
              <w:t>▲</w:t>
            </w:r>
            <w:r>
              <w:rPr>
                <w:rFonts w:hint="eastAsia" w:cs="宋体" w:asciiTheme="minorEastAsia" w:hAnsiTheme="minorEastAsia"/>
                <w:kern w:val="0"/>
                <w:szCs w:val="21"/>
              </w:rPr>
              <w:t>参数3</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内槽尺寸（长</w:t>
            </w:r>
            <w:r>
              <w:rPr>
                <w:rFonts w:hint="eastAsia" w:asciiTheme="minorEastAsia" w:hAnsiTheme="minorEastAsia"/>
                <w:szCs w:val="21"/>
              </w:rPr>
              <w:t>×</w:t>
            </w:r>
            <w:r>
              <w:rPr>
                <w:rFonts w:hint="eastAsia" w:cs="宋体" w:asciiTheme="minorEastAsia" w:hAnsiTheme="minorEastAsia"/>
                <w:kern w:val="0"/>
                <w:szCs w:val="21"/>
              </w:rPr>
              <w:t>宽</w:t>
            </w:r>
            <w:r>
              <w:rPr>
                <w:rFonts w:hint="eastAsia" w:asciiTheme="minorEastAsia" w:hAnsiTheme="minorEastAsia"/>
                <w:szCs w:val="21"/>
              </w:rPr>
              <w:t>×</w:t>
            </w:r>
            <w:r>
              <w:rPr>
                <w:rFonts w:hint="eastAsia" w:cs="宋体" w:asciiTheme="minorEastAsia" w:hAnsiTheme="minorEastAsia"/>
                <w:kern w:val="0"/>
                <w:szCs w:val="21"/>
              </w:rPr>
              <w:t>高）：</w:t>
            </w:r>
            <w:r>
              <w:rPr>
                <w:rFonts w:cs="宋体" w:asciiTheme="minorEastAsia" w:hAnsiTheme="minorEastAsia"/>
                <w:color w:val="333333"/>
                <w:szCs w:val="21"/>
                <w:shd w:val="clear" w:color="auto" w:fill="FFFFFF"/>
              </w:rPr>
              <w:t>≤</w:t>
            </w:r>
            <w:r>
              <w:rPr>
                <w:rFonts w:hint="eastAsia" w:cs="宋体" w:asciiTheme="minorEastAsia" w:hAnsiTheme="minorEastAsia"/>
                <w:kern w:val="0"/>
                <w:szCs w:val="21"/>
              </w:rPr>
              <w:t>800</w:t>
            </w:r>
            <w:r>
              <w:rPr>
                <w:rFonts w:hint="eastAsia" w:asciiTheme="minorEastAsia" w:hAnsiTheme="minorEastAsia"/>
                <w:szCs w:val="21"/>
              </w:rPr>
              <w:t>×</w:t>
            </w:r>
            <w:r>
              <w:rPr>
                <w:rFonts w:cs="宋体" w:asciiTheme="minorEastAsia" w:hAnsiTheme="minorEastAsia"/>
                <w:color w:val="333333"/>
                <w:szCs w:val="21"/>
                <w:shd w:val="clear" w:color="auto" w:fill="FFFFFF"/>
              </w:rPr>
              <w:t>≤</w:t>
            </w:r>
            <w:r>
              <w:rPr>
                <w:rFonts w:cs="宋体" w:asciiTheme="minorEastAsia" w:hAnsiTheme="minorEastAsia"/>
                <w:kern w:val="0"/>
                <w:szCs w:val="21"/>
              </w:rPr>
              <w:t>5</w:t>
            </w:r>
            <w:r>
              <w:rPr>
                <w:rFonts w:hint="eastAsia" w:cs="宋体" w:asciiTheme="minorEastAsia" w:hAnsiTheme="minorEastAsia"/>
                <w:kern w:val="0"/>
                <w:szCs w:val="21"/>
              </w:rPr>
              <w:t>00</w:t>
            </w:r>
            <w:r>
              <w:rPr>
                <w:rFonts w:hint="eastAsia" w:asciiTheme="minorEastAsia" w:hAnsiTheme="minorEastAsia"/>
                <w:szCs w:val="21"/>
              </w:rPr>
              <w:t>×</w:t>
            </w:r>
            <w:r>
              <w:rPr>
                <w:rFonts w:cs="宋体" w:asciiTheme="minorEastAsia" w:hAnsiTheme="minorEastAsia"/>
                <w:color w:val="333333"/>
                <w:szCs w:val="21"/>
                <w:shd w:val="clear" w:color="auto" w:fill="FFFFFF"/>
              </w:rPr>
              <w:t>≤</w:t>
            </w:r>
            <w:r>
              <w:rPr>
                <w:rFonts w:cs="宋体" w:asciiTheme="minorEastAsia" w:hAnsiTheme="minorEastAsia"/>
                <w:kern w:val="0"/>
                <w:szCs w:val="21"/>
              </w:rPr>
              <w:t>4</w:t>
            </w:r>
            <w:r>
              <w:rPr>
                <w:rFonts w:hint="eastAsia" w:cs="宋体" w:asciiTheme="minorEastAsia" w:hAnsiTheme="minorEastAsia"/>
                <w:kern w:val="0"/>
                <w:szCs w:val="21"/>
              </w:rPr>
              <w:t>00（mm）</w:t>
            </w:r>
          </w:p>
        </w:tc>
        <w:tc>
          <w:tcPr>
            <w:tcW w:w="759" w:type="dxa"/>
            <w:tcBorders>
              <w:top w:val="nil"/>
              <w:left w:val="nil"/>
              <w:bottom w:val="single" w:color="auto" w:sz="4" w:space="0"/>
              <w:right w:val="single" w:color="auto" w:sz="8" w:space="0"/>
            </w:tcBorders>
            <w:vAlign w:val="center"/>
          </w:tcPr>
          <w:p>
            <w:pPr>
              <w:widowControl/>
              <w:jc w:val="both"/>
              <w:rPr>
                <w:rFonts w:cs="宋体" w:asciiTheme="minorEastAsia" w:hAnsiTheme="minorEastAsia"/>
                <w:kern w:val="0"/>
                <w:szCs w:val="21"/>
              </w:rPr>
            </w:pPr>
          </w:p>
        </w:tc>
      </w:tr>
      <w:tr>
        <w:tblPrEx>
          <w:tblCellMar>
            <w:top w:w="0" w:type="dxa"/>
            <w:left w:w="108" w:type="dxa"/>
            <w:bottom w:w="0" w:type="dxa"/>
            <w:right w:w="108" w:type="dxa"/>
          </w:tblCellMar>
        </w:tblPrEx>
        <w:trPr>
          <w:trHeight w:val="586"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kern w:val="0"/>
                <w:szCs w:val="21"/>
                <w:lang w:val="zh-CN"/>
              </w:rPr>
              <w:t>▲</w:t>
            </w:r>
            <w:r>
              <w:rPr>
                <w:rFonts w:hint="eastAsia" w:cs="宋体" w:asciiTheme="minorEastAsia" w:hAnsiTheme="minorEastAsia"/>
                <w:kern w:val="0"/>
                <w:szCs w:val="21"/>
              </w:rPr>
              <w:t>参数4</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w:t>
            </w:r>
            <w:r>
              <w:rPr>
                <w:rFonts w:cs="宋体" w:asciiTheme="minorEastAsia" w:hAnsiTheme="minorEastAsia"/>
                <w:color w:val="000000"/>
                <w:kern w:val="0"/>
                <w:szCs w:val="21"/>
              </w:rPr>
              <w:t>同时显示超声时间、超声频率、超声功率、</w:t>
            </w:r>
            <w:r>
              <w:rPr>
                <w:rFonts w:hint="eastAsia" w:cs="宋体" w:asciiTheme="minorEastAsia" w:hAnsiTheme="minorEastAsia"/>
                <w:color w:val="000000"/>
                <w:kern w:val="0"/>
                <w:szCs w:val="21"/>
              </w:rPr>
              <w:t>液</w:t>
            </w:r>
            <w:r>
              <w:rPr>
                <w:rFonts w:cs="宋体" w:asciiTheme="minorEastAsia" w:hAnsiTheme="minorEastAsia"/>
                <w:color w:val="000000"/>
                <w:kern w:val="0"/>
                <w:szCs w:val="21"/>
              </w:rPr>
              <w:t>位高度、</w:t>
            </w:r>
            <w:r>
              <w:rPr>
                <w:rFonts w:hint="eastAsia" w:cs="宋体" w:asciiTheme="minorEastAsia" w:hAnsiTheme="minorEastAsia"/>
                <w:color w:val="000000"/>
                <w:kern w:val="0"/>
                <w:szCs w:val="21"/>
              </w:rPr>
              <w:t>溶液温</w:t>
            </w:r>
            <w:r>
              <w:rPr>
                <w:rFonts w:cs="宋体" w:asciiTheme="minorEastAsia" w:hAnsiTheme="minorEastAsia"/>
                <w:color w:val="000000"/>
                <w:kern w:val="0"/>
                <w:szCs w:val="21"/>
              </w:rPr>
              <w:t>度</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43"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可调温度：20-</w:t>
            </w:r>
            <w:r>
              <w:rPr>
                <w:rFonts w:cs="宋体" w:asciiTheme="minorEastAsia" w:hAnsiTheme="minorEastAsia"/>
                <w:color w:val="000000"/>
                <w:kern w:val="0"/>
                <w:szCs w:val="21"/>
              </w:rPr>
              <w:t>8</w:t>
            </w:r>
            <w:r>
              <w:rPr>
                <w:rFonts w:hint="eastAsia" w:cs="宋体" w:asciiTheme="minorEastAsia" w:hAnsiTheme="minorEastAsia"/>
                <w:color w:val="000000"/>
                <w:kern w:val="0"/>
                <w:szCs w:val="21"/>
              </w:rPr>
              <w:t>0℃</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参数6</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过热保护功能</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2.</w:t>
            </w:r>
            <w:r>
              <w:rPr>
                <w:rFonts w:hint="eastAsia" w:cs="宋体" w:asciiTheme="minorEastAsia" w:hAnsiTheme="minorEastAsia"/>
                <w:kern w:val="0"/>
                <w:szCs w:val="21"/>
                <w:lang w:val="en-US" w:eastAsia="zh-CN"/>
              </w:rPr>
              <w:t>7</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7</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超声</w:t>
            </w:r>
            <w:r>
              <w:rPr>
                <w:rFonts w:cs="宋体" w:asciiTheme="minorEastAsia" w:hAnsiTheme="minorEastAsia"/>
                <w:color w:val="000000"/>
                <w:kern w:val="0"/>
                <w:szCs w:val="21"/>
              </w:rPr>
              <w:t>功率≥2000W</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2.</w:t>
            </w:r>
            <w:r>
              <w:rPr>
                <w:rFonts w:hint="eastAsia" w:cs="宋体" w:asciiTheme="minorEastAsia" w:hAnsiTheme="minorEastAsia"/>
                <w:kern w:val="0"/>
                <w:szCs w:val="21"/>
                <w:lang w:val="en-US" w:eastAsia="zh-CN"/>
              </w:rPr>
              <w:t>8</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8</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超声频率</w:t>
            </w:r>
            <w:r>
              <w:rPr>
                <w:rFonts w:cs="宋体" w:asciiTheme="minorEastAsia" w:hAnsiTheme="minorEastAsia"/>
                <w:color w:val="000000"/>
                <w:kern w:val="0"/>
                <w:szCs w:val="21"/>
              </w:rPr>
              <w:t>≥</w:t>
            </w:r>
            <w:r>
              <w:rPr>
                <w:rFonts w:hint="eastAsia" w:cs="宋体" w:asciiTheme="minorEastAsia" w:hAnsiTheme="minorEastAsia"/>
                <w:color w:val="000000"/>
                <w:kern w:val="0"/>
                <w:szCs w:val="21"/>
              </w:rPr>
              <w:t>40KHZ</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2.</w:t>
            </w:r>
            <w:r>
              <w:rPr>
                <w:rFonts w:hint="eastAsia" w:cs="宋体" w:asciiTheme="minorEastAsia" w:hAnsiTheme="minorEastAsia"/>
                <w:kern w:val="0"/>
                <w:szCs w:val="21"/>
                <w:lang w:val="en-US" w:eastAsia="zh-CN"/>
              </w:rPr>
              <w:t>9</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9</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清洗机主体材料</w:t>
            </w:r>
            <w:r>
              <w:rPr>
                <w:rFonts w:cs="宋体" w:asciiTheme="minorEastAsia" w:hAnsiTheme="minorEastAsia"/>
                <w:color w:val="000000"/>
                <w:kern w:val="0"/>
                <w:szCs w:val="21"/>
              </w:rPr>
              <w:t>为</w:t>
            </w:r>
            <w:r>
              <w:rPr>
                <w:rFonts w:hint="eastAsia" w:cs="宋体" w:asciiTheme="minorEastAsia" w:hAnsiTheme="minorEastAsia"/>
                <w:color w:val="000000"/>
                <w:kern w:val="0"/>
                <w:szCs w:val="21"/>
              </w:rPr>
              <w:t>304不</w:t>
            </w:r>
            <w:r>
              <w:rPr>
                <w:rFonts w:cs="宋体" w:asciiTheme="minorEastAsia" w:hAnsiTheme="minorEastAsia"/>
                <w:color w:val="000000"/>
                <w:kern w:val="0"/>
                <w:szCs w:val="21"/>
              </w:rPr>
              <w:t>锈钢板</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8"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2.</w:t>
            </w:r>
            <w:r>
              <w:rPr>
                <w:rFonts w:hint="eastAsia" w:cs="宋体" w:asciiTheme="minorEastAsia" w:hAnsiTheme="minorEastAsia"/>
                <w:kern w:val="0"/>
                <w:szCs w:val="21"/>
                <w:lang w:val="en-US" w:eastAsia="zh-CN"/>
              </w:rPr>
              <w:t>10</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w:t>
            </w:r>
            <w:r>
              <w:rPr>
                <w:rFonts w:cs="宋体" w:asciiTheme="minorEastAsia" w:hAnsiTheme="minorEastAsia"/>
                <w:kern w:val="0"/>
                <w:szCs w:val="21"/>
              </w:rPr>
              <w:t>10</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仪器进出</w:t>
            </w:r>
            <w:r>
              <w:rPr>
                <w:rFonts w:cs="宋体" w:asciiTheme="minorEastAsia" w:hAnsiTheme="minorEastAsia"/>
                <w:color w:val="000000"/>
                <w:kern w:val="0"/>
                <w:szCs w:val="21"/>
              </w:rPr>
              <w:t>水管路要求耐</w:t>
            </w:r>
            <w:r>
              <w:rPr>
                <w:rFonts w:hint="eastAsia" w:cs="宋体" w:asciiTheme="minorEastAsia" w:hAnsiTheme="minorEastAsia"/>
                <w:color w:val="000000"/>
                <w:kern w:val="0"/>
                <w:szCs w:val="21"/>
              </w:rPr>
              <w:t>碱性</w:t>
            </w:r>
            <w:r>
              <w:rPr>
                <w:rFonts w:cs="宋体" w:asciiTheme="minorEastAsia" w:hAnsiTheme="minorEastAsia"/>
                <w:color w:val="000000"/>
                <w:kern w:val="0"/>
                <w:szCs w:val="21"/>
              </w:rPr>
              <w:t>清洗剂</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10"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310" w:type="dxa"/>
            <w:tcBorders>
              <w:top w:val="nil"/>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配置1</w:t>
            </w:r>
          </w:p>
        </w:tc>
        <w:tc>
          <w:tcPr>
            <w:tcW w:w="5310"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超声波清洗机     1台</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配置2</w:t>
            </w:r>
          </w:p>
        </w:tc>
        <w:tc>
          <w:tcPr>
            <w:tcW w:w="5310"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适配不锈钢提篮   2个</w:t>
            </w: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802"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21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310"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759"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419"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310"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84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4.2</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维修到达现场时间≤ 6小时（本地）</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维修到达现场时间≤24小时（外地）</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4.3</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配件供应时间≥10年</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4.4</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4.5</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4.6</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提供维修专用工具1套</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4.7</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31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4.8</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310"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63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4.9</w:t>
            </w:r>
          </w:p>
        </w:tc>
        <w:tc>
          <w:tcPr>
            <w:tcW w:w="221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310"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5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EEF51FE"/>
    <w:rsid w:val="1F1C3038"/>
    <w:rsid w:val="28721247"/>
    <w:rsid w:val="3BB30E33"/>
    <w:rsid w:val="464E6EBE"/>
    <w:rsid w:val="47881864"/>
    <w:rsid w:val="47AA472E"/>
    <w:rsid w:val="48ED6FEB"/>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