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心电监护仪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2020-JL13(03)-W10083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关于心电监护仪的采购</w:t>
      </w:r>
      <w:r>
        <w:rPr>
          <w:rFonts w:ascii="Tahoma" w:hAnsi="Tahoma" w:cs="Tahoma"/>
          <w:b/>
          <w:bCs/>
          <w:kern w:val="0"/>
          <w:sz w:val="28"/>
          <w:szCs w:val="28"/>
        </w:rPr>
        <w:t>公告</w:t>
      </w:r>
      <w:r>
        <w:rPr>
          <w:rFonts w:hint="eastAsia" w:ascii="Tahoma" w:hAnsi="Tahoma" w:cs="Tahoma"/>
          <w:kern w:val="0"/>
          <w:sz w:val="28"/>
          <w:szCs w:val="28"/>
        </w:rPr>
        <w:t>2020-JL13(03)-W10083</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心电监护仪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心电监护仪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7</w:t>
      </w:r>
      <w:bookmarkStart w:id="24" w:name="_GoBack"/>
      <w:bookmarkEnd w:id="24"/>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17</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sz w:val="21"/>
                <w:szCs w:val="21"/>
              </w:rPr>
              <w:t>心电监护仪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305" w:type="dxa"/>
        <w:tblInd w:w="-294" w:type="dxa"/>
        <w:tblLayout w:type="fixed"/>
        <w:tblCellMar>
          <w:top w:w="0" w:type="dxa"/>
          <w:left w:w="108" w:type="dxa"/>
          <w:bottom w:w="0" w:type="dxa"/>
          <w:right w:w="108" w:type="dxa"/>
        </w:tblCellMar>
      </w:tblPr>
      <w:tblGrid>
        <w:gridCol w:w="1111"/>
        <w:gridCol w:w="2630"/>
        <w:gridCol w:w="3948"/>
        <w:gridCol w:w="1616"/>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序号</w:t>
            </w:r>
          </w:p>
        </w:tc>
        <w:tc>
          <w:tcPr>
            <w:tcW w:w="263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技术和性能参数名称</w:t>
            </w:r>
          </w:p>
        </w:tc>
        <w:tc>
          <w:tcPr>
            <w:tcW w:w="394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技术参数和性能要求</w:t>
            </w:r>
          </w:p>
        </w:tc>
        <w:tc>
          <w:tcPr>
            <w:tcW w:w="1616"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1</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设备使用需求</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 w:val="21"/>
                <w:szCs w:val="21"/>
              </w:rPr>
            </w:pP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1.1</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设备用途</w:t>
            </w:r>
          </w:p>
        </w:tc>
        <w:tc>
          <w:tcPr>
            <w:tcW w:w="3948"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Cs/>
                <w:kern w:val="0"/>
                <w:sz w:val="21"/>
                <w:szCs w:val="21"/>
                <w:lang w:val="en-US" w:eastAsia="zh-CN"/>
              </w:rPr>
            </w:pPr>
            <w:r>
              <w:rPr>
                <w:rFonts w:cs="Times New Roman" w:eastAsiaTheme="minorEastAsia"/>
                <w:bCs/>
                <w:kern w:val="0"/>
                <w:sz w:val="21"/>
                <w:szCs w:val="21"/>
                <w:lang w:val="en-US" w:eastAsia="zh-CN"/>
              </w:rPr>
              <w:t>用于对患者各项生命体征进行</w:t>
            </w:r>
            <w:r>
              <w:rPr>
                <w:rFonts w:hint="eastAsia" w:cs="Times New Roman" w:eastAsiaTheme="minorEastAsia"/>
                <w:bCs/>
                <w:kern w:val="0"/>
                <w:sz w:val="21"/>
                <w:szCs w:val="21"/>
                <w:lang w:val="en-US" w:eastAsia="zh-CN"/>
              </w:rPr>
              <w:t>监测</w:t>
            </w:r>
            <w:r>
              <w:rPr>
                <w:rFonts w:cs="Times New Roman" w:eastAsiaTheme="minorEastAsia"/>
                <w:bCs/>
                <w:kern w:val="0"/>
                <w:sz w:val="21"/>
                <w:szCs w:val="21"/>
                <w:lang w:val="en-US" w:eastAsia="zh-CN"/>
              </w:rPr>
              <w:t>，监测数据可以显示、存储、回顾和打印；</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1.2</w:t>
            </w:r>
          </w:p>
        </w:tc>
        <w:tc>
          <w:tcPr>
            <w:tcW w:w="263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color w:val="000000"/>
                <w:kern w:val="0"/>
                <w:sz w:val="21"/>
                <w:szCs w:val="21"/>
              </w:rPr>
            </w:pPr>
            <w:r>
              <w:rPr>
                <w:rFonts w:cs="Times New Roman" w:eastAsiaTheme="minorEastAsia"/>
                <w:color w:val="000000"/>
                <w:kern w:val="0"/>
                <w:sz w:val="21"/>
                <w:szCs w:val="21"/>
              </w:rPr>
              <w:t>实验对象</w:t>
            </w:r>
          </w:p>
        </w:tc>
        <w:tc>
          <w:tcPr>
            <w:tcW w:w="3948"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Cs/>
                <w:kern w:val="0"/>
                <w:sz w:val="21"/>
                <w:szCs w:val="21"/>
                <w:lang w:val="en-US" w:eastAsia="zh-CN"/>
              </w:rPr>
            </w:pPr>
            <w:r>
              <w:rPr>
                <w:rFonts w:cs="Times New Roman" w:eastAsiaTheme="minorEastAsia"/>
                <w:bCs/>
                <w:kern w:val="0"/>
                <w:sz w:val="21"/>
                <w:szCs w:val="21"/>
                <w:lang w:val="en-US" w:eastAsia="zh-CN"/>
              </w:rPr>
              <w:t>需进行生命体征监测</w:t>
            </w:r>
            <w:r>
              <w:rPr>
                <w:rFonts w:hint="eastAsia" w:cs="Times New Roman" w:eastAsiaTheme="minorEastAsia"/>
                <w:bCs/>
                <w:kern w:val="0"/>
                <w:sz w:val="21"/>
                <w:szCs w:val="21"/>
                <w:lang w:val="en-US" w:eastAsia="zh-CN"/>
              </w:rPr>
              <w:t>的</w:t>
            </w:r>
            <w:r>
              <w:rPr>
                <w:rFonts w:cs="Times New Roman" w:eastAsiaTheme="minorEastAsia"/>
                <w:bCs/>
                <w:kern w:val="0"/>
                <w:sz w:val="21"/>
                <w:szCs w:val="21"/>
                <w:lang w:val="en-US" w:eastAsia="zh-CN"/>
              </w:rPr>
              <w:t>患者；</w:t>
            </w:r>
          </w:p>
        </w:tc>
        <w:tc>
          <w:tcPr>
            <w:tcW w:w="161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bCs/>
                <w:kern w:val="0"/>
                <w:sz w:val="21"/>
                <w:szCs w:val="21"/>
              </w:rPr>
              <w:t>1.3</w:t>
            </w:r>
          </w:p>
        </w:tc>
        <w:tc>
          <w:tcPr>
            <w:tcW w:w="263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color w:val="000000"/>
                <w:kern w:val="0"/>
                <w:sz w:val="21"/>
                <w:szCs w:val="21"/>
              </w:rPr>
            </w:pPr>
            <w:r>
              <w:rPr>
                <w:rFonts w:cs="Times New Roman" w:eastAsiaTheme="minorEastAsia"/>
                <w:bCs/>
                <w:kern w:val="0"/>
                <w:sz w:val="21"/>
                <w:szCs w:val="21"/>
              </w:rPr>
              <w:t>特殊功能需求</w:t>
            </w:r>
          </w:p>
        </w:tc>
        <w:tc>
          <w:tcPr>
            <w:tcW w:w="3948"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Cs/>
                <w:kern w:val="0"/>
                <w:sz w:val="21"/>
                <w:szCs w:val="21"/>
                <w:lang w:val="en-US" w:eastAsia="zh-CN"/>
              </w:rPr>
            </w:pPr>
            <w:r>
              <w:rPr>
                <w:rFonts w:cs="Times New Roman" w:eastAsiaTheme="minorEastAsia"/>
                <w:bCs/>
                <w:kern w:val="0"/>
                <w:sz w:val="21"/>
                <w:szCs w:val="21"/>
                <w:lang w:val="en-US" w:eastAsia="zh-CN"/>
              </w:rPr>
              <w:t>无；</w:t>
            </w:r>
          </w:p>
        </w:tc>
        <w:tc>
          <w:tcPr>
            <w:tcW w:w="161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2</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主要技术参数</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（一行只写一个参数）</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 w:val="21"/>
                <w:szCs w:val="21"/>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参数1</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标配≥12英寸彩色触摸屏，可同屏显示≥8通道波形，主机插槽数≥2个；</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2.2</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参数2</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主机标配可同时监测心电ECG、血氧饱和度SpO2、脉搏PR、无创血压NIBP、双通道体温Temp、双通道有创血压IBP；</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
                <w:bCs/>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2.3</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ascii="Segoe UI Symbol" w:hAnsi="Segoe UI Symbol" w:cs="Segoe UI Symbol" w:eastAsiaTheme="minorEastAsia"/>
                <w:kern w:val="0"/>
                <w:sz w:val="21"/>
                <w:szCs w:val="21"/>
              </w:rPr>
              <w:t>★</w:t>
            </w:r>
            <w:r>
              <w:rPr>
                <w:rFonts w:cs="Times New Roman" w:eastAsiaTheme="minorEastAsia"/>
                <w:kern w:val="0"/>
                <w:sz w:val="21"/>
                <w:szCs w:val="21"/>
              </w:rPr>
              <w:t>参数3</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支持升级选配热稀释法心排量C.O.、氧气O2、呼末二氧化碳EtCO2、麻醉气体AG、呼吸力学RM、镇静深度BIS、肌松NMT监测模块，模块可热插拔；</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838"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2.4</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▲参数4</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监护仪设计使用寿命≥</w:t>
            </w:r>
            <w:r>
              <w:rPr>
                <w:rFonts w:hint="eastAsia" w:cs="Times New Roman" w:eastAsiaTheme="minorEastAsia"/>
                <w:sz w:val="21"/>
                <w:szCs w:val="21"/>
              </w:rPr>
              <w:t>6</w:t>
            </w:r>
            <w:r>
              <w:rPr>
                <w:rFonts w:cs="Times New Roman" w:eastAsiaTheme="minorEastAsia"/>
                <w:sz w:val="21"/>
                <w:szCs w:val="21"/>
              </w:rPr>
              <w:t>年；</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2.5</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▲参数5</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具有≥24种实时心律失常分析（含房颤）、ST段分析、QT/QTc实时连续测量和对应报警功能，以上均适用于成人、小儿和新生儿；</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2.6</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▲参数6</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有创血压监测适用于成人、小儿和新生儿，支持≥2通道IBP同时监测，支持同步监测肺动脉锲压PAWP和脉压变异PPV；</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2.7</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▲参数7</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标配早期预警评分功能，支持升级选配格拉斯哥昏迷评分、新生儿先心病筛查、心肌缺血评估功能；</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2.8</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参数8</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便携插件式监护仪，整机无风扇，主机、屏幕、插件槽采用一体化设计；</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2.9</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参数9</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ECG、SpO2、NIBP、Temp、IBP监测参数抗电击程度为防除颤CF型；</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2.10</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参数10</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标配3/5导心电监测，支持升级选配12导ECG监护，支持12导心电静息分析；</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2.11</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参数11</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支持升级选配24小时心电概览报告查看与打印功能，包括心率统计、心律失常统计、ST统计和QT/QTc统计结果；</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b/>
                <w:bCs/>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2.12</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参数12</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血氧饱和度监测适用于成人、小儿和新生儿，提供SpO2、PR和灌注指数PI的实时监测；</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2.13</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参数13</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无创血压监测适用于成人、小儿和新生儿，至少具有手动、自动、连续、序列4种测量模式；</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2.14</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参数14</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心率测量范围：成人≥（15~300）bpm，小儿、新生儿≥（15~350）bpm，测量误差≤±1bpm或±1%；ST段测量范围：≥（-2.5~+2.5）mV，测量误差≤±0.02mV或±10%；</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2.15</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参数15</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QT/QTc测量范围：≥（200~800）ms，测量误差≤±30ms；PI监测范围：≥（0.05%~20%），最小分辨率≤0.01%；</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2.16</w:t>
            </w:r>
          </w:p>
        </w:tc>
        <w:tc>
          <w:tcPr>
            <w:tcW w:w="2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参数16</w:t>
            </w:r>
          </w:p>
        </w:tc>
        <w:tc>
          <w:tcPr>
            <w:tcW w:w="3948" w:type="dxa"/>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color w:val="000000"/>
                <w:sz w:val="21"/>
                <w:szCs w:val="21"/>
              </w:rPr>
            </w:pPr>
            <w:r>
              <w:rPr>
                <w:rFonts w:ascii="Times New Roman" w:hAnsi="Times New Roman" w:eastAsiaTheme="minorEastAsia"/>
                <w:sz w:val="21"/>
                <w:szCs w:val="21"/>
              </w:rPr>
              <w:t>无创血压收缩压范围：成人≥（25~290）mmHg、小儿≥（25~240）mmHg、新生儿≥（25~140）mmHg，最大平均误差≤±5mmHg；PPV测量范围：≥（0~50%），分辨率≤1%；</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2.17</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参数17</w:t>
            </w:r>
          </w:p>
        </w:tc>
        <w:tc>
          <w:tcPr>
            <w:tcW w:w="3948" w:type="dxa"/>
            <w:tcBorders>
              <w:top w:val="single" w:color="auto" w:sz="4" w:space="0"/>
              <w:left w:val="nil"/>
              <w:bottom w:val="single" w:color="auto" w:sz="4" w:space="0"/>
              <w:right w:val="single" w:color="auto" w:sz="4" w:space="0"/>
            </w:tcBorders>
            <w:vAlign w:val="center"/>
          </w:tcPr>
          <w:p>
            <w:pPr>
              <w:pStyle w:val="47"/>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sz w:val="21"/>
                <w:szCs w:val="21"/>
              </w:rPr>
            </w:pPr>
            <w:r>
              <w:rPr>
                <w:rFonts w:ascii="Times New Roman" w:hAnsi="Times New Roman" w:eastAsiaTheme="minorEastAsia"/>
                <w:sz w:val="21"/>
                <w:szCs w:val="21"/>
              </w:rPr>
              <w:t>具有血液动力学、药物计算、氧合计算、通气计算和肾功能计算功能；</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2.18</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sz w:val="21"/>
                <w:szCs w:val="21"/>
              </w:rPr>
            </w:pPr>
            <w:r>
              <w:rPr>
                <w:rFonts w:cs="Times New Roman" w:eastAsiaTheme="minorEastAsia"/>
                <w:kern w:val="0"/>
                <w:sz w:val="21"/>
                <w:szCs w:val="21"/>
              </w:rPr>
              <w:t>参数18</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sz w:val="21"/>
                <w:szCs w:val="21"/>
              </w:rPr>
            </w:pPr>
            <w:r>
              <w:rPr>
                <w:rFonts w:cs="Times New Roman" w:eastAsiaTheme="minorEastAsia"/>
                <w:sz w:val="21"/>
                <w:szCs w:val="21"/>
              </w:rPr>
              <w:t>具有≥120小时ST模板、≥120小时趋势图表、≥48小时全息波形、≥1000条事件、≥1000组NIBP测量结果存储和回顾功能；</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kern w:val="0"/>
                <w:sz w:val="21"/>
                <w:szCs w:val="21"/>
              </w:rPr>
            </w:pPr>
            <w:r>
              <w:rPr>
                <w:rFonts w:cs="Times New Roman" w:asciiTheme="majorEastAsia" w:hAnsiTheme="majorEastAsia" w:eastAsiaTheme="majorEastAsia"/>
                <w:b/>
                <w:kern w:val="0"/>
                <w:sz w:val="21"/>
                <w:szCs w:val="21"/>
              </w:rPr>
              <w:t>3</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配置需求</w:t>
            </w:r>
            <w:r>
              <w:rPr>
                <w:rFonts w:cs="Times New Roman" w:asciiTheme="majorEastAsia" w:hAnsiTheme="majorEastAsia" w:eastAsiaTheme="majorEastAsia"/>
                <w:b/>
                <w:bCs/>
                <w:kern w:val="0"/>
                <w:sz w:val="21"/>
                <w:szCs w:val="21"/>
              </w:rPr>
              <w:br w:type="textWrapping"/>
            </w:r>
            <w:r>
              <w:rPr>
                <w:rFonts w:cs="Times New Roman" w:asciiTheme="majorEastAsia" w:hAnsiTheme="majorEastAsia" w:eastAsiaTheme="majorEastAsia"/>
                <w:b/>
                <w:bCs/>
                <w:kern w:val="0"/>
                <w:sz w:val="21"/>
                <w:szCs w:val="21"/>
              </w:rPr>
              <w:t>（一行只写一个配置）</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3.1</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配置1</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eastAsiaTheme="minorEastAsia"/>
                <w:kern w:val="0"/>
                <w:sz w:val="21"/>
                <w:szCs w:val="21"/>
              </w:rPr>
            </w:pPr>
            <w:r>
              <w:rPr>
                <w:rFonts w:hint="eastAsia" w:cs="Times New Roman" w:eastAsiaTheme="minorEastAsia"/>
                <w:kern w:val="0"/>
                <w:sz w:val="21"/>
                <w:szCs w:val="21"/>
              </w:rPr>
              <w:t>监护仪</w:t>
            </w:r>
            <w:r>
              <w:rPr>
                <w:rFonts w:cs="Times New Roman" w:eastAsiaTheme="minorEastAsia"/>
                <w:kern w:val="0"/>
                <w:sz w:val="21"/>
                <w:szCs w:val="21"/>
              </w:rPr>
              <w:t>主机</w:t>
            </w:r>
            <w:r>
              <w:rPr>
                <w:rFonts w:hint="eastAsia" w:cs="Times New Roman" w:eastAsiaTheme="minorEastAsia"/>
                <w:kern w:val="0"/>
                <w:sz w:val="21"/>
                <w:szCs w:val="21"/>
              </w:rPr>
              <w:t>，</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3.2</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配置2</w:t>
            </w:r>
          </w:p>
        </w:tc>
        <w:tc>
          <w:tcPr>
            <w:tcW w:w="3948"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锂电池，</w:t>
            </w:r>
          </w:p>
        </w:tc>
        <w:tc>
          <w:tcPr>
            <w:tcW w:w="161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3.3</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配置3</w:t>
            </w:r>
          </w:p>
        </w:tc>
        <w:tc>
          <w:tcPr>
            <w:tcW w:w="3948" w:type="dxa"/>
            <w:tcBorders>
              <w:top w:val="nil"/>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心电监测主电缆和导联线，</w:t>
            </w:r>
          </w:p>
        </w:tc>
        <w:tc>
          <w:tcPr>
            <w:tcW w:w="161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hint="eastAsia" w:cs="Times New Roman" w:eastAsiaTheme="minorEastAsia"/>
                <w:kern w:val="0"/>
                <w:sz w:val="21"/>
                <w:szCs w:val="21"/>
              </w:rPr>
              <w:t>3</w:t>
            </w:r>
            <w:r>
              <w:rPr>
                <w:rFonts w:cs="Times New Roman" w:eastAsiaTheme="minorEastAsia"/>
                <w:kern w:val="0"/>
                <w:sz w:val="21"/>
                <w:szCs w:val="21"/>
              </w:rPr>
              <w:t>.4</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hint="eastAsia" w:cs="Times New Roman" w:eastAsiaTheme="minorEastAsia"/>
                <w:kern w:val="0"/>
                <w:sz w:val="21"/>
                <w:szCs w:val="21"/>
              </w:rPr>
              <w:t>配置4</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心电电极片</w:t>
            </w:r>
          </w:p>
        </w:tc>
        <w:tc>
          <w:tcPr>
            <w:tcW w:w="161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3.5</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配置5</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血氧饱和度监测主电缆和血氧探头，</w:t>
            </w:r>
          </w:p>
        </w:tc>
        <w:tc>
          <w:tcPr>
            <w:tcW w:w="161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3.6</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r>
              <w:rPr>
                <w:rFonts w:cs="Times New Roman" w:eastAsiaTheme="minorEastAsia"/>
                <w:kern w:val="0"/>
                <w:sz w:val="21"/>
                <w:szCs w:val="21"/>
              </w:rPr>
              <w:t>配置6</w:t>
            </w:r>
          </w:p>
        </w:tc>
        <w:tc>
          <w:tcPr>
            <w:tcW w:w="3948" w:type="dxa"/>
            <w:tcBorders>
              <w:top w:val="single" w:color="auto" w:sz="4" w:space="0"/>
              <w:left w:val="nil"/>
              <w:bottom w:val="single" w:color="auto" w:sz="4" w:space="0"/>
              <w:right w:val="single" w:color="auto" w:sz="4" w:space="0"/>
            </w:tcBorders>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Theme="minorEastAsia"/>
                <w:kern w:val="0"/>
                <w:sz w:val="21"/>
                <w:szCs w:val="21"/>
              </w:rPr>
            </w:pPr>
            <w:r>
              <w:rPr>
                <w:rFonts w:hint="eastAsia" w:ascii="Times New Roman" w:hAnsi="Times New Roman" w:eastAsiaTheme="minorEastAsia"/>
                <w:kern w:val="0"/>
                <w:sz w:val="21"/>
                <w:szCs w:val="21"/>
              </w:rPr>
              <w:t>无创血压监测导气管和血压袖套，</w:t>
            </w:r>
          </w:p>
        </w:tc>
        <w:tc>
          <w:tcPr>
            <w:tcW w:w="161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eastAsiaTheme="minorEastAsia"/>
                <w:kern w:val="0"/>
                <w:sz w:val="21"/>
                <w:szCs w:val="21"/>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4</w:t>
            </w:r>
          </w:p>
        </w:tc>
        <w:tc>
          <w:tcPr>
            <w:tcW w:w="2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r>
              <w:rPr>
                <w:rFonts w:cs="Times New Roman" w:asciiTheme="majorEastAsia" w:hAnsiTheme="majorEastAsia" w:eastAsiaTheme="majorEastAsia"/>
                <w:b/>
                <w:bCs/>
                <w:kern w:val="0"/>
                <w:sz w:val="21"/>
                <w:szCs w:val="21"/>
              </w:rPr>
              <w:t>售后服务</w:t>
            </w:r>
          </w:p>
        </w:tc>
        <w:tc>
          <w:tcPr>
            <w:tcW w:w="3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 w:val="21"/>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 w:val="21"/>
                <w:szCs w:val="21"/>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保修年限</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≥3年</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4.2</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出现故障回应时间</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维修到达现场时间≤ 12小时（</w:t>
            </w:r>
            <w:r>
              <w:rPr>
                <w:rFonts w:hint="eastAsia" w:cs="Times New Roman" w:asciiTheme="majorEastAsia" w:hAnsiTheme="majorEastAsia" w:eastAsiaTheme="majorEastAsia"/>
                <w:kern w:val="0"/>
                <w:sz w:val="21"/>
                <w:szCs w:val="21"/>
              </w:rPr>
              <w:t>市内</w:t>
            </w:r>
            <w:r>
              <w:rPr>
                <w:rFonts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维修到达现场时间≤24小时（</w:t>
            </w:r>
            <w:r>
              <w:rPr>
                <w:rFonts w:hint="eastAsia" w:cs="Times New Roman" w:asciiTheme="majorEastAsia" w:hAnsiTheme="majorEastAsia" w:eastAsiaTheme="majorEastAsia"/>
                <w:kern w:val="0"/>
                <w:sz w:val="21"/>
                <w:szCs w:val="21"/>
              </w:rPr>
              <w:t>市外</w:t>
            </w:r>
            <w:r>
              <w:rPr>
                <w:rFonts w:cs="Times New Roman" w:asciiTheme="majorEastAsia" w:hAnsiTheme="majorEastAsia" w:eastAsiaTheme="majorEastAsia"/>
                <w:kern w:val="0"/>
                <w:sz w:val="21"/>
                <w:szCs w:val="21"/>
              </w:rPr>
              <w:t>）</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4.3</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维修支持</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配件供应时间</w:t>
            </w:r>
            <w:r>
              <w:rPr>
                <w:rFonts w:hint="eastAsia" w:cs="Times New Roman" w:asciiTheme="majorEastAsia" w:hAnsiTheme="majorEastAsia" w:eastAsiaTheme="majorEastAsia"/>
                <w:kern w:val="0"/>
                <w:sz w:val="21"/>
                <w:szCs w:val="21"/>
              </w:rPr>
              <w:t>不限时间</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4.4</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耗材及零配件</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提供耗材及主要零配件目录（含报价）</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4.5</w:t>
            </w:r>
          </w:p>
        </w:tc>
        <w:tc>
          <w:tcPr>
            <w:tcW w:w="2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维修资料</w:t>
            </w:r>
          </w:p>
        </w:tc>
        <w:tc>
          <w:tcPr>
            <w:tcW w:w="3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提供详细操作手册、维修保养手册、安装手册等</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4.6</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维修工具</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提供维修专用工具</w:t>
            </w:r>
            <w:r>
              <w:rPr>
                <w:rFonts w:hint="eastAsia" w:cs="Times New Roman" w:asciiTheme="majorEastAsia" w:hAnsiTheme="majorEastAsia" w:eastAsiaTheme="majorEastAsia"/>
                <w:kern w:val="0"/>
                <w:sz w:val="21"/>
                <w:szCs w:val="21"/>
              </w:rPr>
              <w:t>清单</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4.7</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预防性维修</w:t>
            </w:r>
            <w:r>
              <w:rPr>
                <w:rFonts w:cs="Times New Roman" w:asciiTheme="majorEastAsia" w:hAnsiTheme="majorEastAsia" w:eastAsiaTheme="majorEastAsia"/>
                <w:kern w:val="0"/>
                <w:sz w:val="21"/>
                <w:szCs w:val="21"/>
              </w:rPr>
              <w:br w:type="textWrapping"/>
            </w:r>
            <w:r>
              <w:rPr>
                <w:rFonts w:cs="Times New Roman" w:asciiTheme="majorEastAsia" w:hAnsiTheme="majorEastAsia" w:eastAsiaTheme="majorEastAsia"/>
                <w:kern w:val="0"/>
                <w:sz w:val="21"/>
                <w:szCs w:val="21"/>
              </w:rPr>
              <w:t>/定期维护保养</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保修期内提供定期维护保养服务</w:t>
            </w:r>
            <w:r>
              <w:rPr>
                <w:rFonts w:hint="eastAsia" w:cs="Times New Roman" w:asciiTheme="majorEastAsia" w:hAnsiTheme="majorEastAsia" w:eastAsiaTheme="majorEastAsia"/>
                <w:kern w:val="0"/>
                <w:sz w:val="21"/>
                <w:szCs w:val="21"/>
              </w:rPr>
              <w:t>≥1次/年</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4.8</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维修密码支持</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开放</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4.9</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升级</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终身免费软件升级</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4.10</w:t>
            </w:r>
          </w:p>
        </w:tc>
        <w:tc>
          <w:tcPr>
            <w:tcW w:w="26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使用培训</w:t>
            </w:r>
          </w:p>
        </w:tc>
        <w:tc>
          <w:tcPr>
            <w:tcW w:w="39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61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4.11</w:t>
            </w:r>
          </w:p>
        </w:tc>
        <w:tc>
          <w:tcPr>
            <w:tcW w:w="26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工程师培训</w:t>
            </w:r>
          </w:p>
        </w:tc>
        <w:tc>
          <w:tcPr>
            <w:tcW w:w="39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支持</w:t>
            </w:r>
          </w:p>
        </w:tc>
        <w:tc>
          <w:tcPr>
            <w:tcW w:w="161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7172689"/>
      <w:bookmarkStart w:id="11" w:name="_Toc435540980"/>
      <w:bookmarkStart w:id="12" w:name="_Toc390713968"/>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标配≥12英寸彩色触摸屏，可同屏显示≥8通道波形，主机插槽数≥2个</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★参数2</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主机标配可同时监测心电ECG、血氧饱和度SpO2、脉搏PR、无创血压NIBP、双通道体温Temp、双通道有创血压IBP</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★参数3</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支持升级选配热稀释法心排量C.O.、氧气O2、呼末二氧化碳EtCO2、麻醉气体AG、呼吸力学RM、镇静深度BIS、肌松NMT监测模块，模块可热插拔</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▲参数4</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监护仪设计使用寿命≥6年</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▲参数5</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具有≥24种实时心律失常分析（含房颤）、ST段分析、QT/QTc实时连续测量和对应报警功能，以上均适用于成人、小儿和新生儿</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▲参数6</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有创血压监测适用于成人、小儿和新生儿，支持≥2通道IBP同时监测，支持同步监测肺动脉锲压PAWP和脉压变异PPV</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▲参数7</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标配早期预警评分功能，支持升级选配格拉斯哥昏迷评分、新生儿先心病筛查、心肌缺血评估功能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参数8</w:t>
            </w:r>
            <w:r>
              <w:rPr>
                <w:rFonts w:hint="eastAsia" w:cs="Times New Roman" w:asciiTheme="minorEastAsia" w:hAnsiTheme="minorEastAsia" w:eastAsiaTheme="minorEastAsia"/>
                <w:kern w:val="0"/>
                <w:sz w:val="21"/>
                <w:szCs w:val="21"/>
                <w:lang w:val="en-US" w:eastAsia="zh-CN"/>
              </w:rPr>
              <w:t xml:space="preserve">  </w:t>
            </w:r>
            <w:r>
              <w:rPr>
                <w:rFonts w:hint="eastAsia" w:cs="Times New Roman" w:asciiTheme="minorEastAsia" w:hAnsiTheme="minorEastAsia" w:eastAsiaTheme="minorEastAsia"/>
                <w:kern w:val="0"/>
                <w:sz w:val="21"/>
                <w:szCs w:val="21"/>
              </w:rPr>
              <w:t>便携插件式监护仪，整机无风扇，主机、屏幕、插件槽采用一体化设计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9  </w:t>
            </w:r>
            <w:r>
              <w:rPr>
                <w:rFonts w:hint="eastAsia" w:cs="Times New Roman" w:asciiTheme="minorEastAsia" w:hAnsiTheme="minorEastAsia" w:eastAsiaTheme="minorEastAsia"/>
                <w:kern w:val="0"/>
                <w:sz w:val="21"/>
                <w:szCs w:val="21"/>
              </w:rPr>
              <w:t>ECG、SpO2、NIBP、Temp、IBP监测参数抗电击程度为防除颤CF型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10  </w:t>
            </w:r>
            <w:r>
              <w:rPr>
                <w:rFonts w:hint="eastAsia" w:cs="Times New Roman" w:asciiTheme="minorEastAsia" w:hAnsiTheme="minorEastAsia" w:eastAsiaTheme="minorEastAsia"/>
                <w:kern w:val="0"/>
                <w:sz w:val="21"/>
                <w:szCs w:val="21"/>
              </w:rPr>
              <w:t>标配3/5导心电监测，支持升级选配12导ECG监护，支持12导心电静息分析</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11  </w:t>
            </w:r>
            <w:r>
              <w:rPr>
                <w:rFonts w:hint="eastAsia" w:cs="Times New Roman" w:asciiTheme="minorEastAsia" w:hAnsiTheme="minorEastAsia" w:eastAsiaTheme="minorEastAsia"/>
                <w:kern w:val="0"/>
                <w:sz w:val="21"/>
                <w:szCs w:val="21"/>
              </w:rPr>
              <w:t>支持升级选配24小时心电概览报告查看与打印功能，包括心率统计、心律失常统计、ST统计和QT/QTc统计结果</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12  </w:t>
            </w:r>
            <w:r>
              <w:rPr>
                <w:rFonts w:hint="eastAsia" w:cs="Times New Roman" w:asciiTheme="minorEastAsia" w:hAnsiTheme="minorEastAsia" w:eastAsiaTheme="minorEastAsia"/>
                <w:kern w:val="0"/>
                <w:sz w:val="21"/>
                <w:szCs w:val="21"/>
              </w:rPr>
              <w:t>血氧饱和度监测适用于成人、小儿和新生儿，提供SpO2、PR和灌注指数PI的实时监测</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13  </w:t>
            </w:r>
            <w:r>
              <w:rPr>
                <w:rFonts w:hint="eastAsia" w:cs="Times New Roman" w:asciiTheme="minorEastAsia" w:hAnsiTheme="minorEastAsia" w:eastAsiaTheme="minorEastAsia"/>
                <w:kern w:val="0"/>
                <w:sz w:val="21"/>
                <w:szCs w:val="21"/>
              </w:rPr>
              <w:t>无创血压监测适用于成人、小儿和新生儿，至少具有手动、自动、连续、序列4种测量模式</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14  </w:t>
            </w:r>
            <w:r>
              <w:rPr>
                <w:rFonts w:hint="eastAsia" w:cs="Times New Roman" w:asciiTheme="minorEastAsia" w:hAnsiTheme="minorEastAsia" w:eastAsiaTheme="minorEastAsia"/>
                <w:kern w:val="0"/>
                <w:sz w:val="21"/>
                <w:szCs w:val="21"/>
              </w:rPr>
              <w:t>心率测量范围：成人≥（15~300）bpm，小儿、新生儿≥（15~350）bpm，测量误差≤±1bpm或±1%；ST段测量范围：≥（-2.5~+2.5）mV，测量误差≤±0.02mV或±10%</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15  </w:t>
            </w:r>
            <w:r>
              <w:rPr>
                <w:rFonts w:hint="eastAsia" w:cs="Times New Roman" w:asciiTheme="minorEastAsia" w:hAnsiTheme="minorEastAsia" w:eastAsiaTheme="minorEastAsia"/>
                <w:kern w:val="0"/>
                <w:sz w:val="21"/>
                <w:szCs w:val="21"/>
              </w:rPr>
              <w:t>QT/QTc测量范围：≥（200~800）ms，测量误差≤±30ms；PI监测范围：≥（0.05%~20%），最小分辨率≤0.01%</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16  </w:t>
            </w:r>
            <w:r>
              <w:rPr>
                <w:rFonts w:hint="eastAsia" w:cs="Times New Roman" w:asciiTheme="minorEastAsia" w:hAnsiTheme="minorEastAsia" w:eastAsiaTheme="minorEastAsia"/>
                <w:kern w:val="0"/>
                <w:sz w:val="21"/>
                <w:szCs w:val="21"/>
              </w:rPr>
              <w:t>无创血压收缩压范围：成人≥（25~290）mmHg、小儿≥（25~240）mmHg、新生儿≥（25~140）mmHg，最大平均误差≤±5mmHg；PPV测量范围：≥（0~50%），分辨率≤1%</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w:t>
            </w:r>
            <w:r>
              <w:rPr>
                <w:rFonts w:hint="eastAsia" w:cs="Times New Roman" w:asciiTheme="minorEastAsia" w:hAnsiTheme="minorEastAsia" w:eastAsiaTheme="minorEastAsia"/>
                <w:kern w:val="0"/>
                <w:sz w:val="21"/>
                <w:szCs w:val="21"/>
                <w:lang w:val="en-US" w:eastAsia="zh-CN"/>
              </w:rPr>
              <w:t xml:space="preserve">17 </w:t>
            </w:r>
            <w:r>
              <w:rPr>
                <w:rFonts w:hint="eastAsia" w:cs="Times New Roman" w:asciiTheme="minorEastAsia" w:hAnsiTheme="minorEastAsia" w:eastAsiaTheme="minorEastAsia"/>
                <w:kern w:val="0"/>
                <w:sz w:val="21"/>
                <w:szCs w:val="21"/>
              </w:rPr>
              <w:t>具有血液动力学、药物计算、氧合计算、通气计算和肾功能计算功能</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hint="default" w:cs="Times New Roman" w:asciiTheme="majorEastAsia" w:hAnsiTheme="maj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参数1</w:t>
            </w:r>
            <w:r>
              <w:rPr>
                <w:rFonts w:hint="eastAsia" w:cs="Times New Roman" w:asciiTheme="minorEastAsia" w:hAnsiTheme="minorEastAsia" w:eastAsiaTheme="minorEastAsia"/>
                <w:kern w:val="0"/>
                <w:sz w:val="21"/>
                <w:szCs w:val="21"/>
                <w:lang w:val="en-US" w:eastAsia="zh-CN"/>
              </w:rPr>
              <w:t xml:space="preserve">8  </w:t>
            </w:r>
            <w:r>
              <w:rPr>
                <w:rFonts w:hint="eastAsia" w:cs="Times New Roman" w:asciiTheme="minorEastAsia" w:hAnsiTheme="minorEastAsia" w:eastAsiaTheme="minorEastAsia"/>
                <w:kern w:val="0"/>
                <w:sz w:val="21"/>
                <w:szCs w:val="21"/>
              </w:rPr>
              <w:t>具有≥120小时ST模板、≥120小时趋势图表、≥48小时全息波形、≥1000条事件、≥1000组NIBP测量结果存储和回顾功能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37172691"/>
      <w:bookmarkStart w:id="20" w:name="_Toc285612604"/>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65E7F9C"/>
    <w:rsid w:val="27112A95"/>
    <w:rsid w:val="3A8F5BC3"/>
    <w:rsid w:val="40DA5217"/>
    <w:rsid w:val="579F6FB1"/>
    <w:rsid w:val="60B20811"/>
    <w:rsid w:val="64975810"/>
    <w:rsid w:val="65BD4F9F"/>
    <w:rsid w:val="728A7DBE"/>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2</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2020-12-17T06:52:37Z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