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b/>
          <w:bCs/>
          <w:kern w:val="0"/>
          <w:sz w:val="84"/>
          <w:szCs w:val="84"/>
        </w:rPr>
      </w:pPr>
      <w:r>
        <w:rPr>
          <w:rFonts w:hint="eastAsia" w:asciiTheme="minorEastAsia" w:hAnsiTheme="minorEastAsia" w:cstheme="minorEastAsia"/>
          <w:b/>
          <w:bCs/>
          <w:kern w:val="0"/>
          <w:sz w:val="84"/>
          <w:szCs w:val="84"/>
        </w:rPr>
        <w:t>谈 判 文 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Theme="minorEastAsia" w:hAnsiTheme="minorEastAsia" w:cstheme="minorEastAsia"/>
          <w:sz w:val="36"/>
          <w:szCs w:val="44"/>
          <w:u w:val="single"/>
        </w:rPr>
        <w:t>法律服务</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Theme="minorEastAsia" w:hAnsiTheme="minorEastAsia" w:cstheme="minorEastAsia"/>
          <w:sz w:val="36"/>
          <w:szCs w:val="44"/>
          <w:u w:val="single"/>
        </w:rPr>
      </w:pPr>
      <w:r>
        <w:rPr>
          <w:rFonts w:hint="eastAsia" w:ascii="宋体" w:hAnsi="宋体" w:eastAsia="宋体" w:cs="Times New Roman"/>
          <w:kern w:val="0"/>
          <w:sz w:val="36"/>
          <w:szCs w:val="36"/>
        </w:rPr>
        <w:t>项目编号</w:t>
      </w:r>
      <w:r>
        <w:rPr>
          <w:rFonts w:hint="eastAsia" w:asciiTheme="minorEastAsia" w:hAnsiTheme="minorEastAsia" w:cstheme="minorEastAsia"/>
          <w:sz w:val="36"/>
          <w:szCs w:val="44"/>
          <w:u w:val="single"/>
        </w:rPr>
        <w:t xml:space="preserve">：2020-JL13(03)-F30028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pStyle w:val="2"/>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jc w:val="center"/>
        <w:rPr>
          <w:rFonts w:ascii="方正小标宋简体" w:hAnsi="Times New Roman" w:eastAsia="方正小标宋简体" w:cs="Times New Roman"/>
          <w:kern w:val="0"/>
          <w:sz w:val="44"/>
          <w:szCs w:val="44"/>
        </w:rPr>
      </w:pPr>
    </w:p>
    <w:p>
      <w:pPr>
        <w:widowControl/>
        <w:jc w:val="center"/>
        <w:rPr>
          <w:rFonts w:ascii="方正小标宋简体" w:hAnsi="Times New Roman" w:eastAsia="方正小标宋简体" w:cs="Times New Roman"/>
          <w:kern w:val="0"/>
          <w:sz w:val="44"/>
          <w:szCs w:val="44"/>
        </w:rPr>
      </w:pPr>
    </w:p>
    <w:p>
      <w:pPr>
        <w:widowControl/>
        <w:jc w:val="center"/>
        <w:rPr>
          <w:rFonts w:ascii="方正小标宋简体" w:hAnsi="Times New Roman" w:eastAsia="方正小标宋简体" w:cs="Times New Roman"/>
          <w:kern w:val="0"/>
          <w:sz w:val="44"/>
          <w:szCs w:val="44"/>
        </w:rPr>
      </w:pPr>
    </w:p>
    <w:p>
      <w:pPr>
        <w:widowControl/>
        <w:jc w:val="center"/>
        <w:rPr>
          <w:rFonts w:ascii="方正小标宋简体" w:hAnsi="Times New Roman" w:eastAsia="方正小标宋简体" w:cs="Times New Roman"/>
          <w:kern w:val="0"/>
          <w:sz w:val="44"/>
          <w:szCs w:val="44"/>
        </w:rPr>
      </w:pP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5"/>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4"/>
          <w:rFonts w:hint="eastAsia" w:ascii="黑体" w:hAnsi="黑体" w:eastAsia="黑体"/>
          <w:sz w:val="32"/>
        </w:rPr>
        <w:t>第一部分</w:t>
      </w:r>
      <w:r>
        <w:rPr>
          <w:rStyle w:val="24"/>
          <w:rFonts w:ascii="黑体" w:hAnsi="黑体" w:eastAsia="黑体"/>
          <w:sz w:val="32"/>
        </w:rPr>
        <w:t xml:space="preserve">  </w:t>
      </w:r>
      <w:r>
        <w:rPr>
          <w:rStyle w:val="24"/>
          <w:rFonts w:hint="eastAsia" w:ascii="黑体" w:hAnsi="黑体" w:eastAsia="黑体"/>
          <w:sz w:val="32"/>
        </w:rPr>
        <w:t>采购公告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5"/>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4"/>
          <w:rFonts w:hint="eastAsia" w:ascii="黑体" w:hAnsi="黑体" w:eastAsia="黑体"/>
          <w:sz w:val="32"/>
          <w:lang w:val="zh-CN"/>
        </w:rPr>
        <w:t>第二部分</w:t>
      </w:r>
      <w:r>
        <w:rPr>
          <w:rStyle w:val="24"/>
          <w:rFonts w:ascii="黑体" w:hAnsi="黑体" w:eastAsia="黑体"/>
          <w:sz w:val="32"/>
          <w:lang w:val="zh-CN"/>
        </w:rPr>
        <w:t xml:space="preserve">  </w:t>
      </w:r>
      <w:r>
        <w:rPr>
          <w:rStyle w:val="24"/>
          <w:rFonts w:hint="eastAsia" w:ascii="黑体" w:hAnsi="黑体" w:eastAsia="黑体"/>
          <w:sz w:val="32"/>
          <w:lang w:val="zh-CN"/>
        </w:rPr>
        <w:t>采购项目技</w:t>
      </w:r>
      <w:r>
        <w:rPr>
          <w:rStyle w:val="24"/>
          <w:rFonts w:hint="eastAsia" w:ascii="黑体" w:hAnsi="黑体" w:eastAsia="黑体" w:cs="宋体"/>
          <w:sz w:val="32"/>
          <w:lang w:val="zh-CN"/>
        </w:rPr>
        <w:t>术</w:t>
      </w:r>
      <w:r>
        <w:rPr>
          <w:rStyle w:val="24"/>
          <w:rFonts w:hint="eastAsia" w:ascii="黑体" w:hAnsi="黑体" w:eastAsia="黑体" w:cs="Dotum"/>
          <w:sz w:val="32"/>
          <w:lang w:val="zh-CN"/>
        </w:rPr>
        <w:t>和商</w:t>
      </w:r>
      <w:r>
        <w:rPr>
          <w:rStyle w:val="24"/>
          <w:rFonts w:hint="eastAsia" w:ascii="黑体" w:hAnsi="黑体" w:eastAsia="黑体" w:cs="宋体"/>
          <w:sz w:val="32"/>
          <w:lang w:val="zh-CN"/>
        </w:rPr>
        <w:t>务</w:t>
      </w:r>
      <w:r>
        <w:rPr>
          <w:rStyle w:val="24"/>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5"/>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4"/>
          <w:rFonts w:hint="eastAsia" w:ascii="黑体" w:hAnsi="黑体" w:eastAsia="黑体"/>
          <w:sz w:val="32"/>
        </w:rPr>
        <w:t>第三部分</w:t>
      </w:r>
      <w:r>
        <w:rPr>
          <w:rStyle w:val="24"/>
          <w:rFonts w:ascii="黑体" w:hAnsi="黑体" w:eastAsia="黑体"/>
          <w:sz w:val="32"/>
        </w:rPr>
        <w:t xml:space="preserve">  </w:t>
      </w:r>
      <w:r>
        <w:rPr>
          <w:rStyle w:val="24"/>
          <w:rFonts w:hint="eastAsia" w:ascii="黑体" w:hAnsi="黑体" w:eastAsia="黑体"/>
          <w:sz w:val="32"/>
        </w:rPr>
        <w:t>报价方须知</w:t>
      </w:r>
      <w:r>
        <w:rPr>
          <w:sz w:val="32"/>
        </w:rPr>
        <w:tab/>
      </w:r>
      <w:r>
        <w:rPr>
          <w:sz w:val="32"/>
        </w:rPr>
        <w:fldChar w:fldCharType="begin"/>
      </w:r>
      <w:r>
        <w:rPr>
          <w:sz w:val="32"/>
        </w:rPr>
        <w:instrText xml:space="preserve"> PAGEREF _Toc37172689 \h </w:instrText>
      </w:r>
      <w:r>
        <w:rPr>
          <w:sz w:val="32"/>
        </w:rPr>
        <w:fldChar w:fldCharType="separate"/>
      </w:r>
      <w:r>
        <w:rPr>
          <w:sz w:val="32"/>
        </w:rPr>
        <w:t>9</w:t>
      </w:r>
      <w:r>
        <w:rPr>
          <w:sz w:val="32"/>
        </w:rPr>
        <w:fldChar w:fldCharType="end"/>
      </w:r>
      <w:r>
        <w:rPr>
          <w:sz w:val="32"/>
        </w:rPr>
        <w:fldChar w:fldCharType="end"/>
      </w:r>
    </w:p>
    <w:p>
      <w:pPr>
        <w:pStyle w:val="15"/>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4"/>
          <w:rFonts w:hint="eastAsia" w:ascii="黑体" w:hAnsi="黑体" w:eastAsia="黑体"/>
          <w:bCs/>
          <w:sz w:val="32"/>
        </w:rPr>
        <w:t>第四部分</w:t>
      </w:r>
      <w:r>
        <w:rPr>
          <w:rStyle w:val="24"/>
          <w:rFonts w:ascii="黑体" w:hAnsi="黑体" w:eastAsia="黑体"/>
          <w:bCs/>
          <w:sz w:val="32"/>
        </w:rPr>
        <w:t xml:space="preserve">  </w:t>
      </w:r>
      <w:r>
        <w:rPr>
          <w:rStyle w:val="24"/>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30</w:t>
      </w:r>
      <w:r>
        <w:rPr>
          <w:sz w:val="32"/>
        </w:rPr>
        <w:fldChar w:fldCharType="end"/>
      </w:r>
      <w:r>
        <w:rPr>
          <w:sz w:val="32"/>
        </w:rPr>
        <w:fldChar w:fldCharType="end"/>
      </w:r>
    </w:p>
    <w:p>
      <w:pPr>
        <w:pStyle w:val="15"/>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4"/>
          <w:rFonts w:hint="eastAsia" w:ascii="黑体" w:hAnsi="黑体" w:eastAsia="黑体"/>
          <w:sz w:val="32"/>
        </w:rPr>
        <w:t>第五部分</w:t>
      </w:r>
      <w:r>
        <w:rPr>
          <w:rStyle w:val="24"/>
          <w:rFonts w:ascii="黑体" w:hAnsi="黑体" w:eastAsia="黑体"/>
          <w:sz w:val="32"/>
        </w:rPr>
        <w:t xml:space="preserve">  </w:t>
      </w:r>
      <w:r>
        <w:rPr>
          <w:rStyle w:val="24"/>
          <w:rFonts w:hint="eastAsia" w:ascii="黑体" w:hAnsi="黑体" w:eastAsia="黑体"/>
          <w:sz w:val="32"/>
        </w:rPr>
        <w:t>附件</w:t>
      </w:r>
      <w:r>
        <w:rPr>
          <w:rStyle w:val="24"/>
          <w:rFonts w:ascii="黑体" w:hAnsi="黑体" w:eastAsia="黑体"/>
          <w:sz w:val="32"/>
        </w:rPr>
        <w:t>/</w:t>
      </w:r>
      <w:r>
        <w:rPr>
          <w:rStyle w:val="24"/>
          <w:rFonts w:hint="eastAsia" w:ascii="黑体" w:hAnsi="黑体" w:eastAsia="黑体"/>
          <w:sz w:val="32"/>
        </w:rPr>
        <w:t>报价文件格式</w:t>
      </w:r>
      <w:r>
        <w:rPr>
          <w:sz w:val="32"/>
        </w:rPr>
        <w:tab/>
      </w:r>
      <w:r>
        <w:rPr>
          <w:sz w:val="32"/>
        </w:rPr>
        <w:fldChar w:fldCharType="begin"/>
      </w:r>
      <w:r>
        <w:rPr>
          <w:sz w:val="32"/>
        </w:rPr>
        <w:instrText xml:space="preserve"> PAGEREF _Toc37172691 \h </w:instrText>
      </w:r>
      <w:r>
        <w:rPr>
          <w:sz w:val="32"/>
        </w:rPr>
        <w:fldChar w:fldCharType="separate"/>
      </w:r>
      <w:r>
        <w:rPr>
          <w:sz w:val="32"/>
        </w:rPr>
        <w:t>30</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3"/>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0"/>
      <w:bookmarkEnd w:id="3"/>
    </w:p>
    <w:p>
      <w:pPr>
        <w:adjustRightInd w:val="0"/>
        <w:snapToGrid w:val="0"/>
        <w:spacing w:line="440" w:lineRule="exact"/>
        <w:jc w:val="center"/>
        <w:rPr>
          <w:rFonts w:ascii="Tahoma" w:hAnsi="Tahoma" w:cs="Tahoma"/>
          <w:kern w:val="0"/>
          <w:sz w:val="28"/>
          <w:szCs w:val="28"/>
        </w:rPr>
      </w:pPr>
      <w:r>
        <w:rPr>
          <w:rFonts w:hint="eastAsia" w:ascii="Tahoma" w:hAnsi="Tahoma" w:cs="Tahoma"/>
          <w:b/>
          <w:bCs/>
          <w:kern w:val="0"/>
          <w:sz w:val="28"/>
          <w:szCs w:val="28"/>
        </w:rPr>
        <w:t>关于法律服务的采购</w:t>
      </w:r>
      <w:r>
        <w:rPr>
          <w:rFonts w:ascii="Tahoma" w:hAnsi="Tahoma" w:cs="Tahoma"/>
          <w:b/>
          <w:bCs/>
          <w:kern w:val="0"/>
          <w:sz w:val="28"/>
          <w:szCs w:val="28"/>
        </w:rPr>
        <w:t>公告</w:t>
      </w:r>
      <w:r>
        <w:rPr>
          <w:rFonts w:ascii="Tahoma" w:hAnsi="Tahoma" w:cs="Tahoma"/>
          <w:kern w:val="0"/>
          <w:sz w:val="28"/>
          <w:szCs w:val="28"/>
        </w:rPr>
        <w:t>2020-JL13(03)-F30028</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我院就以下项目进行竞争性谈判，欢迎符合条件的供应商参加谈判报价。</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Cs/>
          <w:kern w:val="0"/>
          <w:sz w:val="24"/>
          <w:szCs w:val="24"/>
        </w:rPr>
        <w:t>法律服务</w:t>
      </w:r>
    </w:p>
    <w:p>
      <w:pPr>
        <w:adjustRightInd w:val="0"/>
        <w:snapToGrid w:val="0"/>
        <w:spacing w:line="440" w:lineRule="exact"/>
        <w:ind w:firstLine="462" w:firstLineChars="200"/>
        <w:rPr>
          <w:rFonts w:ascii="Tahoma" w:hAnsi="Tahoma" w:cs="Tahoma"/>
          <w:kern w:val="0"/>
          <w:sz w:val="28"/>
          <w:szCs w:val="28"/>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asciiTheme="minorEastAsia" w:hAnsiTheme="minorEastAsia" w:cstheme="minorEastAsia"/>
          <w:kern w:val="0"/>
          <w:sz w:val="24"/>
          <w:szCs w:val="24"/>
        </w:rPr>
        <w:t>2020-JL13(03)-F30028</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20"/>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4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2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服务名称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szCs w:val="21"/>
              </w:rPr>
              <w:t>服务年限</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服务开始</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服务</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2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bCs/>
                <w:kern w:val="0"/>
                <w:szCs w:val="21"/>
              </w:rPr>
              <w:t>法律服务</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详见谈判文件第二部分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highlight w:val="red"/>
              </w:rPr>
            </w:pPr>
            <w:r>
              <w:rPr>
                <w:rFonts w:hint="eastAsia" w:cs="Times New Roman" w:asciiTheme="minorEastAsia" w:hAnsiTheme="minorEastAsia"/>
                <w:szCs w:val="21"/>
              </w:rPr>
              <w:t>年</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highlight w:val="red"/>
              </w:rPr>
            </w:pPr>
            <w:r>
              <w:rPr>
                <w:rFonts w:hint="eastAsia" w:cs="Times New Roman" w:asciiTheme="minorEastAsia" w:hAnsiTheme="minorEastAsia"/>
                <w:szCs w:val="21"/>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highlight w:val="red"/>
              </w:rPr>
            </w:pPr>
            <w:r>
              <w:rPr>
                <w:rFonts w:hint="eastAsia" w:cs="Times New Roman" w:asciiTheme="minorEastAsia" w:hAnsiTheme="minorEastAsia"/>
                <w:szCs w:val="21"/>
              </w:rPr>
              <w:t>合同签订完成之日起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highlight w:val="red"/>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highlight w:val="red"/>
              </w:rPr>
            </w:pP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1.</w:t>
            </w:r>
            <w:r>
              <w:rPr>
                <w:rFonts w:hint="eastAsia" w:ascii="宋体" w:hAnsi="宋体"/>
              </w:rPr>
              <w:t>报价应含常年法律服务需求方案中总体需求与专项工作需求所有价格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四、供应商</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sz w:val="24"/>
          <w:szCs w:val="24"/>
        </w:rPr>
        <w:t>具</w:t>
      </w:r>
      <w:r>
        <w:rPr>
          <w:rFonts w:hint="eastAsia" w:cs="Times New Roman" w:asciiTheme="minorEastAsia" w:hAnsiTheme="minorEastAsia"/>
          <w:kern w:val="0"/>
          <w:sz w:val="24"/>
          <w:szCs w:val="24"/>
        </w:rPr>
        <w:t>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3.具有履行合同所必需的专业团队及技术能力；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5.参加政府采购活动前5年内，在经营活动中没有重大违法记录；</w:t>
      </w:r>
    </w:p>
    <w:p>
      <w:pPr>
        <w:adjustRightInd w:val="0"/>
        <w:snapToGrid w:val="0"/>
        <w:spacing w:line="440" w:lineRule="exact"/>
        <w:ind w:firstLine="462" w:firstLineChars="200"/>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（二）其他特定资格条件：</w:t>
      </w:r>
    </w:p>
    <w:p>
      <w:pPr>
        <w:adjustRightInd w:val="0"/>
        <w:snapToGrid w:val="0"/>
        <w:spacing w:line="440" w:lineRule="exact"/>
        <w:ind w:firstLine="462" w:firstLineChars="200"/>
        <w:rPr>
          <w:rFonts w:hint="default" w:cs="Times New Roman" w:asciiTheme="minorEastAsia" w:hAnsiTheme="minorEastAsia"/>
          <w:kern w:val="0"/>
          <w:sz w:val="24"/>
          <w:szCs w:val="24"/>
        </w:rPr>
      </w:pPr>
      <w:r>
        <w:rPr>
          <w:rFonts w:hint="default" w:cs="Times New Roman" w:asciiTheme="minorEastAsia" w:hAnsiTheme="minorEastAsia"/>
          <w:kern w:val="0"/>
          <w:sz w:val="24"/>
          <w:szCs w:val="24"/>
        </w:rPr>
        <w:t>1、须为中华人民共和国境内依法成立的综合性律师事务所，住所地需在重庆市主城区，已经</w:t>
      </w:r>
      <w:r>
        <w:rPr>
          <w:rFonts w:hint="eastAsia" w:cs="Times New Roman" w:asciiTheme="minorEastAsia" w:hAnsiTheme="minorEastAsia"/>
          <w:kern w:val="0"/>
          <w:sz w:val="24"/>
          <w:szCs w:val="24"/>
        </w:rPr>
        <w:t>正式</w:t>
      </w:r>
      <w:r>
        <w:rPr>
          <w:rFonts w:hint="default" w:cs="Times New Roman" w:asciiTheme="minorEastAsia" w:hAnsiTheme="minorEastAsia"/>
          <w:kern w:val="0"/>
          <w:sz w:val="24"/>
          <w:szCs w:val="24"/>
        </w:rPr>
        <w:t>营业超过</w:t>
      </w:r>
      <w:r>
        <w:rPr>
          <w:rFonts w:hint="eastAsia" w:cs="Times New Roman" w:asciiTheme="minorEastAsia" w:hAnsiTheme="minorEastAsia"/>
          <w:kern w:val="0"/>
          <w:sz w:val="24"/>
          <w:szCs w:val="24"/>
        </w:rPr>
        <w:t>5</w:t>
      </w:r>
      <w:r>
        <w:rPr>
          <w:rFonts w:hint="default" w:cs="Times New Roman" w:asciiTheme="minorEastAsia" w:hAnsiTheme="minorEastAsia"/>
          <w:kern w:val="0"/>
          <w:sz w:val="24"/>
          <w:szCs w:val="24"/>
        </w:rPr>
        <w:t>年；有50名以上的专职执业律师，其中有10年以上执业经验的律师不少于30名。</w:t>
      </w:r>
    </w:p>
    <w:p>
      <w:pPr>
        <w:adjustRightInd w:val="0"/>
        <w:snapToGrid w:val="0"/>
        <w:spacing w:line="440" w:lineRule="exact"/>
        <w:ind w:firstLine="462" w:firstLineChars="200"/>
        <w:rPr>
          <w:rFonts w:hint="default" w:cs="Times New Roman" w:asciiTheme="minorEastAsia" w:hAnsiTheme="minorEastAsia"/>
          <w:kern w:val="0"/>
          <w:sz w:val="24"/>
          <w:szCs w:val="24"/>
        </w:rPr>
      </w:pPr>
      <w:r>
        <w:rPr>
          <w:rFonts w:hint="default" w:cs="Times New Roman" w:asciiTheme="minorEastAsia" w:hAnsiTheme="minorEastAsia"/>
          <w:kern w:val="0"/>
          <w:sz w:val="24"/>
          <w:szCs w:val="24"/>
        </w:rPr>
        <w:t>2、若营业地不在重庆地区的，</w:t>
      </w:r>
      <w:r>
        <w:rPr>
          <w:rFonts w:hint="eastAsia" w:cs="Times New Roman" w:asciiTheme="minorEastAsia" w:hAnsiTheme="minorEastAsia"/>
          <w:kern w:val="0"/>
          <w:sz w:val="24"/>
          <w:szCs w:val="24"/>
          <w:lang w:val="en-US" w:eastAsia="zh-CN"/>
        </w:rPr>
        <w:t>须</w:t>
      </w:r>
      <w:r>
        <w:rPr>
          <w:rFonts w:hint="default" w:cs="Times New Roman" w:asciiTheme="minorEastAsia" w:hAnsiTheme="minorEastAsia"/>
          <w:kern w:val="0"/>
          <w:sz w:val="24"/>
          <w:szCs w:val="24"/>
        </w:rPr>
        <w:t>在重庆市主城区设有分支机构，该分支机构已设立超过5年；该分支机构内有30名以上的专职执业律师；其中有10年以上执业经验的律师不少于10名。</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default" w:cs="Times New Roman" w:asciiTheme="minorEastAsia" w:hAnsiTheme="minorEastAsia"/>
          <w:kern w:val="0"/>
          <w:sz w:val="24"/>
          <w:szCs w:val="24"/>
        </w:rPr>
        <w:t>3、须在重庆市主城区具有独立</w:t>
      </w:r>
      <w:r>
        <w:rPr>
          <w:rFonts w:hint="eastAsia" w:cs="Times New Roman" w:asciiTheme="minorEastAsia" w:hAnsiTheme="minorEastAsia"/>
          <w:kern w:val="0"/>
          <w:sz w:val="24"/>
          <w:szCs w:val="24"/>
        </w:rPr>
        <w:t>的现代化</w:t>
      </w:r>
      <w:r>
        <w:rPr>
          <w:rFonts w:hint="default" w:cs="Times New Roman" w:asciiTheme="minorEastAsia" w:hAnsiTheme="minorEastAsia"/>
          <w:kern w:val="0"/>
          <w:sz w:val="24"/>
          <w:szCs w:val="24"/>
        </w:rPr>
        <w:t>办公场所</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hint="default" w:cs="Times New Roman" w:asciiTheme="minorEastAsia" w:hAnsiTheme="minorEastAsia"/>
          <w:kern w:val="0"/>
          <w:sz w:val="24"/>
          <w:szCs w:val="24"/>
        </w:rPr>
      </w:pPr>
      <w:r>
        <w:rPr>
          <w:rFonts w:hint="default" w:cs="Times New Roman" w:asciiTheme="minorEastAsia" w:hAnsiTheme="minorEastAsia"/>
          <w:kern w:val="0"/>
          <w:sz w:val="24"/>
          <w:szCs w:val="24"/>
        </w:rPr>
        <w:t>4、行业处罚情况：近5年内，未被有关征信部门列为失信名单，未被法院列为失信被执行人等。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三</w:t>
      </w:r>
      <w:r>
        <w:rPr>
          <w:rFonts w:hint="eastAsia" w:cs="Times New Roman" w:asciiTheme="minorEastAsia" w:hAnsiTheme="minorEastAsia"/>
          <w:kern w:val="0"/>
          <w:sz w:val="24"/>
          <w:szCs w:val="24"/>
        </w:rPr>
        <w:t>）供应商成立时间不少于5年。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四</w:t>
      </w:r>
      <w:r>
        <w:rPr>
          <w:rFonts w:hint="eastAsia" w:cs="Times New Roman" w:asciiTheme="minorEastAsia" w:hAnsiTheme="minorEastAsia"/>
          <w:kern w:val="0"/>
          <w:sz w:val="24"/>
          <w:szCs w:val="24"/>
        </w:rPr>
        <w:t>）非外资独资或外资控股企业。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五</w:t>
      </w:r>
      <w:r>
        <w:rPr>
          <w:rFonts w:hint="eastAsia" w:cs="Times New Roman" w:asciiTheme="minorEastAsia" w:hAnsiTheme="minorEastAsia"/>
          <w:kern w:val="0"/>
          <w:sz w:val="24"/>
          <w:szCs w:val="24"/>
        </w:rPr>
        <w:t>）单位负责人为同一人或者存在直接控股、管理关系的不同供应商，不得同时参加同一包的采购活动。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六</w:t>
      </w:r>
      <w:r>
        <w:rPr>
          <w:rFonts w:hint="eastAsia" w:cs="Times New Roman" w:asciiTheme="minorEastAsia" w:hAnsiTheme="minorEastAsia"/>
          <w:kern w:val="0"/>
          <w:sz w:val="24"/>
          <w:szCs w:val="24"/>
        </w:rPr>
        <w:t>）本项目不接受联合体报价。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七</w:t>
      </w:r>
      <w:r>
        <w:rPr>
          <w:rFonts w:hint="eastAsia" w:cs="Times New Roman" w:asciiTheme="minorEastAsia" w:hAnsiTheme="minorEastAsia"/>
          <w:kern w:val="0"/>
          <w:sz w:val="24"/>
          <w:szCs w:val="24"/>
        </w:rPr>
        <w:t>）报价方应为具备开展本项目从业活动范围的综合性律师事务所（以报价方提供的执业许可证为准）。</w:t>
      </w:r>
    </w:p>
    <w:p>
      <w:pPr>
        <w:tabs>
          <w:tab w:val="left" w:pos="0"/>
        </w:tabs>
        <w:adjustRightInd w:val="0"/>
        <w:snapToGrid w:val="0"/>
        <w:spacing w:line="440" w:lineRule="exact"/>
        <w:ind w:firstLine="462" w:firstLineChars="200"/>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eastAsia="zh-CN"/>
        </w:rPr>
        <w:t>八</w:t>
      </w:r>
      <w:r>
        <w:rPr>
          <w:rFonts w:hint="eastAsia" w:cs="Times New Roman" w:asciiTheme="minorEastAsia" w:hAnsiTheme="minorEastAsia"/>
          <w:kern w:val="0"/>
          <w:sz w:val="24"/>
          <w:szCs w:val="24"/>
        </w:rPr>
        <w:t>）具备相关行业资质。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五、谈判文件</w:t>
      </w:r>
      <w:r>
        <w:rPr>
          <w:rFonts w:cs="Times New Roman" w:asciiTheme="minorEastAsia" w:hAnsiTheme="minorEastAsia"/>
          <w:b/>
          <w:kern w:val="0"/>
          <w:sz w:val="24"/>
          <w:szCs w:val="24"/>
        </w:rPr>
        <w:t>发售时间、地点、方式及售价</w:t>
      </w:r>
    </w:p>
    <w:p>
      <w:pPr>
        <w:tabs>
          <w:tab w:val="left" w:pos="0"/>
        </w:tabs>
        <w:adjustRightInd w:val="0"/>
        <w:snapToGrid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highlight w:val="none"/>
        </w:rPr>
        <w:t>年</w:t>
      </w:r>
      <w:r>
        <w:rPr>
          <w:rFonts w:hint="eastAsia" w:ascii="宋体" w:hAnsi="宋体" w:eastAsia="宋体" w:cs="Times New Roman"/>
          <w:kern w:val="0"/>
          <w:sz w:val="24"/>
          <w:szCs w:val="24"/>
          <w:highlight w:val="none"/>
          <w:u w:val="single"/>
        </w:rPr>
        <w:t xml:space="preserve"> 10 </w:t>
      </w:r>
      <w:r>
        <w:rPr>
          <w:rFonts w:hint="eastAsia" w:ascii="宋体" w:hAnsi="宋体" w:eastAsia="宋体" w:cs="Times New Roman"/>
          <w:kern w:val="0"/>
          <w:sz w:val="24"/>
          <w:szCs w:val="24"/>
          <w:highlight w:val="none"/>
        </w:rPr>
        <w:t>月</w:t>
      </w:r>
      <w:r>
        <w:rPr>
          <w:rFonts w:hint="eastAsia"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lang w:val="en-US" w:eastAsia="zh-CN"/>
        </w:rPr>
        <w:t>26</w:t>
      </w:r>
      <w:r>
        <w:rPr>
          <w:rFonts w:hint="eastAsia"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rPr>
        <w:t>日至</w:t>
      </w:r>
      <w:r>
        <w:rPr>
          <w:rFonts w:hint="eastAsia" w:ascii="宋体" w:hAnsi="宋体" w:eastAsia="宋体" w:cs="Times New Roman"/>
          <w:kern w:val="0"/>
          <w:sz w:val="24"/>
          <w:szCs w:val="24"/>
          <w:highlight w:val="none"/>
          <w:u w:val="single"/>
        </w:rPr>
        <w:t xml:space="preserve">  1</w:t>
      </w:r>
      <w:r>
        <w:rPr>
          <w:rFonts w:hint="eastAsia" w:ascii="宋体" w:hAnsi="宋体" w:eastAsia="宋体" w:cs="Times New Roman"/>
          <w:kern w:val="0"/>
          <w:sz w:val="24"/>
          <w:szCs w:val="24"/>
          <w:highlight w:val="none"/>
          <w:u w:val="single"/>
          <w:lang w:val="en-US" w:eastAsia="zh-CN"/>
        </w:rPr>
        <w:t>1</w:t>
      </w:r>
      <w:r>
        <w:rPr>
          <w:rFonts w:hint="eastAsia"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rPr>
        <w:t>月</w:t>
      </w:r>
      <w:r>
        <w:rPr>
          <w:rFonts w:hint="eastAsia"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lang w:val="en-US" w:eastAsia="zh-CN"/>
        </w:rPr>
        <w:t>2</w:t>
      </w:r>
      <w:r>
        <w:rPr>
          <w:rFonts w:hint="eastAsia"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rPr>
        <w:t>日（0</w:t>
      </w:r>
      <w:r>
        <w:rPr>
          <w:rFonts w:hint="eastAsia" w:ascii="宋体" w:hAnsi="宋体" w:eastAsia="宋体" w:cs="Times New Roman"/>
          <w:kern w:val="0"/>
          <w:sz w:val="24"/>
          <w:szCs w:val="24"/>
        </w:rPr>
        <w:t>8:00—11:30，14:30—18:00）（北京时间、节假日除外）。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（二）发售时间：</w:t>
      </w:r>
      <w:r>
        <w:rPr>
          <w:rFonts w:hint="eastAsia" w:cs="Times New Roman" w:asciiTheme="minorEastAsia" w:hAnsiTheme="minorEastAsia"/>
          <w:kern w:val="0"/>
          <w:sz w:val="24"/>
          <w:szCs w:val="24"/>
          <w:u w:val="single"/>
          <w:lang w:eastAsia="zh-CN"/>
        </w:rPr>
        <w:t>报名后另行通知</w:t>
      </w:r>
      <w:r>
        <w:rPr>
          <w:rFonts w:hint="eastAsia" w:cs="Times New Roman" w:asciiTheme="minorEastAsia" w:hAnsiTheme="minorEastAsia"/>
          <w:kern w:val="0"/>
          <w:sz w:val="24"/>
          <w:szCs w:val="24"/>
        </w:rPr>
        <w:t>。</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（三）发售方式：供应商指定专人现场领取，不接受邮寄等其他方式。购买谈判文件时需提供以下材料原件或装订成册加盖单位公章的复印件1份。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1.执业许可证；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人资格证明书（含</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w:t>
      </w:r>
      <w:r>
        <w:rPr>
          <w:rFonts w:hint="eastAsia" w:cs="Times New Roman" w:asciiTheme="minorEastAsia" w:hAnsiTheme="minorEastAsia"/>
          <w:kern w:val="0"/>
          <w:sz w:val="24"/>
          <w:szCs w:val="24"/>
          <w:lang w:eastAsia="zh-CN"/>
        </w:rPr>
        <w:t>律师事务所财务</w:t>
      </w:r>
      <w:r>
        <w:rPr>
          <w:rFonts w:hint="eastAsia" w:cs="Times New Roman" w:asciiTheme="minorEastAsia" w:hAnsiTheme="minorEastAsia"/>
          <w:kern w:val="0"/>
          <w:sz w:val="24"/>
          <w:szCs w:val="24"/>
        </w:rPr>
        <w:t>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相关声明书（包含但不限于以下内容）：①非外资企业或外资控股企业的书面声明；②参加本次采购活动前5年内在经营活动中没有重大违法记录的书面声明；</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（四）谈判文件售价：200元/份，售后不退。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六、报价文件递交</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u w:val="single"/>
        </w:rPr>
      </w:pPr>
      <w:r>
        <w:rPr>
          <w:rFonts w:hint="eastAsia" w:cs="Times New Roman" w:asciiTheme="minorEastAsia" w:hAnsiTheme="minorEastAsia"/>
          <w:kern w:val="0"/>
          <w:sz w:val="24"/>
          <w:szCs w:val="24"/>
        </w:rPr>
        <w:t xml:space="preserve">（一）报价文件递交及谈判时间： </w:t>
      </w:r>
      <w:r>
        <w:rPr>
          <w:rFonts w:hint="eastAsia" w:cs="Times New Roman" w:asciiTheme="minorEastAsia" w:hAnsiTheme="minorEastAsia"/>
          <w:kern w:val="0"/>
          <w:sz w:val="24"/>
          <w:szCs w:val="24"/>
          <w:u w:val="single"/>
          <w:lang w:eastAsia="zh-CN"/>
        </w:rPr>
        <w:t>报名后另行通知</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（二）报价文件递交地点：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（三）报价方式：指定专人现场递交报价文件，不接受邮寄等其他方式。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4"/>
          <w:rFonts w:asciiTheme="minorEastAsia" w:hAnsiTheme="minorEastAsia"/>
          <w:b/>
          <w:color w:val="auto"/>
          <w:kern w:val="0"/>
          <w:sz w:val="24"/>
          <w:szCs w:val="24"/>
          <w:u w:val="none"/>
        </w:rPr>
        <w:t>www.zhaobiao.cn</w:t>
      </w:r>
      <w:r>
        <w:rPr>
          <w:rStyle w:val="24"/>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九、采购机构</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陈老师、甘老师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023-68766153    </w:t>
      </w:r>
      <w:r>
        <w:rPr>
          <w:rFonts w:hint="eastAsia" w:cs="Times New Roman" w:asciiTheme="minorEastAsia" w:hAnsiTheme="minorEastAsia"/>
          <w:kern w:val="0"/>
          <w:sz w:val="24"/>
          <w:szCs w:val="24"/>
        </w:rPr>
        <w:t xml:space="preserve">（08:00—12:00，14:30—18:00）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（08:00—12:00，14:30—18:00）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bookmarkStart w:id="24" w:name="_GoBack"/>
      <w:bookmarkEnd w:id="24"/>
    </w:p>
    <w:p>
      <w:pPr>
        <w:adjustRightInd w:val="0"/>
        <w:snapToGrid w:val="0"/>
        <w:spacing w:line="440" w:lineRule="exact"/>
        <w:ind w:left="4892" w:leftChars="2434" w:firstLine="451" w:firstLineChars="195"/>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p>
    <w:p>
      <w:pPr>
        <w:adjustRightInd w:val="0"/>
        <w:snapToGrid w:val="0"/>
        <w:spacing w:line="440" w:lineRule="exact"/>
        <w:ind w:left="4723" w:leftChars="2350"/>
        <w:rPr>
          <w:rFonts w:cs="Times New Roman" w:asciiTheme="minorEastAsia" w:hAnsiTheme="minorEastAsia"/>
          <w:kern w:val="0"/>
          <w:sz w:val="24"/>
          <w:szCs w:val="24"/>
          <w:highlight w:val="none"/>
        </w:rPr>
      </w:pPr>
      <w:r>
        <w:rPr>
          <w:rFonts w:hint="eastAsia" w:cs="Times New Roman" w:asciiTheme="minorEastAsia" w:hAnsiTheme="minorEastAsia"/>
          <w:kern w:val="0"/>
          <w:sz w:val="24"/>
          <w:szCs w:val="24"/>
        </w:rPr>
        <w:t xml:space="preserve"> 2020 年 10 月</w:t>
      </w:r>
      <w:r>
        <w:rPr>
          <w:rFonts w:hint="eastAsia" w:cs="Times New Roman" w:asciiTheme="minorEastAsia" w:hAnsiTheme="minorEastAsia"/>
          <w:kern w:val="0"/>
          <w:sz w:val="24"/>
          <w:szCs w:val="24"/>
          <w:highlight w:val="none"/>
        </w:rPr>
        <w:t xml:space="preserve"> </w:t>
      </w:r>
      <w:r>
        <w:rPr>
          <w:rFonts w:hint="eastAsia" w:cs="Times New Roman" w:asciiTheme="minorEastAsia" w:hAnsiTheme="minorEastAsia"/>
          <w:kern w:val="0"/>
          <w:sz w:val="24"/>
          <w:szCs w:val="24"/>
          <w:highlight w:val="none"/>
          <w:lang w:val="en-US" w:eastAsia="zh-CN"/>
        </w:rPr>
        <w:t>26</w:t>
      </w:r>
      <w:r>
        <w:rPr>
          <w:rFonts w:hint="eastAsia" w:cs="Times New Roman" w:asciiTheme="minorEastAsia" w:hAnsiTheme="minorEastAsia"/>
          <w:kern w:val="0"/>
          <w:sz w:val="24"/>
          <w:szCs w:val="24"/>
          <w:highlight w:val="none"/>
        </w:rPr>
        <w:t xml:space="preserve"> 日</w:t>
      </w:r>
    </w:p>
    <w:p>
      <w:pPr>
        <w:autoSpaceDE w:val="0"/>
        <w:autoSpaceDN w:val="0"/>
        <w:adjustRightInd w:val="0"/>
        <w:snapToGrid w:val="0"/>
        <w:spacing w:line="440" w:lineRule="exact"/>
        <w:rPr>
          <w:rFonts w:cs="Times New Roman" w:asciiTheme="minorEastAsia" w:hAnsiTheme="minorEastAsia"/>
          <w:kern w:val="0"/>
          <w:sz w:val="24"/>
          <w:szCs w:val="24"/>
          <w:highlight w:val="none"/>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3"/>
        <w:adjustRightInd w:val="0"/>
        <w:snapToGrid w:val="0"/>
        <w:spacing w:line="440" w:lineRule="exact"/>
        <w:jc w:val="center"/>
        <w:rPr>
          <w:rFonts w:ascii="黑体" w:hAnsi="黑体" w:eastAsia="黑体"/>
          <w:kern w:val="0"/>
          <w:sz w:val="32"/>
          <w:szCs w:val="32"/>
          <w:lang w:val="zh-CN"/>
        </w:rPr>
      </w:pPr>
      <w:bookmarkStart w:id="4" w:name="_Toc37172688"/>
      <w:bookmarkStart w:id="5" w:name="_Toc285612594"/>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一、服务</w:t>
      </w:r>
      <w:bookmarkStart w:id="8" w:name="_Toc285612596"/>
      <w:r>
        <w:rPr>
          <w:rFonts w:hint="eastAsia" w:cs="Times New Roman" w:asciiTheme="minorEastAsia" w:hAnsiTheme="minorEastAsia"/>
          <w:b/>
          <w:kern w:val="0"/>
          <w:sz w:val="24"/>
          <w:szCs w:val="24"/>
        </w:rPr>
        <w:t>要求及内容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jc w:val="center"/>
              <w:rPr>
                <w:rFonts w:ascii="黑体" w:hAnsi="黑体" w:eastAsia="黑体" w:cs="黑体"/>
                <w:sz w:val="28"/>
                <w:szCs w:val="36"/>
              </w:rPr>
            </w:pPr>
            <w:r>
              <w:rPr>
                <w:rFonts w:hint="eastAsia" w:ascii="黑体" w:hAnsi="黑体" w:eastAsia="黑体" w:cs="黑体"/>
                <w:sz w:val="28"/>
                <w:szCs w:val="36"/>
              </w:rPr>
              <w:t>项目</w:t>
            </w:r>
          </w:p>
        </w:tc>
        <w:tc>
          <w:tcPr>
            <w:tcW w:w="7613" w:type="dxa"/>
          </w:tcPr>
          <w:p>
            <w:pPr>
              <w:jc w:val="center"/>
              <w:rPr>
                <w:rFonts w:ascii="黑体" w:hAnsi="黑体" w:eastAsia="黑体" w:cs="黑体"/>
                <w:sz w:val="28"/>
                <w:szCs w:val="36"/>
              </w:rPr>
            </w:pPr>
            <w:r>
              <w:rPr>
                <w:rFonts w:hint="eastAsia" w:ascii="黑体" w:hAnsi="黑体" w:eastAsia="黑体" w:cs="黑体"/>
                <w:sz w:val="28"/>
                <w:szCs w:val="36"/>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rPr>
                <w:rFonts w:ascii="黑体" w:hAnsi="黑体" w:eastAsia="黑体" w:cs="黑体"/>
                <w:sz w:val="28"/>
                <w:szCs w:val="36"/>
              </w:rPr>
            </w:pPr>
            <w:r>
              <w:rPr>
                <w:rFonts w:hint="eastAsia" w:ascii="黑体" w:hAnsi="黑体" w:eastAsia="黑体" w:cs="黑体"/>
                <w:sz w:val="28"/>
                <w:szCs w:val="36"/>
              </w:rPr>
              <w:t>准入要求</w:t>
            </w:r>
          </w:p>
        </w:tc>
        <w:tc>
          <w:tcPr>
            <w:tcW w:w="7613" w:type="dxa"/>
          </w:tcPr>
          <w:p>
            <w:pPr>
              <w:spacing w:line="400" w:lineRule="exact"/>
              <w:ind w:left="231" w:hanging="231" w:hangingChars="100"/>
              <w:jc w:val="left"/>
              <w:rPr>
                <w:rStyle w:val="52"/>
                <w:rFonts w:hint="default" w:ascii="仿宋_GB2312" w:eastAsia="仿宋_GB2312"/>
              </w:rPr>
            </w:pPr>
            <w:r>
              <w:rPr>
                <w:rStyle w:val="52"/>
                <w:rFonts w:hint="default" w:ascii="仿宋_GB2312" w:eastAsia="仿宋_GB2312"/>
              </w:rPr>
              <w:t>1、须为中华人民共和国境内依法成立的综合性律师事务所，住所地需在重庆市主城区，已经正式营业超过5年；</w:t>
            </w:r>
          </w:p>
          <w:p>
            <w:pPr>
              <w:spacing w:line="400" w:lineRule="exact"/>
              <w:ind w:left="201" w:leftChars="100"/>
              <w:jc w:val="left"/>
              <w:rPr>
                <w:rStyle w:val="52"/>
                <w:rFonts w:hint="default" w:ascii="仿宋_GB2312" w:eastAsia="仿宋_GB2312"/>
              </w:rPr>
            </w:pPr>
            <w:r>
              <w:rPr>
                <w:rStyle w:val="52"/>
                <w:rFonts w:hint="default" w:ascii="仿宋_GB2312" w:eastAsia="仿宋_GB2312"/>
              </w:rPr>
              <w:t>有</w:t>
            </w:r>
            <w:r>
              <w:rPr>
                <w:rStyle w:val="52"/>
                <w:rFonts w:hint="default" w:ascii="仿宋_GB2312" w:eastAsia="仿宋_GB2312"/>
                <w:u w:val="single"/>
              </w:rPr>
              <w:t>50名</w:t>
            </w:r>
            <w:r>
              <w:rPr>
                <w:rStyle w:val="52"/>
                <w:rFonts w:hint="default" w:ascii="仿宋_GB2312" w:eastAsia="仿宋_GB2312"/>
              </w:rPr>
              <w:t>以上的专职执业律师，其中有10年以上执业经验的律师不少于30名。</w:t>
            </w:r>
          </w:p>
          <w:p>
            <w:pPr>
              <w:spacing w:line="400" w:lineRule="exact"/>
              <w:ind w:left="231" w:hanging="231" w:hangingChars="100"/>
              <w:jc w:val="left"/>
              <w:rPr>
                <w:rStyle w:val="52"/>
                <w:rFonts w:hint="default" w:ascii="仿宋_GB2312" w:eastAsia="仿宋_GB2312"/>
                <w:color w:val="auto"/>
              </w:rPr>
            </w:pPr>
            <w:r>
              <w:rPr>
                <w:rStyle w:val="52"/>
                <w:rFonts w:hint="default" w:ascii="仿宋_GB2312" w:eastAsia="仿宋_GB2312"/>
              </w:rPr>
              <w:t>2、若营业地不在重庆地区的，须在重庆市主城区设有分支机构，该分支机构已设</w:t>
            </w:r>
            <w:r>
              <w:rPr>
                <w:rStyle w:val="52"/>
                <w:rFonts w:hint="default" w:ascii="仿宋_GB2312" w:eastAsia="仿宋_GB2312"/>
                <w:color w:val="auto"/>
              </w:rPr>
              <w:t>立超过5年；</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该分支机构内有30名以上的专职执业律师；其中有10年以上执业经验的律师不少于10名。</w:t>
            </w:r>
          </w:p>
          <w:p>
            <w:pPr>
              <w:spacing w:line="400" w:lineRule="exact"/>
              <w:jc w:val="left"/>
              <w:rPr>
                <w:rStyle w:val="52"/>
                <w:rFonts w:hint="default" w:ascii="仿宋_GB2312" w:eastAsia="仿宋_GB2312"/>
                <w:color w:val="auto"/>
              </w:rPr>
            </w:pPr>
            <w:r>
              <w:rPr>
                <w:rStyle w:val="52"/>
                <w:rFonts w:hint="default" w:ascii="仿宋_GB2312" w:eastAsia="仿宋_GB2312"/>
                <w:color w:val="auto"/>
              </w:rPr>
              <w:t>3、须在重庆市主城区具有独立的现代化办公场所。</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4、行业处罚情况：近5年内，未被有关征信部门列为失信名单，未被法院列为失信被执行人等。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r>
              <w:rPr>
                <w:rFonts w:hint="eastAsia" w:ascii="黑体" w:hAnsi="黑体" w:eastAsia="黑体" w:cs="黑体"/>
                <w:sz w:val="28"/>
                <w:szCs w:val="36"/>
              </w:rPr>
              <w:t>总体服务需求</w:t>
            </w:r>
          </w:p>
        </w:tc>
        <w:tc>
          <w:tcPr>
            <w:tcW w:w="7613" w:type="dxa"/>
          </w:tcPr>
          <w:p>
            <w:pPr>
              <w:numPr>
                <w:ilvl w:val="0"/>
                <w:numId w:val="1"/>
              </w:numPr>
              <w:spacing w:line="400" w:lineRule="exact"/>
              <w:ind w:left="231" w:hanging="231" w:hangingChars="100"/>
              <w:rPr>
                <w:rStyle w:val="52"/>
                <w:rFonts w:hint="default" w:ascii="仿宋_GB2312" w:eastAsia="仿宋_GB2312"/>
              </w:rPr>
            </w:pPr>
            <w:r>
              <w:rPr>
                <w:rStyle w:val="52"/>
                <w:rFonts w:hint="default" w:ascii="仿宋_GB2312" w:eastAsia="仿宋_GB2312"/>
              </w:rPr>
              <w:t>对医院重大决策从法律上进行论证，提出法律咨询意见。</w:t>
            </w:r>
          </w:p>
          <w:p>
            <w:pPr>
              <w:numPr>
                <w:ilvl w:val="0"/>
                <w:numId w:val="1"/>
              </w:numPr>
              <w:spacing w:line="400" w:lineRule="exact"/>
              <w:ind w:left="231" w:hanging="231" w:hangingChars="100"/>
              <w:rPr>
                <w:rStyle w:val="52"/>
                <w:rFonts w:hint="default" w:ascii="仿宋_GB2312" w:eastAsia="仿宋_GB2312"/>
              </w:rPr>
            </w:pPr>
            <w:r>
              <w:rPr>
                <w:rStyle w:val="52"/>
                <w:rFonts w:hint="default" w:ascii="仿宋_GB2312" w:eastAsia="仿宋_GB2312"/>
              </w:rPr>
              <w:t>根据医院需求，动态跟进所涉行业的法律资讯，分析国家法规及行业规范对医疗管理、人文管理、经营管理及发展的利害关系，及时提出相应的风险防范意见或应对措施。</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3、审查医院相关涉法文件、合同、协议等，参与医院内部规章的制定与修改。</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4、根据医院需求，参与特定项目谈判、审查，准备所需的相关法律文件，提供专业法律保障。</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5、就医院管理工作中遇到的法律问题，能随时提供法律咨询意见（口头或书面）。</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6、协助医院处理有关涉法的疑难复杂信访、安全事故、劳资纠纷、合同纠纷等法律事务，对医院纠纷应急处置的需求能快速响应。</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7、接受医院委托，参与医院民事、经济、知识产权、劳动仲裁和诉讼以及行政复议和行政诉讼过程。</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 xml:space="preserve">8、指导医院内部法律工作人员开展工作，定期组织法律业务培训，每年不少于2次全院性培训。                                                           </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9、合同商定的其他法律事务。</w:t>
            </w:r>
          </w:p>
          <w:p>
            <w:pPr>
              <w:spacing w:line="400" w:lineRule="exact"/>
              <w:ind w:left="231" w:hanging="231" w:hangingChars="100"/>
              <w:rPr>
                <w:rFonts w:ascii="黑体" w:hAnsi="黑体" w:eastAsia="仿宋_GB2312" w:cs="黑体"/>
                <w:sz w:val="28"/>
                <w:szCs w:val="36"/>
              </w:rPr>
            </w:pPr>
            <w:r>
              <w:rPr>
                <w:rStyle w:val="52"/>
                <w:rFonts w:hint="default" w:ascii="仿宋_GB2312" w:eastAsia="仿宋_GB2312"/>
              </w:rPr>
              <w:t>10、医院将定期对律所提供的服务进行满意度评价，具体指标将在合同中进行约定。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tcPr>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r>
              <w:rPr>
                <w:rFonts w:hint="eastAsia" w:ascii="黑体" w:hAnsi="黑体" w:eastAsia="黑体" w:cs="黑体"/>
                <w:sz w:val="28"/>
                <w:szCs w:val="36"/>
              </w:rPr>
              <w:t>专项工作服务需求</w:t>
            </w: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r>
              <w:rPr>
                <w:rFonts w:hint="eastAsia" w:ascii="黑体" w:hAnsi="黑体" w:eastAsia="黑体" w:cs="黑体"/>
                <w:sz w:val="28"/>
                <w:szCs w:val="36"/>
              </w:rPr>
              <w:t>专项工作服务需求</w:t>
            </w:r>
          </w:p>
        </w:tc>
        <w:tc>
          <w:tcPr>
            <w:tcW w:w="7613" w:type="dxa"/>
          </w:tcPr>
          <w:p>
            <w:pPr>
              <w:spacing w:line="400" w:lineRule="exact"/>
              <w:jc w:val="left"/>
              <w:rPr>
                <w:rStyle w:val="52"/>
                <w:rFonts w:hint="default" w:ascii="仿宋_GB2312" w:eastAsia="仿宋_GB2312"/>
              </w:rPr>
            </w:pPr>
            <w:r>
              <w:rPr>
                <w:rFonts w:hint="eastAsia" w:ascii="黑体" w:hAnsi="黑体" w:eastAsia="黑体" w:cs="黑体"/>
                <w:sz w:val="28"/>
                <w:szCs w:val="36"/>
              </w:rPr>
              <w:t>医疗管理：</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1、提供案件分析服务，在为医院提供医疗纠纷的法律服务过程中，梳理个案，总结特点，定期对医院医疗安全管理法律层面存在的风险提出可行的改进方案。</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2、针对近年来国家相关医疗政策调整、出台的新法律法规及政策方针，结合军队政策，总结医院医疗安全管理方面存在的法律风险，并提出切实可行的改进意见（书面）。其中涉及内容不限于国家DRGs收费政策推广、医保政策变化、用药合理性等方面。</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3、结合现今医疗行业中医疗质量安全管理现状，总结经验，形成分析报告，涉及方向不限于横向（同级别、同体制医院）、纵向（其他级别、等级医院）对比行业中医疗质量安全管理。并结合我院实际情况，提出改进意见。</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4、针对医院医疗纠纷的应急处理，提出完整可行的应对方案，方案内容不限于处理医疗纠纷的前期准备工作、处置中的注意要点、后期处置的总结工作等。</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5、如遇到医疗纠纷紧急状况需法律顾问到场处理时，律所须承诺在约定时间到达现场。并帮助医院提前做好应急处理预案。</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6、针对医院重大决策、方案制定、文件编制提供法律咨询（口头或书面）。</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7、对医院有关医疗安全的相关协议、合同进行审核。</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8、提供日常医疗纠纷的专项培训。</w:t>
            </w:r>
          </w:p>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9、在日常处理纠纷时，指导纠纷处置，提出相关意见（书面或口头）；必要情况时，参与现场纠纷谈判。</w:t>
            </w:r>
          </w:p>
          <w:p>
            <w:pPr>
              <w:spacing w:line="400" w:lineRule="exact"/>
              <w:ind w:left="-402" w:leftChars="-200" w:firstLine="693" w:firstLineChars="300"/>
              <w:jc w:val="left"/>
              <w:rPr>
                <w:rStyle w:val="52"/>
                <w:rFonts w:hint="default" w:ascii="仿宋_GB2312" w:eastAsia="仿宋_GB2312"/>
              </w:rPr>
            </w:pPr>
            <w:r>
              <w:rPr>
                <w:rStyle w:val="52"/>
                <w:rFonts w:hint="default" w:ascii="仿宋_GB2312" w:eastAsia="仿宋_GB2312"/>
                <w:color w:val="auto"/>
              </w:rPr>
              <w:t>10、针对医院实际情况，专项定制个性化法律服务方案。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rPr>
                <w:rFonts w:ascii="黑体" w:hAnsi="黑体" w:eastAsia="黑体" w:cs="黑体"/>
                <w:sz w:val="28"/>
                <w:szCs w:val="36"/>
              </w:rPr>
            </w:pPr>
          </w:p>
        </w:tc>
        <w:tc>
          <w:tcPr>
            <w:tcW w:w="7613" w:type="dxa"/>
          </w:tcPr>
          <w:p>
            <w:pPr>
              <w:spacing w:line="400" w:lineRule="exact"/>
              <w:jc w:val="left"/>
              <w:rPr>
                <w:rFonts w:ascii="黑体" w:hAnsi="黑体" w:eastAsia="黑体" w:cs="黑体"/>
                <w:sz w:val="28"/>
                <w:szCs w:val="36"/>
              </w:rPr>
            </w:pPr>
            <w:r>
              <w:rPr>
                <w:rFonts w:hint="eastAsia" w:ascii="黑体" w:hAnsi="黑体" w:eastAsia="黑体" w:cs="黑体"/>
                <w:sz w:val="28"/>
                <w:szCs w:val="36"/>
              </w:rPr>
              <w:t>经济合同管理：</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1、对医院社会化保障部分所涉及的法律问题，随时提供咨询意见，必要时以书面形式提供。</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2、负责审查医院工程、服务、物资采购、后勤社会化保障方面等重要合同及其他重要法律文书。</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3、协助医院进行重大的业务谈判，提供相关经济活动的法律见证服务。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4、就医院后勤工程建设相关的项目，律所及服务律师特别就该项目的建设提供以下服务：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（1）负责审查就该项目的勘察、设计、施工、监理、材料采购、设备供应、工程变更等全部事宜的相关合同、协议及其补充文件；</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（2）就该项目工程建设过程中相关工期、质量、价格等各种事宜的法律问题向医院提供咨询服务，并在医院需要时出具正式的法律意见书；</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（3）协助医院与施工单位、供货商、物资采购等该项目所涉及的第三人开展重大商务谈判、进行交涉，并按照医院的指示及时发出律师函，敦促有关单位履行义务；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协助医院行使项目业主的相关权利和履行相关职能，包括但不限于：对工程质量、进度、项目管理、安全文明施工、环境与成品保护等事项实施监督、检查；履行相关的管理手续；处理安全责任事故以及其他事故；办理验收手续等。</w:t>
            </w:r>
          </w:p>
          <w:p>
            <w:pPr>
              <w:spacing w:line="400" w:lineRule="exact"/>
              <w:ind w:left="231" w:hanging="231" w:hangingChars="100"/>
              <w:rPr>
                <w:rFonts w:ascii="黑体" w:hAnsi="黑体" w:eastAsia="黑体" w:cs="黑体"/>
                <w:sz w:val="28"/>
                <w:szCs w:val="36"/>
              </w:rPr>
            </w:pPr>
            <w:r>
              <w:rPr>
                <w:rStyle w:val="52"/>
                <w:rFonts w:hint="default" w:ascii="仿宋_GB2312" w:eastAsia="仿宋_GB2312"/>
              </w:rPr>
              <w:t>5、协助医院对食品、食品添加剂和食品原材料的采购，食品生产及食品消费等纠纷进行处理，解决食品安全中遇到的法律问题，提供食品安全的最新法律信息。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pPr>
              <w:rPr>
                <w:rFonts w:ascii="黑体" w:hAnsi="黑体" w:eastAsia="黑体" w:cs="黑体"/>
                <w:sz w:val="28"/>
                <w:szCs w:val="36"/>
              </w:rPr>
            </w:pPr>
          </w:p>
        </w:tc>
        <w:tc>
          <w:tcPr>
            <w:tcW w:w="7613" w:type="dxa"/>
          </w:tcPr>
          <w:p>
            <w:pPr>
              <w:spacing w:line="400" w:lineRule="exact"/>
              <w:jc w:val="left"/>
              <w:rPr>
                <w:rFonts w:ascii="黑体" w:hAnsi="黑体" w:eastAsia="黑体" w:cs="黑体"/>
                <w:sz w:val="28"/>
                <w:szCs w:val="36"/>
              </w:rPr>
            </w:pPr>
            <w:r>
              <w:rPr>
                <w:rFonts w:hint="eastAsia" w:ascii="黑体" w:hAnsi="黑体" w:eastAsia="黑体" w:cs="黑体"/>
                <w:sz w:val="28"/>
                <w:szCs w:val="36"/>
              </w:rPr>
              <w:t>人力资源管理：</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1、参与审查医院人力资源管理中的规范性文件、规章制度、合同、协议以及其他有关法律事务文书，并在制定、修改过程中，提出相应法律建议。并结合医院实际，由医院委托进行相关规章制度的制定。</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2、及时协助医院人力资源部门处理涉及员工的突发和日常劳务纠纷事件，参加会谈协调，提供法律意见或者处理建议（口头或书面），避免因诉诸司法途径给医院声誉和经济造成损失。</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3、针对医院人力资源管理现状，在用工模式、人员考核、离职、社保购买等方面进行合法性审查与风险预防方案。</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4、对医院从事人力资源管理工作人员进行专门性法律法规培训，并在一定范围内定期开展普法讲座和政策宣贯（一季度一次）。</w:t>
            </w:r>
          </w:p>
          <w:p>
            <w:pPr>
              <w:spacing w:line="400" w:lineRule="exact"/>
              <w:jc w:val="left"/>
              <w:rPr>
                <w:rStyle w:val="52"/>
                <w:rFonts w:hint="default" w:ascii="仿宋_GB2312" w:eastAsia="仿宋_GB2312"/>
              </w:rPr>
            </w:pPr>
            <w:r>
              <w:rPr>
                <w:rStyle w:val="52"/>
                <w:rFonts w:hint="default" w:ascii="仿宋_GB2312" w:eastAsia="仿宋_GB2312"/>
              </w:rPr>
              <w:t>5、为医院人力资源</w:t>
            </w:r>
            <w:r>
              <w:rPr>
                <w:rFonts w:ascii="仿宋_GB2312" w:hAnsi="宋体" w:eastAsia="仿宋_GB2312"/>
                <w:sz w:val="24"/>
              </w:rPr>
              <w:t>管理领域重大决策、重大行政行为进行法律论证分析，提供法律意见书。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5" w:type="dxa"/>
            <w:vMerge w:val="continue"/>
          </w:tcPr>
          <w:p>
            <w:pPr>
              <w:rPr>
                <w:rFonts w:ascii="黑体" w:hAnsi="黑体" w:eastAsia="黑体" w:cs="黑体"/>
                <w:sz w:val="28"/>
                <w:szCs w:val="36"/>
              </w:rPr>
            </w:pPr>
          </w:p>
        </w:tc>
        <w:tc>
          <w:tcPr>
            <w:tcW w:w="7613" w:type="dxa"/>
          </w:tcPr>
          <w:p>
            <w:pPr>
              <w:spacing w:line="400" w:lineRule="exact"/>
              <w:jc w:val="left"/>
              <w:rPr>
                <w:rFonts w:ascii="黑体" w:hAnsi="黑体" w:eastAsia="黑体" w:cs="黑体"/>
                <w:sz w:val="28"/>
                <w:szCs w:val="36"/>
              </w:rPr>
            </w:pPr>
            <w:r>
              <w:rPr>
                <w:rFonts w:hint="eastAsia" w:ascii="黑体" w:hAnsi="黑体" w:eastAsia="黑体" w:cs="黑体"/>
                <w:sz w:val="28"/>
                <w:szCs w:val="36"/>
              </w:rPr>
              <w:t>纪检保卫管理：</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1、能提供军地互涉案件法律问题服务。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2、能提供涉网案件法律问题服务。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3、能提供对寻衅滋事、盗窃等各类刑事案件的法律问题服务。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4、能提供处置打击“医托”“医骗”相关案件的法律问题服务。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5、能提供对医院开展法制建设的相关服务。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6、能提供对婚恋矛盾、家庭纠纷等法律案件问题的服务（军婚案例有加分)。</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7、能提供对个人债务纠纷法律案件问题的服务。</w:t>
            </w:r>
          </w:p>
          <w:p>
            <w:pPr>
              <w:spacing w:line="400" w:lineRule="exact"/>
              <w:rPr>
                <w:rStyle w:val="52"/>
                <w:rFonts w:hint="default" w:ascii="仿宋_GB2312" w:eastAsia="仿宋_GB2312"/>
              </w:rPr>
            </w:pPr>
            <w:r>
              <w:rPr>
                <w:rStyle w:val="52"/>
                <w:rFonts w:hint="default" w:ascii="仿宋_GB2312" w:eastAsia="仿宋_GB2312"/>
              </w:rPr>
              <w:t>8、能配合军队或政企单位开展涉军问题法律援助服务。</w:t>
            </w:r>
          </w:p>
          <w:p>
            <w:pPr>
              <w:spacing w:line="400" w:lineRule="exact"/>
              <w:rPr>
                <w:rStyle w:val="52"/>
                <w:rFonts w:hint="default" w:ascii="仿宋_GB2312" w:eastAsia="仿宋_GB2312"/>
              </w:rPr>
            </w:pPr>
            <w:r>
              <w:rPr>
                <w:rStyle w:val="52"/>
                <w:rFonts w:hint="default" w:ascii="仿宋_GB2312" w:eastAsia="仿宋_GB2312"/>
              </w:rPr>
              <w:t>9、能提供地方人员在营区聚众闹事相关的法律问题服务。</w:t>
            </w:r>
          </w:p>
          <w:p>
            <w:pPr>
              <w:spacing w:line="400" w:lineRule="exact"/>
              <w:ind w:left="231" w:hanging="231" w:hangingChars="100"/>
              <w:rPr>
                <w:rStyle w:val="52"/>
                <w:rFonts w:hint="default" w:ascii="仿宋_GB2312" w:eastAsia="仿宋_GB2312"/>
              </w:rPr>
            </w:pPr>
            <w:r>
              <w:rPr>
                <w:rStyle w:val="52"/>
                <w:rFonts w:hint="default" w:ascii="仿宋_GB2312" w:eastAsia="仿宋_GB2312"/>
              </w:rPr>
              <w:t>10、能提供其他相关法律问题服务。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5" w:type="dxa"/>
            <w:vMerge w:val="continue"/>
          </w:tcPr>
          <w:p>
            <w:pPr>
              <w:rPr>
                <w:rFonts w:ascii="黑体" w:hAnsi="黑体" w:eastAsia="黑体" w:cs="黑体"/>
                <w:sz w:val="28"/>
                <w:szCs w:val="36"/>
              </w:rPr>
            </w:pPr>
          </w:p>
        </w:tc>
        <w:tc>
          <w:tcPr>
            <w:tcW w:w="7613" w:type="dxa"/>
          </w:tcPr>
          <w:p>
            <w:pPr>
              <w:spacing w:line="400" w:lineRule="exact"/>
              <w:rPr>
                <w:rFonts w:ascii="黑体" w:hAnsi="黑体" w:eastAsia="黑体" w:cs="黑体"/>
                <w:sz w:val="28"/>
                <w:szCs w:val="36"/>
              </w:rPr>
            </w:pPr>
            <w:r>
              <w:rPr>
                <w:rFonts w:hint="eastAsia" w:ascii="黑体" w:hAnsi="黑体" w:eastAsia="黑体" w:cs="黑体"/>
                <w:sz w:val="28"/>
                <w:szCs w:val="36"/>
              </w:rPr>
              <w:t>物资采购管理：</w:t>
            </w:r>
          </w:p>
          <w:p>
            <w:pPr>
              <w:spacing w:line="400" w:lineRule="exact"/>
              <w:rPr>
                <w:rStyle w:val="52"/>
                <w:rFonts w:hint="default" w:ascii="仿宋_GB2312" w:eastAsia="仿宋_GB2312"/>
              </w:rPr>
            </w:pPr>
            <w:r>
              <w:rPr>
                <w:rStyle w:val="52"/>
                <w:rFonts w:hint="default" w:ascii="仿宋_GB2312" w:eastAsia="仿宋_GB2312"/>
              </w:rPr>
              <w:t>1、审查医院采购相关规章制度与操作规范，提出修订完善的书面意见。</w:t>
            </w:r>
          </w:p>
          <w:p>
            <w:pPr>
              <w:spacing w:line="400" w:lineRule="exact"/>
              <w:rPr>
                <w:rStyle w:val="52"/>
                <w:rFonts w:hint="default" w:ascii="仿宋_GB2312" w:eastAsia="仿宋_GB2312"/>
              </w:rPr>
            </w:pPr>
            <w:r>
              <w:rPr>
                <w:rStyle w:val="52"/>
                <w:rFonts w:hint="default" w:ascii="仿宋_GB2312" w:eastAsia="仿宋_GB2312"/>
              </w:rPr>
              <w:t>2、对采购文件编制，采购合同签订等法律问题提供政策咨询并指导把关，对每份合同出具书面审核意见。</w:t>
            </w:r>
          </w:p>
          <w:p>
            <w:pPr>
              <w:spacing w:line="400" w:lineRule="exact"/>
              <w:rPr>
                <w:rStyle w:val="52"/>
                <w:rFonts w:hint="default" w:ascii="仿宋_GB2312" w:eastAsia="仿宋_GB2312"/>
              </w:rPr>
            </w:pPr>
            <w:r>
              <w:rPr>
                <w:rStyle w:val="52"/>
                <w:rFonts w:hint="default" w:ascii="仿宋_GB2312" w:eastAsia="仿宋_GB2312"/>
              </w:rPr>
              <w:t>3、协助处理质疑、投诉等采购工作事务，配合出具质疑、投诉书面回复意见。</w:t>
            </w:r>
          </w:p>
          <w:p>
            <w:pPr>
              <w:spacing w:line="400" w:lineRule="exact"/>
              <w:rPr>
                <w:rStyle w:val="52"/>
                <w:rFonts w:hint="default" w:ascii="仿宋_GB2312" w:eastAsia="仿宋_GB2312"/>
              </w:rPr>
            </w:pPr>
            <w:r>
              <w:rPr>
                <w:rStyle w:val="52"/>
                <w:rFonts w:hint="default" w:ascii="仿宋_GB2312" w:eastAsia="仿宋_GB2312"/>
              </w:rPr>
              <w:t>4、定期组织采购相关法律法规的培训（一年至少三次）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5" w:type="dxa"/>
          </w:tcPr>
          <w:p>
            <w:pPr>
              <w:rPr>
                <w:rFonts w:ascii="黑体" w:hAnsi="黑体" w:eastAsia="黑体" w:cs="黑体"/>
                <w:sz w:val="28"/>
                <w:szCs w:val="36"/>
              </w:rPr>
            </w:pPr>
          </w:p>
        </w:tc>
        <w:tc>
          <w:tcPr>
            <w:tcW w:w="7613" w:type="dxa"/>
          </w:tcPr>
          <w:p>
            <w:pPr>
              <w:spacing w:line="400" w:lineRule="exact"/>
              <w:rPr>
                <w:rFonts w:ascii="黑体" w:hAnsi="黑体" w:eastAsia="黑体" w:cs="黑体"/>
                <w:sz w:val="28"/>
                <w:szCs w:val="36"/>
              </w:rPr>
            </w:pPr>
            <w:r>
              <w:rPr>
                <w:rFonts w:hint="eastAsia" w:ascii="黑体" w:hAnsi="黑体" w:eastAsia="黑体" w:cs="黑体"/>
                <w:sz w:val="28"/>
                <w:szCs w:val="36"/>
              </w:rPr>
              <w:t>知识产权管理：</w:t>
            </w:r>
          </w:p>
          <w:p>
            <w:pPr>
              <w:spacing w:line="400" w:lineRule="exact"/>
              <w:rPr>
                <w:rStyle w:val="52"/>
                <w:rFonts w:hint="default" w:ascii="仿宋_GB2312" w:eastAsia="仿宋_GB2312"/>
              </w:rPr>
            </w:pPr>
            <w:r>
              <w:rPr>
                <w:rStyle w:val="52"/>
                <w:rFonts w:hint="default" w:ascii="仿宋_GB2312" w:eastAsia="仿宋_GB2312"/>
              </w:rPr>
              <w:t>1、能提供知识产权(专利、商标、著作权等）的诉讼和非诉讼法律相关事务。</w:t>
            </w:r>
          </w:p>
          <w:p>
            <w:pPr>
              <w:spacing w:line="400" w:lineRule="exact"/>
              <w:rPr>
                <w:rFonts w:ascii="黑体" w:hAnsi="黑体" w:eastAsia="仿宋_GB2312" w:cs="黑体"/>
                <w:sz w:val="28"/>
                <w:szCs w:val="36"/>
              </w:rPr>
            </w:pPr>
            <w:r>
              <w:rPr>
                <w:rStyle w:val="52"/>
                <w:rFonts w:hint="default" w:ascii="仿宋_GB2312" w:eastAsia="仿宋_GB2312"/>
              </w:rPr>
              <w:t>2、能够协助解决知识产权争议问题。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5" w:type="dxa"/>
          </w:tcPr>
          <w:p>
            <w:pPr>
              <w:rPr>
                <w:rFonts w:ascii="黑体" w:hAnsi="黑体" w:eastAsia="黑体" w:cs="黑体"/>
                <w:sz w:val="28"/>
                <w:szCs w:val="36"/>
              </w:rPr>
            </w:pPr>
            <w:r>
              <w:rPr>
                <w:rFonts w:hint="eastAsia" w:ascii="黑体" w:hAnsi="黑体" w:eastAsia="黑体" w:cs="黑体"/>
                <w:sz w:val="28"/>
                <w:szCs w:val="36"/>
              </w:rPr>
              <w:t>服务结算</w:t>
            </w:r>
          </w:p>
        </w:tc>
        <w:tc>
          <w:tcPr>
            <w:tcW w:w="7613" w:type="dxa"/>
          </w:tcPr>
          <w:p>
            <w:pPr>
              <w:spacing w:line="400" w:lineRule="exact"/>
              <w:rPr>
                <w:rStyle w:val="52"/>
                <w:rFonts w:hint="default" w:ascii="仿宋_GB2312" w:eastAsia="仿宋_GB2312"/>
              </w:rPr>
            </w:pPr>
            <w:r>
              <w:rPr>
                <w:rStyle w:val="52"/>
                <w:rFonts w:hint="default" w:ascii="仿宋_GB2312" w:eastAsia="仿宋_GB2312"/>
              </w:rPr>
              <w:t>1、法律服务年费需包含前述总体需求与专项工作需求。</w:t>
            </w:r>
          </w:p>
          <w:p>
            <w:pPr>
              <w:spacing w:line="400" w:lineRule="exact"/>
              <w:rPr>
                <w:rStyle w:val="52"/>
                <w:rFonts w:hint="default" w:ascii="仿宋_GB2312" w:eastAsia="仿宋_GB2312"/>
              </w:rPr>
            </w:pPr>
            <w:r>
              <w:rPr>
                <w:rStyle w:val="52"/>
                <w:rFonts w:hint="default" w:ascii="仿宋_GB2312" w:eastAsia="仿宋_GB2312"/>
              </w:rPr>
              <w:t>2、法律服务年费每年结算一次，结算前应收集各需求部门的满意度，并以此作为年费结算的相关依据。</w:t>
            </w:r>
          </w:p>
          <w:p>
            <w:pPr>
              <w:spacing w:line="400" w:lineRule="exact"/>
              <w:rPr>
                <w:rStyle w:val="52"/>
                <w:rFonts w:hint="default" w:ascii="仿宋_GB2312" w:eastAsia="仿宋_GB2312"/>
              </w:rPr>
            </w:pPr>
            <w:r>
              <w:rPr>
                <w:rStyle w:val="52"/>
                <w:rFonts w:hint="default" w:ascii="仿宋_GB2312" w:eastAsia="仿宋_GB2312"/>
              </w:rPr>
              <w:t>3、个案代理费用以服务合同期内代理的实际诉讼案件数量计算，通常在案件诉讼阶段完成后结算。</w:t>
            </w:r>
          </w:p>
        </w:tc>
      </w:tr>
      <w:bookmarkEnd w:id="8"/>
    </w:tbl>
    <w:p>
      <w:pPr>
        <w:adjustRightInd w:val="0"/>
        <w:snapToGrid w:val="0"/>
        <w:spacing w:line="440" w:lineRule="exact"/>
        <w:ind w:firstLine="231" w:firstLineChars="1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★（一）服务时间：</w:t>
      </w:r>
      <w:r>
        <w:rPr>
          <w:rFonts w:hint="eastAsia" w:cs="Times New Roman" w:asciiTheme="minorEastAsia" w:hAnsiTheme="minorEastAsia"/>
          <w:kern w:val="0"/>
          <w:sz w:val="24"/>
          <w:szCs w:val="24"/>
          <w:u w:val="single"/>
        </w:rPr>
        <w:t xml:space="preserve">   采购合同签订完成之日起两年  </w:t>
      </w:r>
    </w:p>
    <w:p>
      <w:pPr>
        <w:adjustRightInd w:val="0"/>
        <w:snapToGrid w:val="0"/>
        <w:spacing w:line="440" w:lineRule="exact"/>
        <w:ind w:firstLine="1372" w:firstLineChars="5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服务地点：</w:t>
      </w:r>
      <w:r>
        <w:rPr>
          <w:rFonts w:hint="eastAsia" w:cs="Times New Roman" w:asciiTheme="minorEastAsia" w:hAnsiTheme="minorEastAsia"/>
          <w:kern w:val="0"/>
          <w:sz w:val="24"/>
          <w:szCs w:val="24"/>
          <w:u w:val="single"/>
          <w:lang w:val="zh-CN"/>
        </w:rPr>
        <w:t xml:space="preserve">   甲方指定地点   </w:t>
      </w:r>
    </w:p>
    <w:p>
      <w:pPr>
        <w:adjustRightInd w:val="0"/>
        <w:snapToGrid w:val="0"/>
        <w:spacing w:line="440" w:lineRule="exact"/>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★（二）服务响应：</w:t>
      </w:r>
    </w:p>
    <w:p>
      <w:pPr>
        <w:adjustRightInd w:val="0"/>
        <w:snapToGrid w:val="0"/>
        <w:spacing w:line="440" w:lineRule="exact"/>
        <w:ind w:firstLine="462" w:firstLineChars="200"/>
        <w:rPr>
          <w:rFonts w:hint="eastAsia" w:cs="Times New Roman" w:asciiTheme="minorEastAsia" w:hAnsiTheme="minorEastAsia"/>
          <w:kern w:val="0"/>
          <w:sz w:val="24"/>
          <w:szCs w:val="24"/>
          <w:lang w:val="zh-CN" w:eastAsia="zh-CN"/>
        </w:rPr>
      </w:pPr>
      <w:r>
        <w:rPr>
          <w:rFonts w:hint="default"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1</w:t>
      </w:r>
      <w:r>
        <w:rPr>
          <w:rFonts w:hint="default" w:cs="Times New Roman" w:asciiTheme="minorEastAsia" w:hAnsiTheme="minorEastAsia"/>
          <w:kern w:val="0"/>
          <w:sz w:val="24"/>
          <w:szCs w:val="24"/>
          <w:lang w:val="zh-CN"/>
        </w:rPr>
        <w:t>）根据医院需要，在约定时间内提供法律意见、咨询，并制定相应的承诺纪律</w:t>
      </w:r>
      <w:r>
        <w:rPr>
          <w:rFonts w:hint="eastAsia" w:cs="Times New Roman" w:asciiTheme="minorEastAsia" w:hAnsiTheme="minorEastAsia"/>
          <w:kern w:val="0"/>
          <w:sz w:val="24"/>
          <w:szCs w:val="24"/>
          <w:lang w:val="zh-CN" w:eastAsia="zh-CN"/>
        </w:rPr>
        <w:t>。</w:t>
      </w:r>
    </w:p>
    <w:p>
      <w:pPr>
        <w:adjustRightInd w:val="0"/>
        <w:snapToGrid w:val="0"/>
        <w:spacing w:line="440" w:lineRule="exact"/>
        <w:ind w:firstLine="462" w:firstLineChars="200"/>
        <w:rPr>
          <w:rFonts w:hint="eastAsia" w:cs="Times New Roman" w:asciiTheme="minorEastAsia" w:hAnsiTheme="minorEastAsia"/>
          <w:kern w:val="0"/>
          <w:sz w:val="24"/>
          <w:szCs w:val="24"/>
          <w:lang w:val="zh-CN" w:eastAsia="zh-CN"/>
        </w:rPr>
      </w:pPr>
      <w:r>
        <w:rPr>
          <w:rFonts w:hint="default"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2</w:t>
      </w:r>
      <w:r>
        <w:rPr>
          <w:rFonts w:hint="default" w:cs="Times New Roman" w:asciiTheme="minorEastAsia" w:hAnsiTheme="minorEastAsia"/>
          <w:kern w:val="0"/>
          <w:sz w:val="24"/>
          <w:szCs w:val="24"/>
          <w:lang w:val="zh-CN"/>
        </w:rPr>
        <w:t>）能够根据军队医院的特殊性，在服务响应上制定高标准的响应要求、时间要求、纪律要求，及时、有效的响应医疗应急服务的需求</w:t>
      </w:r>
      <w:r>
        <w:rPr>
          <w:rFonts w:hint="eastAsia" w:cs="Times New Roman" w:asciiTheme="minorEastAsia" w:hAnsiTheme="minorEastAsia"/>
          <w:kern w:val="0"/>
          <w:sz w:val="24"/>
          <w:szCs w:val="24"/>
          <w:lang w:val="zh-CN" w:eastAsia="zh-CN"/>
        </w:rPr>
        <w:t>。</w:t>
      </w:r>
    </w:p>
    <w:p>
      <w:pPr>
        <w:adjustRightInd w:val="0"/>
        <w:snapToGrid w:val="0"/>
        <w:spacing w:line="440" w:lineRule="exact"/>
        <w:ind w:firstLine="462" w:firstLineChars="200"/>
        <w:rPr>
          <w:rFonts w:hint="eastAsia" w:cs="Times New Roman" w:asciiTheme="minorEastAsia" w:hAnsiTheme="minorEastAsia"/>
          <w:kern w:val="0"/>
          <w:sz w:val="24"/>
          <w:szCs w:val="24"/>
          <w:lang w:val="zh-CN" w:eastAsia="zh-CN"/>
        </w:rPr>
      </w:pPr>
      <w:r>
        <w:rPr>
          <w:rFonts w:hint="default"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3</w:t>
      </w:r>
      <w:r>
        <w:rPr>
          <w:rFonts w:hint="default" w:cs="Times New Roman" w:asciiTheme="minorEastAsia" w:hAnsiTheme="minorEastAsia"/>
          <w:kern w:val="0"/>
          <w:sz w:val="24"/>
          <w:szCs w:val="24"/>
          <w:lang w:val="zh-CN"/>
        </w:rPr>
        <w:t>）能够在紧急情况下及时响应医院现场处理问题，并制定相应的服务时间、服务流程、服务标准</w:t>
      </w:r>
      <w:r>
        <w:rPr>
          <w:rFonts w:hint="eastAsia" w:cs="Times New Roman" w:asciiTheme="minorEastAsia" w:hAnsiTheme="minorEastAsia"/>
          <w:kern w:val="0"/>
          <w:sz w:val="24"/>
          <w:szCs w:val="24"/>
          <w:lang w:val="zh-CN" w:eastAsia="zh-CN"/>
        </w:rPr>
        <w:t>。</w:t>
      </w:r>
    </w:p>
    <w:p>
      <w:pPr>
        <w:adjustRightInd w:val="0"/>
        <w:snapToGrid w:val="0"/>
        <w:spacing w:line="440" w:lineRule="exact"/>
        <w:ind w:firstLine="462" w:firstLineChars="200"/>
        <w:rPr>
          <w:rFonts w:hint="eastAsia" w:cs="Times New Roman" w:asciiTheme="minorEastAsia" w:hAnsiTheme="minorEastAsia"/>
          <w:kern w:val="0"/>
          <w:sz w:val="24"/>
          <w:szCs w:val="24"/>
          <w:lang w:val="zh-CN"/>
        </w:rPr>
      </w:pPr>
      <w:r>
        <w:rPr>
          <w:rFonts w:hint="default" w:cs="Times New Roman" w:asciiTheme="minorEastAsia" w:hAnsiTheme="minorEastAsia"/>
          <w:kern w:val="0"/>
          <w:sz w:val="24"/>
          <w:szCs w:val="24"/>
          <w:lang w:val="zh-CN"/>
        </w:rPr>
        <w:t>*（4）能够分别从医疗纠纷、劳动争议、刑事案件等方面制定切实可行的响应方案。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（谈判文件实质性条款，报价文件中需承诺）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default" w:cs="Times New Roman" w:asciiTheme="minorEastAsia" w:hAnsiTheme="minorEastAsia"/>
          <w:kern w:val="0"/>
          <w:sz w:val="24"/>
          <w:szCs w:val="24"/>
        </w:rPr>
        <w:t>律师事务所具有</w:t>
      </w:r>
      <w:r>
        <w:rPr>
          <w:rFonts w:hint="eastAsia" w:cs="Times New Roman" w:asciiTheme="minorEastAsia" w:hAnsiTheme="minorEastAsia"/>
          <w:kern w:val="0"/>
          <w:sz w:val="24"/>
          <w:szCs w:val="24"/>
        </w:rPr>
        <w:t>完善的</w:t>
      </w:r>
      <w:r>
        <w:rPr>
          <w:rFonts w:hint="default" w:cs="Times New Roman" w:asciiTheme="minorEastAsia" w:hAnsiTheme="minorEastAsia"/>
          <w:kern w:val="0"/>
          <w:sz w:val="24"/>
          <w:szCs w:val="24"/>
        </w:rPr>
        <w:t>保密规定</w:t>
      </w:r>
      <w:r>
        <w:rPr>
          <w:rFonts w:hint="eastAsia" w:cs="Times New Roman" w:asciiTheme="minorEastAsia" w:hAnsiTheme="minorEastAsia"/>
          <w:kern w:val="0"/>
          <w:sz w:val="24"/>
          <w:szCs w:val="24"/>
        </w:rPr>
        <w:t>，能针对部队医院实际需求，制定严格的保密方案</w:t>
      </w:r>
      <w:r>
        <w:rPr>
          <w:rFonts w:hint="default" w:cs="Times New Roman" w:asciiTheme="minorEastAsia" w:hAnsiTheme="minorEastAsia"/>
          <w:kern w:val="0"/>
          <w:sz w:val="24"/>
          <w:szCs w:val="24"/>
        </w:rPr>
        <w:t>，保护医院信息安全</w:t>
      </w:r>
      <w:r>
        <w:rPr>
          <w:rFonts w:hint="eastAsia" w:cs="Times New Roman" w:asciiTheme="minorEastAsia" w:hAnsiTheme="minorEastAsia"/>
          <w:kern w:val="0"/>
          <w:sz w:val="24"/>
          <w:szCs w:val="24"/>
          <w:lang w:eastAsia="zh-CN"/>
        </w:rPr>
        <w:t>，</w:t>
      </w:r>
      <w:r>
        <w:rPr>
          <w:rFonts w:hint="eastAsia" w:cs="Times New Roman" w:asciiTheme="minorEastAsia" w:hAnsiTheme="minorEastAsia"/>
          <w:kern w:val="0"/>
          <w:sz w:val="24"/>
          <w:szCs w:val="24"/>
          <w:lang w:val="en-US" w:eastAsia="zh-CN"/>
        </w:rPr>
        <w:t>并承诺遵守医院相关保密规定。</w:t>
      </w:r>
      <w:r>
        <w:rPr>
          <w:rFonts w:hint="eastAsia" w:cs="Times New Roman" w:asciiTheme="minorEastAsia" w:hAnsiTheme="minorEastAsia"/>
          <w:kern w:val="0"/>
          <w:sz w:val="24"/>
          <w:szCs w:val="24"/>
          <w:lang w:val="zh-CN"/>
        </w:rPr>
        <w:t>报价方应承诺在履行本服务内容时，不受第三方侵权指控。同时，报价方不得向第三方泄露采购机构提供的技术文件等资料。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285612601"/>
      <w:bookmarkStart w:id="11" w:name="_Toc390713968"/>
      <w:bookmarkStart w:id="12" w:name="_Toc435540980"/>
      <w:bookmarkStart w:id="13" w:name="_Toc240432230"/>
      <w:r>
        <w:rPr>
          <w:rFonts w:hint="eastAsia" w:ascii="黑体" w:hAnsi="黑体" w:eastAsia="黑体" w:cs="Times New Roman"/>
          <w:kern w:val="0"/>
          <w:sz w:val="32"/>
          <w:szCs w:val="32"/>
        </w:rPr>
        <w:t>第三部分  报价方须知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本谈判文件仅适用于《采购公告》中所述的采购项目的谈判采购；</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参与谈判的所有各方，对在参与谈判过程中获悉的国家和军队商业、技术秘密以及其它依法应当保密的内容，均负有保密义务，违者应对由此造成的后果承担全部法律责任。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1.“采购项目”系指本谈判文件描述的所需采购的相关服务；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2.“采购机构”系指组织本次谈判的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3.“报价方”系指从采购机构按规定获取谈判文件，并提交报价文件的供应商；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4.“成交供应商”系指经过谈判评审，确定成交的报价方；</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5</w:t>
      </w:r>
      <w:r>
        <w:rPr>
          <w:rFonts w:hint="eastAsia" w:cs="Times New Roman" w:asciiTheme="minorEastAsia" w:hAnsiTheme="minorEastAsia"/>
          <w:snapToGrid w:val="0"/>
          <w:kern w:val="0"/>
          <w:sz w:val="24"/>
          <w:szCs w:val="24"/>
          <w:lang w:val="zh-CN"/>
        </w:rPr>
        <w:t>.“服务”系指成交供应商按谈判文件规定，必须承担的履行任务、交通、技术协助、培训等义务。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（三）合格的报价方</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1.能够遵守国家和军队的有关法律、法规和本次谈判的有关规定；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2.符合《采购公告》所述报价人的资格要求和特定资格条件，并有能力提供相关服务的供应商；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3.能够承担谈判报价及合同履约中应承担的全部责任与义务。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1.报价方对所提供的服务应当享有合法的权利，没有侵犯任何第三方任何法定权利；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2.报价方提供的相关服务应当符合谈判文件要求。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（五）报价委托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如报价方代表不是</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snapToGrid w:val="0"/>
          <w:kern w:val="0"/>
          <w:sz w:val="24"/>
          <w:szCs w:val="24"/>
          <w:lang w:val="zh-CN"/>
        </w:rPr>
        <w:t>人，须持有《</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snapToGrid w:val="0"/>
          <w:kern w:val="0"/>
          <w:sz w:val="24"/>
          <w:szCs w:val="24"/>
          <w:lang w:val="zh-CN"/>
        </w:rPr>
        <w:t>人授权书》（</w:t>
      </w:r>
      <w:r>
        <w:rPr>
          <w:rFonts w:hint="eastAsia" w:cs="Times New Roman" w:asciiTheme="minorEastAsia" w:hAnsiTheme="minorEastAsia"/>
          <w:kern w:val="0"/>
          <w:sz w:val="24"/>
          <w:szCs w:val="24"/>
          <w:lang w:val="zh-CN"/>
        </w:rPr>
        <w:t>附件1</w:t>
      </w:r>
      <w:r>
        <w:rPr>
          <w:rFonts w:hint="eastAsia" w:cs="Times New Roman" w:asciiTheme="minorEastAsia" w:hAnsiTheme="minorEastAsia"/>
          <w:kern w:val="0"/>
          <w:sz w:val="24"/>
          <w:szCs w:val="24"/>
        </w:rPr>
        <w:t>1</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w:t>
      </w:r>
      <w:r>
        <w:rPr>
          <w:rFonts w:hint="eastAsia" w:ascii="宋体" w:hAnsi="宋体" w:eastAsia="宋体" w:cs="仿宋_GB2312"/>
          <w:sz w:val="24"/>
          <w:szCs w:val="24"/>
        </w:rPr>
        <w:t>根据双方约定条款执行，</w:t>
      </w:r>
      <w:r>
        <w:rPr>
          <w:rFonts w:hint="eastAsia" w:cs="Times New Roman" w:asciiTheme="minorEastAsia" w:hAnsiTheme="minorEastAsia"/>
          <w:kern w:val="0"/>
          <w:sz w:val="24"/>
          <w:szCs w:val="24"/>
          <w:lang w:val="zh-CN"/>
        </w:rPr>
        <w:t>付款以银行转账方式直接支付到合同乙方账户。在结算过程中出具虚假发票和不真实文件资料的供应商，将被列入黑名单，终身不得参与医院采购活动。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hint="eastAsia" w:ascii="宋体" w:hAnsi="宋体" w:eastAsia="宋体" w:cs="仿宋_GB2312"/>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付款方式：服务年费每年结算一次，结算前应收集各需求部门的满意度，并以此作为年费结算的相关依据。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（七）谈判报价费用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不论谈判报价结果如何，报价方均应自行承担与谈判报价有关的全部费用。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本采购项目需要公开的有关信息，采购机构均通过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公开发布。报价方在参与本采购项目谈判报价活动期间，请及时关注以上媒体上的相关信息，报价方因没有及时关注而未能如期获取相关信息，将会增加报价风险，采购机构对此不承担任何责任。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二、谈判文件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（一）谈判文件的内容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谈判文件由采购公告、采购项目技术和商务要求、报价方须知、合同样本、附件/报价文件格式等内容构成。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谈判文件以中文编写。纸质谈判文件与电子版谈判文件具有同等法律效力，两者出现不一致时，以纸质谈判文件为准。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（二）谈判文件的澄清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情况下，采购机构可将答复内容以书面形式通知所有报价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（三）谈判文件的修改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1.报价截止时间前，采购机构可对已发出的谈判文件进行修改。谈判文件修改内容是谈判文件的组成部分。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2.谈判文件修改内容可能影响报价文件编制的，采购机构将在报价截止时间至少3日前，以书面形式通知所有报价方，并对报价方具有约束力。报价方在收到上述通知后，应立即以书面形式向采购机构确认。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三、报价</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（二）报价文件的语言及计量单位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1.报价文件和来往信函均以中文书写。确有需要时，相关内容可以使用其他语言书写，但必须同时提供中文译文，不同语言文本报价文件的解释发生异议的，以中文译文为准。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2.报价文件中所使用的计量单位，除谈判文件中有特殊要求外，均采用国家法定计量单位。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（三）报价文件组成（包括两部分：报价书、资格证明文件）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1.报价书包括：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(1)报价函（附件2）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(2)服务方案及内容一览表（附件3）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w:t>
      </w:r>
      <w:r>
        <w:rPr>
          <w:rFonts w:hint="eastAsia" w:cs="Times New Roman" w:asciiTheme="minorEastAsia" w:hAnsiTheme="minorEastAsia"/>
          <w:snapToGrid w:val="0"/>
          <w:kern w:val="0"/>
          <w:sz w:val="24"/>
          <w:szCs w:val="24"/>
          <w:lang w:eastAsia="zh-CN"/>
        </w:rPr>
        <w:t>需求方案</w:t>
      </w:r>
      <w:r>
        <w:rPr>
          <w:rFonts w:hint="eastAsia" w:cs="Times New Roman" w:asciiTheme="minorEastAsia" w:hAnsiTheme="minorEastAsia"/>
          <w:snapToGrid w:val="0"/>
          <w:kern w:val="0"/>
          <w:sz w:val="24"/>
          <w:szCs w:val="24"/>
        </w:rPr>
        <w:t>响应偏离表（附件4）</w:t>
      </w:r>
    </w:p>
    <w:p>
      <w:pPr>
        <w:adjustRightInd w:val="0"/>
        <w:snapToGrid w:val="0"/>
        <w:spacing w:line="440" w:lineRule="exact"/>
        <w:ind w:firstLine="462" w:firstLineChars="200"/>
        <w:rPr>
          <w:rFonts w:cs="Times New Roman" w:asciiTheme="minorEastAsia" w:hAnsiTheme="minorEastAsia"/>
          <w:kern w:val="0"/>
          <w:sz w:val="24"/>
          <w:szCs w:val="24"/>
          <w:highlight w:val="yellow"/>
        </w:rPr>
      </w:pPr>
      <w:r>
        <w:rPr>
          <w:rFonts w:hint="eastAsia" w:cs="Times New Roman" w:asciiTheme="minorEastAsia" w:hAnsiTheme="minorEastAsia"/>
          <w:snapToGrid w:val="0"/>
          <w:kern w:val="0"/>
          <w:sz w:val="24"/>
          <w:szCs w:val="24"/>
        </w:rPr>
        <w:t>(4</w:t>
      </w:r>
      <w:r>
        <w:rPr>
          <w:rFonts w:hint="eastAsia" w:cs="Times New Roman" w:asciiTheme="minorEastAsia" w:hAnsiTheme="minorEastAsia"/>
          <w:snapToGrid w:val="0"/>
          <w:kern w:val="0"/>
          <w:sz w:val="24"/>
          <w:szCs w:val="24"/>
          <w:highlight w:val="none"/>
        </w:rPr>
        <w:t>)主要商务条款响应偏离表（附件5）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(5)报价方服务承诺（附件6）</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rPr>
        <w:t>6</w:t>
      </w:r>
      <w:r>
        <w:rPr>
          <w:rFonts w:hint="eastAsia" w:cs="Times New Roman" w:asciiTheme="minorEastAsia" w:hAnsiTheme="minorEastAsia"/>
          <w:snapToGrid w:val="0"/>
          <w:kern w:val="0"/>
          <w:sz w:val="24"/>
          <w:szCs w:val="24"/>
          <w:lang w:val="zh-CN"/>
        </w:rPr>
        <w:t>)近3年成交案例及同类项目案例（附件</w:t>
      </w:r>
      <w:r>
        <w:rPr>
          <w:rFonts w:hint="eastAsia" w:cs="Times New Roman" w:asciiTheme="minorEastAsia" w:hAnsiTheme="minorEastAsia"/>
          <w:snapToGrid w:val="0"/>
          <w:kern w:val="0"/>
          <w:sz w:val="24"/>
          <w:szCs w:val="24"/>
        </w:rPr>
        <w:t>7</w:t>
      </w:r>
      <w:r>
        <w:rPr>
          <w:rFonts w:hint="eastAsia" w:cs="Times New Roman" w:asciiTheme="minorEastAsia" w:hAnsiTheme="minorEastAsia"/>
          <w:snapToGrid w:val="0"/>
          <w:kern w:val="0"/>
          <w:sz w:val="24"/>
          <w:szCs w:val="24"/>
          <w:lang w:val="zh-CN"/>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(7)技术评审表（附件8）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(8)商务评审表（附件9）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(9)报价方认为需要加以说明的其他内容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报价方可以选择性提供其他材料，包括但不限于报价方的管理制度、运营模式等相关的证明材料及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2.资格证明文件包括（除必须要求原件外，其他资料原件和复印件均可）：</w:t>
      </w:r>
    </w:p>
    <w:p>
      <w:pPr>
        <w:adjustRightInd w:val="0"/>
        <w:snapToGrid w:val="0"/>
        <w:spacing w:line="440" w:lineRule="exact"/>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(1)</w:t>
      </w:r>
      <w:r>
        <w:rPr>
          <w:rFonts w:hint="eastAsia" w:cs="Times New Roman" w:asciiTheme="minorEastAsia" w:hAnsiTheme="minorEastAsia"/>
          <w:color w:val="auto"/>
          <w:kern w:val="0"/>
          <w:sz w:val="24"/>
          <w:szCs w:val="24"/>
        </w:rPr>
        <w:t>报价律师事务所执业许可证（</w:t>
      </w:r>
      <w:r>
        <w:rPr>
          <w:rFonts w:cs="Times New Roman" w:asciiTheme="minorEastAsia" w:hAnsiTheme="minorEastAsia"/>
          <w:color w:val="auto"/>
          <w:kern w:val="0"/>
          <w:sz w:val="24"/>
          <w:szCs w:val="24"/>
        </w:rPr>
        <w:t>正式营业</w:t>
      </w:r>
      <w:r>
        <w:rPr>
          <w:rFonts w:hint="eastAsia" w:cs="Times New Roman" w:asciiTheme="minorEastAsia" w:hAnsiTheme="minorEastAsia"/>
          <w:color w:val="auto"/>
          <w:kern w:val="0"/>
          <w:sz w:val="24"/>
          <w:szCs w:val="24"/>
        </w:rPr>
        <w:t>时间≥5年）</w:t>
      </w:r>
      <w:r>
        <w:rPr>
          <w:rFonts w:hint="eastAsia" w:cs="Times New Roman" w:asciiTheme="minorEastAsia" w:hAnsiTheme="minorEastAsia"/>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eastAsia="zh-CN"/>
        </w:rPr>
        <w:t>报价律师事务所负责人</w:t>
      </w:r>
      <w:r>
        <w:rPr>
          <w:rFonts w:hint="eastAsia" w:cs="Times New Roman" w:asciiTheme="minorEastAsia" w:hAnsiTheme="minorEastAsia"/>
          <w:kern w:val="0"/>
          <w:sz w:val="24"/>
          <w:szCs w:val="24"/>
        </w:rPr>
        <w:t>资格证明书（含法</w:t>
      </w:r>
      <w:r>
        <w:rPr>
          <w:rFonts w:hint="eastAsia" w:cs="Times New Roman" w:asciiTheme="minorEastAsia" w:hAnsiTheme="minorEastAsia"/>
          <w:kern w:val="0"/>
          <w:sz w:val="24"/>
          <w:szCs w:val="24"/>
          <w:lang w:eastAsia="zh-CN"/>
        </w:rPr>
        <w:t>负责人</w:t>
      </w:r>
      <w:r>
        <w:rPr>
          <w:rFonts w:hint="eastAsia" w:cs="Times New Roman" w:asciiTheme="minorEastAsia" w:hAnsiTheme="minorEastAsia"/>
          <w:kern w:val="0"/>
          <w:sz w:val="24"/>
          <w:szCs w:val="24"/>
        </w:rPr>
        <w:t>身份证复印件）（原件，附件10）</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(3)</w:t>
      </w:r>
      <w:r>
        <w:rPr>
          <w:rFonts w:hint="eastAsia" w:cs="Times New Roman" w:asciiTheme="minorEastAsia" w:hAnsiTheme="minorEastAsia"/>
          <w:kern w:val="0"/>
          <w:sz w:val="24"/>
          <w:szCs w:val="24"/>
          <w:lang w:eastAsia="zh-CN"/>
        </w:rPr>
        <w:t>负责人</w:t>
      </w:r>
      <w:r>
        <w:rPr>
          <w:rFonts w:hint="eastAsia" w:cs="Times New Roman" w:asciiTheme="minorEastAsia" w:hAnsiTheme="minorEastAsia"/>
          <w:kern w:val="0"/>
          <w:sz w:val="24"/>
          <w:szCs w:val="24"/>
        </w:rPr>
        <w:t>授权书（含被授权人身份证复印件）（原件，如</w:t>
      </w:r>
      <w:r>
        <w:rPr>
          <w:rFonts w:hint="eastAsia" w:cs="Times New Roman" w:asciiTheme="minorEastAsia" w:hAnsiTheme="minorEastAsia"/>
          <w:kern w:val="0"/>
          <w:sz w:val="24"/>
          <w:szCs w:val="24"/>
          <w:lang w:eastAsia="zh-CN"/>
        </w:rPr>
        <w:t>负责人</w:t>
      </w:r>
      <w:r>
        <w:rPr>
          <w:rFonts w:hint="eastAsia" w:cs="Times New Roman" w:asciiTheme="minorEastAsia" w:hAnsiTheme="minorEastAsia"/>
          <w:kern w:val="0"/>
          <w:sz w:val="24"/>
          <w:szCs w:val="24"/>
        </w:rPr>
        <w:t>未到开标现场需提供，附件11）</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b w:val="0"/>
          <w:kern w:val="0"/>
          <w:sz w:val="24"/>
          <w:szCs w:val="24"/>
          <w:lang w:val="en-US" w:eastAsia="zh-CN" w:bidi="ar-SA"/>
        </w:rPr>
      </w:pPr>
      <w:r>
        <w:rPr>
          <w:rFonts w:hint="eastAsia" w:cs="Times New Roman" w:asciiTheme="minorEastAsia" w:hAnsiTheme="minorEastAsia"/>
          <w:kern w:val="0"/>
          <w:sz w:val="24"/>
          <w:szCs w:val="24"/>
        </w:rPr>
        <w:t>(4)主要股东或出资人信息（附件12）</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(5)保密承诺书（附件13）</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snapToGrid w:val="0"/>
          <w:kern w:val="0"/>
          <w:sz w:val="24"/>
          <w:szCs w:val="24"/>
          <w:lang w:val="zh-CN" w:eastAsia="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（附件14）</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r>
        <w:rPr>
          <w:rFonts w:hint="eastAsia" w:cs="Times New Roman" w:asciiTheme="minorEastAsia" w:hAnsiTheme="minorEastAsia"/>
          <w:kern w:val="0"/>
          <w:sz w:val="24"/>
          <w:szCs w:val="24"/>
          <w:lang w:eastAsia="zh-CN"/>
        </w:rPr>
        <w:t>；</w:t>
      </w:r>
    </w:p>
    <w:p>
      <w:pPr>
        <w:adjustRightInd w:val="0"/>
        <w:snapToGrid w:val="0"/>
        <w:spacing w:line="440" w:lineRule="exact"/>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(9)良好的商业信誉和健全的财务会计制度证明材料：会计师事务所出具的近3年审计报告主要内容或公司财务报表，至少包含资产负债表、利润表、现金流量表</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b w:val="0"/>
          <w:kern w:val="0"/>
          <w:sz w:val="24"/>
          <w:szCs w:val="24"/>
          <w:lang w:val="en-US" w:eastAsia="zh-CN" w:bidi="ar-SA"/>
        </w:rPr>
      </w:pPr>
      <w:r>
        <w:rPr>
          <w:rFonts w:hint="eastAsia" w:cs="Times New Roman" w:asciiTheme="minorEastAsia" w:hAnsiTheme="minorEastAsia" w:eastAsiaTheme="minorEastAsia"/>
          <w:b w:val="0"/>
          <w:kern w:val="0"/>
          <w:sz w:val="24"/>
          <w:szCs w:val="24"/>
          <w:lang w:val="en-US" w:eastAsia="zh-CN" w:bidi="ar-SA"/>
        </w:rPr>
        <w:t>(</w:t>
      </w:r>
      <w:r>
        <w:rPr>
          <w:rFonts w:hint="eastAsia" w:cs="Times New Roman" w:asciiTheme="minorEastAsia" w:hAnsiTheme="minorEastAsia"/>
          <w:b w:val="0"/>
          <w:kern w:val="0"/>
          <w:sz w:val="24"/>
          <w:szCs w:val="24"/>
          <w:lang w:val="en-US" w:eastAsia="zh-CN" w:bidi="ar-SA"/>
        </w:rPr>
        <w:t>10</w:t>
      </w:r>
      <w:r>
        <w:rPr>
          <w:rFonts w:hint="eastAsia" w:cs="Times New Roman" w:asciiTheme="minorEastAsia" w:hAnsiTheme="minorEastAsia" w:eastAsiaTheme="minorEastAsia"/>
          <w:b w:val="0"/>
          <w:kern w:val="0"/>
          <w:sz w:val="24"/>
          <w:szCs w:val="24"/>
          <w:lang w:val="en-US" w:eastAsia="zh-CN" w:bidi="ar-SA"/>
        </w:rPr>
        <w:t>)履行合同所必须的专业团队及技术能力</w:t>
      </w:r>
      <w:r>
        <w:rPr>
          <w:rFonts w:hint="eastAsia" w:cs="Times New Roman" w:asciiTheme="minorEastAsia" w:hAnsiTheme="minorEastAsia"/>
          <w:b w:val="0"/>
          <w:kern w:val="0"/>
          <w:sz w:val="24"/>
          <w:szCs w:val="24"/>
          <w:lang w:val="en-US" w:eastAsia="zh-CN" w:bidi="ar-SA"/>
        </w:rPr>
        <w:t>，</w:t>
      </w:r>
      <w:r>
        <w:rPr>
          <w:rFonts w:hint="default" w:cs="Times New Roman" w:asciiTheme="minorEastAsia" w:hAnsiTheme="minorEastAsia" w:eastAsiaTheme="minorEastAsia"/>
          <w:b w:val="0"/>
          <w:kern w:val="0"/>
          <w:sz w:val="24"/>
          <w:szCs w:val="24"/>
          <w:lang w:val="en-US" w:eastAsia="zh-CN" w:bidi="ar-SA"/>
        </w:rPr>
        <w:t>专职执业律师</w:t>
      </w:r>
      <w:r>
        <w:rPr>
          <w:rFonts w:hint="eastAsia" w:cs="Times New Roman" w:asciiTheme="minorEastAsia" w:hAnsiTheme="minorEastAsia" w:eastAsiaTheme="minorEastAsia"/>
          <w:b w:val="0"/>
          <w:kern w:val="0"/>
          <w:sz w:val="24"/>
          <w:szCs w:val="24"/>
          <w:lang w:val="en-US" w:eastAsia="zh-CN" w:bidi="ar-SA"/>
        </w:rPr>
        <w:t>≥50名，其中</w:t>
      </w:r>
      <w:r>
        <w:rPr>
          <w:rFonts w:hint="default" w:cs="Times New Roman" w:asciiTheme="minorEastAsia" w:hAnsiTheme="minorEastAsia" w:eastAsiaTheme="minorEastAsia"/>
          <w:b w:val="0"/>
          <w:kern w:val="0"/>
          <w:sz w:val="24"/>
          <w:szCs w:val="24"/>
          <w:lang w:val="en-US" w:eastAsia="zh-CN" w:bidi="ar-SA"/>
        </w:rPr>
        <w:t>10年以上执业经验的律师</w:t>
      </w:r>
      <w:r>
        <w:rPr>
          <w:rFonts w:hint="eastAsia" w:cs="Times New Roman" w:asciiTheme="minorEastAsia" w:hAnsiTheme="minorEastAsia" w:eastAsiaTheme="minorEastAsia"/>
          <w:b w:val="0"/>
          <w:kern w:val="0"/>
          <w:sz w:val="24"/>
          <w:szCs w:val="24"/>
          <w:lang w:val="en-US" w:eastAsia="zh-CN" w:bidi="ar-SA"/>
        </w:rPr>
        <w:t>≥30名（</w:t>
      </w:r>
      <w:r>
        <w:rPr>
          <w:rFonts w:hint="eastAsia" w:cs="Times New Roman" w:asciiTheme="minorEastAsia" w:hAnsiTheme="minorEastAsia"/>
          <w:b w:val="0"/>
          <w:kern w:val="0"/>
          <w:sz w:val="24"/>
          <w:szCs w:val="24"/>
          <w:lang w:val="en-US" w:eastAsia="zh-CN" w:bidi="ar-SA"/>
        </w:rPr>
        <w:t>提</w:t>
      </w:r>
      <w:r>
        <w:rPr>
          <w:rFonts w:hint="eastAsia" w:cs="Times New Roman" w:asciiTheme="minorEastAsia" w:hAnsiTheme="minorEastAsia"/>
          <w:b w:val="0"/>
          <w:kern w:val="0"/>
          <w:sz w:val="24"/>
          <w:szCs w:val="24"/>
          <w:highlight w:val="none"/>
          <w:lang w:val="en-US" w:eastAsia="zh-CN" w:bidi="ar-SA"/>
        </w:rPr>
        <w:t>供详细人员名单及相应资历证明材料</w:t>
      </w:r>
      <w:r>
        <w:rPr>
          <w:rFonts w:hint="eastAsia" w:cs="Times New Roman" w:asciiTheme="minorEastAsia" w:hAnsiTheme="minorEastAsia" w:eastAsiaTheme="minorEastAsia"/>
          <w:b w:val="0"/>
          <w:kern w:val="0"/>
          <w:sz w:val="24"/>
          <w:szCs w:val="24"/>
          <w:lang w:val="en-US" w:eastAsia="zh-CN" w:bidi="ar-SA"/>
        </w:rPr>
        <w:t>）</w:t>
      </w:r>
      <w:r>
        <w:rPr>
          <w:rFonts w:hint="eastAsia" w:cs="Times New Roman" w:asciiTheme="minorEastAsia" w:hAnsiTheme="minorEastAsia"/>
          <w:b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b w:val="0"/>
          <w:kern w:val="0"/>
          <w:sz w:val="24"/>
          <w:szCs w:val="24"/>
          <w:highlight w:val="none"/>
          <w:lang w:val="en-US" w:eastAsia="zh-CN" w:bidi="ar-SA"/>
        </w:rPr>
      </w:pPr>
      <w:r>
        <w:rPr>
          <w:rFonts w:hint="eastAsia" w:cs="Times New Roman" w:asciiTheme="minorEastAsia" w:hAnsiTheme="minorEastAsia" w:eastAsiaTheme="minorEastAsia"/>
          <w:b w:val="0"/>
          <w:kern w:val="0"/>
          <w:sz w:val="24"/>
          <w:szCs w:val="24"/>
          <w:highlight w:val="none"/>
          <w:lang w:val="en-US" w:eastAsia="zh-CN" w:bidi="ar-SA"/>
        </w:rPr>
        <w:t>(</w:t>
      </w:r>
      <w:r>
        <w:rPr>
          <w:rFonts w:hint="eastAsia" w:cs="Times New Roman" w:asciiTheme="minorEastAsia" w:hAnsiTheme="minorEastAsia"/>
          <w:b w:val="0"/>
          <w:kern w:val="0"/>
          <w:sz w:val="24"/>
          <w:szCs w:val="24"/>
          <w:highlight w:val="none"/>
          <w:lang w:val="en-US" w:eastAsia="zh-CN" w:bidi="ar-SA"/>
        </w:rPr>
        <w:t>11</w:t>
      </w:r>
      <w:r>
        <w:rPr>
          <w:rFonts w:hint="eastAsia" w:cs="Times New Roman" w:asciiTheme="minorEastAsia" w:hAnsiTheme="minorEastAsia" w:eastAsiaTheme="minorEastAsia"/>
          <w:b w:val="0"/>
          <w:kern w:val="0"/>
          <w:sz w:val="24"/>
          <w:szCs w:val="24"/>
          <w:highlight w:val="none"/>
          <w:lang w:val="en-US" w:eastAsia="zh-CN" w:bidi="ar-SA"/>
        </w:rPr>
        <w:t>)</w:t>
      </w:r>
      <w:r>
        <w:rPr>
          <w:rFonts w:hint="eastAsia" w:cs="Times New Roman" w:asciiTheme="minorEastAsia" w:hAnsiTheme="minorEastAsia"/>
          <w:b w:val="0"/>
          <w:kern w:val="0"/>
          <w:sz w:val="24"/>
          <w:szCs w:val="24"/>
          <w:highlight w:val="none"/>
          <w:lang w:val="en-US" w:eastAsia="zh-CN" w:bidi="ar-SA"/>
        </w:rPr>
        <w:t>营业地或分支机构情况证明材料：</w:t>
      </w:r>
      <w:r>
        <w:rPr>
          <w:rFonts w:hint="default" w:cs="Times New Roman" w:asciiTheme="minorEastAsia" w:hAnsiTheme="minorEastAsia"/>
          <w:b w:val="0"/>
          <w:kern w:val="0"/>
          <w:sz w:val="24"/>
          <w:szCs w:val="24"/>
          <w:highlight w:val="none"/>
          <w:lang w:val="en-US" w:eastAsia="zh-CN" w:bidi="ar-SA"/>
        </w:rPr>
        <w:t>营业</w:t>
      </w:r>
      <w:r>
        <w:rPr>
          <w:rFonts w:hint="eastAsia" w:cs="Times New Roman" w:asciiTheme="minorEastAsia" w:hAnsiTheme="minorEastAsia"/>
          <w:b w:val="0"/>
          <w:kern w:val="0"/>
          <w:sz w:val="24"/>
          <w:szCs w:val="24"/>
          <w:highlight w:val="none"/>
          <w:lang w:val="en-US" w:eastAsia="zh-CN" w:bidi="ar-SA"/>
        </w:rPr>
        <w:t>地址信息，营业地</w:t>
      </w:r>
      <w:r>
        <w:rPr>
          <w:rFonts w:hint="default" w:cs="Times New Roman" w:asciiTheme="minorEastAsia" w:hAnsiTheme="minorEastAsia"/>
          <w:b w:val="0"/>
          <w:kern w:val="0"/>
          <w:sz w:val="24"/>
          <w:szCs w:val="24"/>
          <w:highlight w:val="none"/>
          <w:lang w:val="en-US" w:eastAsia="zh-CN" w:bidi="ar-SA"/>
        </w:rPr>
        <w:t>不在重庆地区的，</w:t>
      </w:r>
      <w:r>
        <w:rPr>
          <w:rFonts w:hint="eastAsia" w:cs="Times New Roman" w:asciiTheme="minorEastAsia" w:hAnsiTheme="minorEastAsia"/>
          <w:b w:val="0"/>
          <w:kern w:val="0"/>
          <w:sz w:val="24"/>
          <w:szCs w:val="24"/>
          <w:highlight w:val="none"/>
          <w:lang w:val="en-US" w:eastAsia="zh-CN" w:bidi="ar-SA"/>
        </w:rPr>
        <w:t>须</w:t>
      </w:r>
      <w:r>
        <w:rPr>
          <w:rFonts w:hint="default" w:cs="Times New Roman" w:asciiTheme="minorEastAsia" w:hAnsiTheme="minorEastAsia"/>
          <w:b w:val="0"/>
          <w:kern w:val="0"/>
          <w:sz w:val="24"/>
          <w:szCs w:val="24"/>
          <w:highlight w:val="none"/>
          <w:lang w:val="en-US" w:eastAsia="zh-CN" w:bidi="ar-SA"/>
        </w:rPr>
        <w:t>在重庆市主城区设有分支机构，该分支机构已设立超过5年</w:t>
      </w:r>
      <w:r>
        <w:rPr>
          <w:rFonts w:hint="eastAsia" w:cs="Times New Roman" w:asciiTheme="minorEastAsia" w:hAnsiTheme="minorEastAsia"/>
          <w:b w:val="0"/>
          <w:kern w:val="0"/>
          <w:sz w:val="24"/>
          <w:szCs w:val="24"/>
          <w:highlight w:val="none"/>
          <w:lang w:val="en-US" w:eastAsia="zh-CN" w:bidi="ar-SA"/>
        </w:rPr>
        <w:t>且</w:t>
      </w:r>
      <w:r>
        <w:rPr>
          <w:rFonts w:hint="default" w:cs="Times New Roman" w:asciiTheme="minorEastAsia" w:hAnsiTheme="minorEastAsia"/>
          <w:b w:val="0"/>
          <w:kern w:val="0"/>
          <w:sz w:val="24"/>
          <w:szCs w:val="24"/>
          <w:highlight w:val="none"/>
          <w:lang w:val="en-US" w:eastAsia="zh-CN" w:bidi="ar-SA"/>
        </w:rPr>
        <w:t>有30名以上的专职执业律师</w:t>
      </w:r>
      <w:r>
        <w:rPr>
          <w:rFonts w:hint="eastAsia" w:cs="Times New Roman" w:asciiTheme="minorEastAsia" w:hAnsiTheme="minorEastAsia"/>
          <w:b w:val="0"/>
          <w:kern w:val="0"/>
          <w:sz w:val="24"/>
          <w:szCs w:val="24"/>
          <w:highlight w:val="none"/>
          <w:lang w:val="en-US" w:eastAsia="zh-CN" w:bidi="ar-SA"/>
        </w:rPr>
        <w:t>，</w:t>
      </w:r>
      <w:r>
        <w:rPr>
          <w:rFonts w:hint="default" w:cs="Times New Roman" w:asciiTheme="minorEastAsia" w:hAnsiTheme="minorEastAsia"/>
          <w:b w:val="0"/>
          <w:kern w:val="0"/>
          <w:sz w:val="24"/>
          <w:szCs w:val="24"/>
          <w:highlight w:val="none"/>
          <w:lang w:val="en-US" w:eastAsia="zh-CN" w:bidi="ar-SA"/>
        </w:rPr>
        <w:t>其中有10年以上执业经验的律师不少于10名。</w:t>
      </w:r>
      <w:r>
        <w:rPr>
          <w:rFonts w:hint="eastAsia" w:cs="Times New Roman" w:asciiTheme="minorEastAsia" w:hAnsiTheme="minorEastAsia" w:eastAsiaTheme="minorEastAsia"/>
          <w:b w:val="0"/>
          <w:kern w:val="0"/>
          <w:sz w:val="24"/>
          <w:szCs w:val="24"/>
          <w:highlight w:val="none"/>
          <w:lang w:val="en-US" w:eastAsia="zh-CN" w:bidi="ar-SA"/>
        </w:rPr>
        <w:t>（</w:t>
      </w:r>
      <w:r>
        <w:rPr>
          <w:rFonts w:hint="eastAsia" w:cs="Times New Roman" w:asciiTheme="minorEastAsia" w:hAnsiTheme="minorEastAsia"/>
          <w:b w:val="0"/>
          <w:kern w:val="0"/>
          <w:sz w:val="24"/>
          <w:szCs w:val="24"/>
          <w:highlight w:val="none"/>
          <w:lang w:val="en-US" w:eastAsia="zh-CN" w:bidi="ar-SA"/>
        </w:rPr>
        <w:t>提供详细地址、人员名单及相应资历证明材料</w:t>
      </w:r>
      <w:r>
        <w:rPr>
          <w:rFonts w:hint="eastAsia" w:cs="Times New Roman" w:asciiTheme="minorEastAsia" w:hAnsiTheme="minorEastAsia" w:eastAsiaTheme="minorEastAsia"/>
          <w:b w:val="0"/>
          <w:kern w:val="0"/>
          <w:sz w:val="24"/>
          <w:szCs w:val="24"/>
          <w:highlight w:val="none"/>
          <w:lang w:val="en-US" w:eastAsia="zh-CN" w:bidi="ar-SA"/>
        </w:rPr>
        <w:t>）</w:t>
      </w:r>
      <w:r>
        <w:rPr>
          <w:rFonts w:hint="eastAsia" w:cs="Times New Roman" w:asciiTheme="minorEastAsia" w:hAnsiTheme="minorEastAsia"/>
          <w:b w:val="0"/>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b w:val="0"/>
          <w:kern w:val="0"/>
          <w:sz w:val="24"/>
          <w:szCs w:val="24"/>
          <w:highlight w:val="none"/>
          <w:lang w:val="en-US" w:eastAsia="zh-CN" w:bidi="ar-SA"/>
        </w:rPr>
      </w:pPr>
      <w:r>
        <w:rPr>
          <w:rFonts w:hint="eastAsia" w:cs="Times New Roman" w:asciiTheme="minorEastAsia" w:hAnsiTheme="minorEastAsia"/>
          <w:kern w:val="0"/>
          <w:sz w:val="24"/>
          <w:szCs w:val="24"/>
          <w:highlight w:val="none"/>
        </w:rPr>
        <w:t>(1</w:t>
      </w:r>
      <w:r>
        <w:rPr>
          <w:rFonts w:hint="eastAsia" w:cs="Times New Roman" w:asciiTheme="minorEastAsia" w:hAnsiTheme="minorEastAsia"/>
          <w:kern w:val="0"/>
          <w:sz w:val="24"/>
          <w:szCs w:val="24"/>
          <w:highlight w:val="none"/>
          <w:lang w:val="en-US" w:eastAsia="zh-CN"/>
        </w:rPr>
        <w:t>2</w:t>
      </w:r>
      <w:r>
        <w:rPr>
          <w:rFonts w:hint="eastAsia" w:cs="Times New Roman" w:asciiTheme="minorEastAsia" w:hAnsiTheme="minorEastAsia"/>
          <w:kern w:val="0"/>
          <w:sz w:val="24"/>
          <w:szCs w:val="24"/>
          <w:highlight w:val="none"/>
        </w:rPr>
        <w:t>)</w:t>
      </w:r>
      <w:r>
        <w:rPr>
          <w:rFonts w:hint="default" w:cs="Times New Roman" w:asciiTheme="minorEastAsia" w:hAnsiTheme="minorEastAsia"/>
          <w:b w:val="0"/>
          <w:kern w:val="0"/>
          <w:sz w:val="24"/>
          <w:szCs w:val="24"/>
          <w:highlight w:val="none"/>
          <w:lang w:val="en-US" w:eastAsia="zh-CN" w:bidi="ar-SA"/>
        </w:rPr>
        <w:t>独立</w:t>
      </w:r>
      <w:r>
        <w:rPr>
          <w:rFonts w:hint="eastAsia" w:cs="Times New Roman" w:asciiTheme="minorEastAsia" w:hAnsiTheme="minorEastAsia"/>
          <w:b w:val="0"/>
          <w:kern w:val="0"/>
          <w:sz w:val="24"/>
          <w:szCs w:val="24"/>
          <w:highlight w:val="none"/>
          <w:lang w:val="en-US" w:eastAsia="zh-CN" w:bidi="ar-SA"/>
        </w:rPr>
        <w:t>的现代化</w:t>
      </w:r>
      <w:r>
        <w:rPr>
          <w:rFonts w:hint="default" w:cs="Times New Roman" w:asciiTheme="minorEastAsia" w:hAnsiTheme="minorEastAsia"/>
          <w:b w:val="0"/>
          <w:kern w:val="0"/>
          <w:sz w:val="24"/>
          <w:szCs w:val="24"/>
          <w:highlight w:val="none"/>
          <w:lang w:val="en-US" w:eastAsia="zh-CN" w:bidi="ar-SA"/>
        </w:rPr>
        <w:t>办公场所</w:t>
      </w:r>
      <w:r>
        <w:rPr>
          <w:rFonts w:hint="eastAsia" w:cs="Times New Roman" w:asciiTheme="minorEastAsia" w:hAnsiTheme="minorEastAsia"/>
          <w:b w:val="0"/>
          <w:kern w:val="0"/>
          <w:sz w:val="24"/>
          <w:szCs w:val="24"/>
          <w:highlight w:val="none"/>
          <w:lang w:val="en-US" w:eastAsia="zh-CN" w:bidi="ar-SA"/>
        </w:rPr>
        <w:t>：提供</w:t>
      </w:r>
      <w:r>
        <w:rPr>
          <w:rFonts w:hint="default" w:cs="Times New Roman" w:asciiTheme="minorEastAsia" w:hAnsiTheme="minorEastAsia"/>
          <w:b w:val="0"/>
          <w:kern w:val="0"/>
          <w:sz w:val="24"/>
          <w:szCs w:val="24"/>
          <w:highlight w:val="none"/>
          <w:lang w:val="en-US" w:eastAsia="zh-CN" w:bidi="ar-SA"/>
        </w:rPr>
        <w:t>在重庆市主城区具有独立</w:t>
      </w:r>
      <w:r>
        <w:rPr>
          <w:rFonts w:hint="eastAsia" w:cs="Times New Roman" w:asciiTheme="minorEastAsia" w:hAnsiTheme="minorEastAsia"/>
          <w:b w:val="0"/>
          <w:kern w:val="0"/>
          <w:sz w:val="24"/>
          <w:szCs w:val="24"/>
          <w:highlight w:val="none"/>
          <w:lang w:val="en-US" w:eastAsia="zh-CN" w:bidi="ar-SA"/>
        </w:rPr>
        <w:t>的现代化</w:t>
      </w:r>
      <w:r>
        <w:rPr>
          <w:rFonts w:hint="default" w:cs="Times New Roman" w:asciiTheme="minorEastAsia" w:hAnsiTheme="minorEastAsia"/>
          <w:b w:val="0"/>
          <w:kern w:val="0"/>
          <w:sz w:val="24"/>
          <w:szCs w:val="24"/>
          <w:highlight w:val="none"/>
          <w:lang w:val="en-US" w:eastAsia="zh-CN" w:bidi="ar-SA"/>
        </w:rPr>
        <w:t>办公场所</w:t>
      </w:r>
      <w:r>
        <w:rPr>
          <w:rFonts w:hint="eastAsia" w:cs="Times New Roman" w:asciiTheme="minorEastAsia" w:hAnsiTheme="minorEastAsia"/>
          <w:b w:val="0"/>
          <w:kern w:val="0"/>
          <w:sz w:val="24"/>
          <w:szCs w:val="24"/>
          <w:highlight w:val="none"/>
          <w:lang w:val="en-US" w:eastAsia="zh-CN" w:bidi="ar-SA"/>
        </w:rPr>
        <w:t>证明材料；</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b w:val="0"/>
          <w:kern w:val="0"/>
          <w:sz w:val="24"/>
          <w:szCs w:val="24"/>
          <w:highlight w:val="none"/>
          <w:lang w:val="en-US" w:eastAsia="zh-CN" w:bidi="ar-SA"/>
        </w:rPr>
        <w:t>(13)相关声明书（包含但不限于以下内容）：①非外资企业或外资控股企业的书面声明；②参加本次采购活动</w:t>
      </w:r>
      <w:r>
        <w:rPr>
          <w:rFonts w:hint="eastAsia" w:cs="Times New Roman" w:asciiTheme="minorEastAsia" w:hAnsiTheme="minorEastAsia"/>
          <w:kern w:val="0"/>
          <w:sz w:val="24"/>
          <w:szCs w:val="24"/>
        </w:rPr>
        <w:t>前5年内在经营活动中没有重大违法记录</w:t>
      </w:r>
      <w:r>
        <w:rPr>
          <w:rFonts w:hint="eastAsia" w:cs="Times New Roman" w:asciiTheme="minorEastAsia" w:hAnsiTheme="minorEastAsia"/>
          <w:kern w:val="0"/>
          <w:sz w:val="24"/>
          <w:szCs w:val="24"/>
          <w:lang w:eastAsia="zh-CN"/>
        </w:rPr>
        <w:t>、</w:t>
      </w:r>
      <w:r>
        <w:rPr>
          <w:rFonts w:hint="default" w:cs="Times New Roman" w:asciiTheme="minorEastAsia" w:hAnsiTheme="minorEastAsia"/>
          <w:kern w:val="0"/>
          <w:sz w:val="24"/>
          <w:szCs w:val="24"/>
        </w:rPr>
        <w:t>未被有关征信部门列为失信名单</w:t>
      </w:r>
      <w:r>
        <w:rPr>
          <w:rFonts w:hint="eastAsia" w:cs="Times New Roman" w:asciiTheme="minorEastAsia" w:hAnsiTheme="minorEastAsia"/>
          <w:kern w:val="0"/>
          <w:sz w:val="24"/>
          <w:szCs w:val="24"/>
          <w:lang w:eastAsia="zh-CN"/>
        </w:rPr>
        <w:t>、</w:t>
      </w:r>
      <w:r>
        <w:rPr>
          <w:rFonts w:hint="default" w:cs="Times New Roman" w:asciiTheme="minorEastAsia" w:hAnsiTheme="minorEastAsia"/>
          <w:kern w:val="0"/>
          <w:sz w:val="24"/>
          <w:szCs w:val="24"/>
        </w:rPr>
        <w:t>未被法院列为失信被执行人</w:t>
      </w:r>
      <w:r>
        <w:rPr>
          <w:rFonts w:hint="eastAsia" w:cs="Times New Roman" w:asciiTheme="minorEastAsia" w:hAnsiTheme="minorEastAsia"/>
          <w:kern w:val="0"/>
          <w:sz w:val="24"/>
          <w:szCs w:val="24"/>
          <w:lang w:eastAsia="zh-CN"/>
        </w:rPr>
        <w:t>等</w:t>
      </w:r>
      <w:r>
        <w:rPr>
          <w:rFonts w:hint="eastAsia" w:cs="Times New Roman" w:asciiTheme="minorEastAsia" w:hAnsiTheme="minorEastAsia"/>
          <w:kern w:val="0"/>
          <w:sz w:val="24"/>
          <w:szCs w:val="24"/>
        </w:rPr>
        <w:t>书面声明（附件15）</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)报价方认为需要加以说明的其他内容</w:t>
      </w:r>
      <w:r>
        <w:rPr>
          <w:rFonts w:hint="eastAsia" w:cs="Times New Roman" w:asciiTheme="minorEastAsia" w:hAnsi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5</w:t>
      </w:r>
      <w:r>
        <w:rPr>
          <w:rFonts w:hint="eastAsia" w:cs="Times New Roman" w:asciiTheme="minorEastAsia" w:hAnsiTheme="minorEastAsia"/>
          <w:kern w:val="0"/>
          <w:sz w:val="24"/>
          <w:szCs w:val="24"/>
        </w:rPr>
        <w:t>)报价方可以选择性提供其他资格证明文件，仅作为商务、技术评审依据，不作为资格性和符合性审查要素</w:t>
      </w:r>
      <w:r>
        <w:rPr>
          <w:rFonts w:hint="eastAsia" w:cs="Times New Roman" w:asciiTheme="minorEastAsia" w:hAnsiTheme="minorEastAsia"/>
          <w:kern w:val="0"/>
          <w:sz w:val="24"/>
          <w:szCs w:val="24"/>
          <w:lang w:eastAsia="zh-CN"/>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报价方必须按上述统一格式及顺序向采购机构提供《报价书》和《资格证明文件》，否则可能被视为无效报价。</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（四）报价文件的格式规定和签署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报价方应当按照谈判文件规定的统一格式填写报价文件，报价文件开始部分应当有目录，以及方便评审委员会评审使用的项目索引。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3.报价方名称应当填写全称，同时加盖单位公章，公章与单位全称相符。</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4.报价书、资格证明文件须单独封装。报价书一式</w:t>
      </w:r>
      <w:r>
        <w:rPr>
          <w:rFonts w:hint="eastAsia" w:cs="Times New Roman" w:asciiTheme="minorEastAsia" w:hAnsiTheme="minorEastAsia"/>
          <w:kern w:val="0"/>
          <w:sz w:val="24"/>
          <w:szCs w:val="24"/>
          <w:u w:val="single"/>
        </w:rPr>
        <w:t>7</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份。在每一份文件上要注明“报价书”、“资格证明文件”、“正本”或“副本”字样。如果正本与副本不符，以正本为准。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5.报价文件必须打印或用黑色、蓝黑色墨水填写。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6.报价文件必须由</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7.报价文件不得随意涂改和增删。如有修改错漏之处，必须由</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人或授权代表签字、盖章。</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rPr>
        <w:t>人签字或盖章均视为有效。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8.报价文件</w:t>
      </w:r>
      <w:r>
        <w:rPr>
          <w:rFonts w:hint="eastAsia" w:cs="Times New Roman" w:asciiTheme="minorEastAsia" w:hAnsiTheme="minorEastAsia"/>
          <w:kern w:val="0"/>
          <w:sz w:val="24"/>
          <w:szCs w:val="24"/>
          <w:lang w:val="zh-CN"/>
        </w:rPr>
        <w:t>因字迹潦草或表述不清以及复印件不清所引起的后果由报价方自行负责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报价文件有效期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报价文件自提交截止之日起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3.在采购过程中</w:t>
      </w:r>
      <w:r>
        <w:rPr>
          <w:rFonts w:hint="eastAsia" w:cs="Times New Roman" w:asciiTheme="minorEastAsia" w:hAnsiTheme="minorEastAsia"/>
          <w:kern w:val="0"/>
          <w:sz w:val="24"/>
          <w:szCs w:val="24"/>
        </w:rPr>
        <w:t>，报价方发生合并、分立、破产等重大变化时，应当及时书面告知采购机构。</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（六）谈判</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所有单价和总价按照报价一览表格式要求填报。报价应包括常年法律服务需求方案中总体需求与专项工作需求所有价格及税金。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接受以上修正，其报价将被拒绝。</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4.报价方</w:t>
      </w:r>
      <w:r>
        <w:rPr>
          <w:rFonts w:hint="eastAsia" w:cs="Times New Roman" w:asciiTheme="minorEastAsia" w:hAnsiTheme="minorEastAsia"/>
          <w:kern w:val="0"/>
          <w:sz w:val="24"/>
          <w:szCs w:val="24"/>
        </w:rPr>
        <w:t>对同一种服务只允许有一种报价，采购机构不接受任何有选择的报价。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报价方每个项目各服务报价进行评定。若五分之四以上评委认定报价或者重要分项报价明显不合理或者低于成本，有可能影响服务质量和不能诚信履约的，评审委员会应当要求其在规定时限内提供书面文件予以解释说明，并提交相关证明材料，否则评审委员会有权视其为低价恶意竞争，否决其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四、报价</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（一）报价文件密封及标记</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snapToGrid w:val="0"/>
          <w:kern w:val="0"/>
          <w:sz w:val="24"/>
          <w:szCs w:val="24"/>
        </w:rPr>
        <w:t>1.报价方应当将报价文件</w:t>
      </w:r>
      <w:r>
        <w:rPr>
          <w:rFonts w:hint="eastAsia" w:cs="Times New Roman" w:asciiTheme="minorEastAsia" w:hAnsiTheme="minorEastAsia"/>
          <w:bCs/>
          <w:kern w:val="0"/>
          <w:sz w:val="24"/>
          <w:szCs w:val="24"/>
        </w:rPr>
        <w:t>的正本和副本统一装入密封袋内，封口处应当有报价方单位公章，封面上注明“报价文件、谈判项目名称、项目编号、报价方名称”和“谈判时启封”字样。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2.报价方应当在谈判文件明确的提交报价文件截止时间前，由谈判全权代表将报价文件送达采购机构指定地点。逾期递交的报价文件，采购机构将拒收。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3.电报、电话、电传、邮寄等形式的报价文件概不接受。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4.报价文件未按要求密封、标记的，采购机构将拒绝接收。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报价文件的修改和撤回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2.报价方修改补充报价文件的书面材料，须密封送达采购机构指定地点，并在封面上标明“报价修改文件、项目名称、项目编号、报价方名称”和“谈判时启封”字样。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4.报价方撤回报价文件应当以书面形式通知采购机构。如采取电报或传真形式撤回报价文件的，必须补充</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 w:val="24"/>
          <w:szCs w:val="24"/>
          <w:lang w:val="zh-CN"/>
        </w:rPr>
        <w:t>人或授权代表签署的要求撤回报价文件的正式文件。撤回报价文件的时间以正式文件送达采购机构时间为准。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5.谈判开始后，报价方不得撤回报价文件。</w:t>
      </w:r>
    </w:p>
    <w:p>
      <w:pPr>
        <w:adjustRightInd w:val="0"/>
        <w:snapToGrid w:val="0"/>
        <w:spacing w:line="440" w:lineRule="exact"/>
        <w:jc w:val="center"/>
        <w:rPr>
          <w:rFonts w:cs="Times New Roman" w:asciiTheme="minorEastAsia" w:hAnsiTheme="minorEastAsia"/>
          <w:kern w:val="0"/>
          <w:sz w:val="24"/>
          <w:szCs w:val="24"/>
        </w:rPr>
      </w:pPr>
    </w:p>
    <w:p>
      <w:pPr>
        <w:pStyle w:val="2"/>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五、谈判报价与评审</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（一）评审委员会</w:t>
      </w:r>
    </w:p>
    <w:p>
      <w:pPr>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采购机构根据规定组建评审委员会，其成员由技术、经济等方面的专家和采购机构代表组成，其中技术、经济类专家不少于三分之二。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本次谈判采取2轮谈判3次报价的方式。确需增加谈判报价轮次的，在谈判过程中经评审委员会（五分之四以上评委）认定可以增加，但应当在评审报告中注明理由。 </w:t>
      </w:r>
    </w:p>
    <w:p>
      <w:pPr>
        <w:spacing w:line="440" w:lineRule="exact"/>
        <w:ind w:firstLine="462" w:firstLineChars="200"/>
      </w:pPr>
      <w:r>
        <w:rPr>
          <w:rFonts w:hint="eastAsia" w:ascii="宋体" w:hAnsi="宋体" w:eastAsia="宋体" w:cs="Times New Roman"/>
          <w:snapToGrid w:val="0"/>
          <w:kern w:val="0"/>
          <w:sz w:val="24"/>
          <w:szCs w:val="24"/>
        </w:rPr>
        <w:t>（三）评审要求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w:t>
      </w:r>
      <w:r>
        <w:rPr>
          <w:rFonts w:hint="eastAsia" w:ascii="宋体" w:hAnsi="宋体" w:eastAsia="宋体" w:cs="Times New Roman"/>
          <w:snapToGrid w:val="0"/>
          <w:kern w:val="0"/>
          <w:sz w:val="24"/>
          <w:szCs w:val="24"/>
        </w:rPr>
        <w:t>审</w:t>
      </w:r>
      <w:r>
        <w:rPr>
          <w:rFonts w:hint="eastAsia" w:cs="Times New Roman" w:asciiTheme="minorEastAsia" w:hAnsiTheme="minorEastAsia"/>
          <w:kern w:val="0"/>
          <w:sz w:val="24"/>
          <w:szCs w:val="24"/>
        </w:rPr>
        <w:t>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(2)对所有响应谈判文件实质性要求的报价方一视同仁；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(3)综合比较服务质量、价格等因素，确定评审排序结果；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（四）评审方法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综合评分法。技术和商务评审总得分由高到低顺序排列，得分最高的报价方作为预成交供应商；得分相同的，按照报价由低到高顺序排列；得分且报价相同的，按照技术评审得分由高到低顺序排列。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w:t>
      </w:r>
      <w:r>
        <w:rPr>
          <w:rFonts w:hint="eastAsia" w:cs="Times New Roman" w:asciiTheme="minorEastAsia" w:hAnsiTheme="minorEastAsia"/>
          <w:sz w:val="24"/>
          <w:szCs w:val="24"/>
        </w:rPr>
        <w:t>预成交供应商</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20"/>
        <w:tblW w:w="5338"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1.执业许可证（</w:t>
            </w:r>
            <w:r>
              <w:rPr>
                <w:rFonts w:hint="eastAsia" w:cs="宋体" w:asciiTheme="minorEastAsia" w:hAnsiTheme="minorEastAsia"/>
                <w:kern w:val="0"/>
                <w:szCs w:val="21"/>
                <w:lang w:eastAsia="zh-CN"/>
              </w:rPr>
              <w:t>正式营业</w:t>
            </w:r>
            <w:r>
              <w:rPr>
                <w:rFonts w:hint="eastAsia" w:cs="宋体" w:asciiTheme="minorEastAsia" w:hAnsiTheme="minorEastAsia"/>
                <w:kern w:val="0"/>
                <w:szCs w:val="21"/>
              </w:rPr>
              <w:t>时间</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5年</w:t>
            </w:r>
            <w:r>
              <w:rPr>
                <w:rFonts w:hint="eastAsia" w:cs="宋体" w:asciiTheme="minorEastAsia" w:hAnsiTheme="minorEastAsia"/>
                <w:kern w:val="0"/>
                <w:szCs w:val="21"/>
              </w:rPr>
              <w:t>）</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w:t>
            </w:r>
            <w:r>
              <w:rPr>
                <w:rFonts w:hint="eastAsia" w:cs="Times New Roman" w:asciiTheme="minorEastAsia" w:hAnsiTheme="minorEastAsia"/>
                <w:kern w:val="0"/>
                <w:sz w:val="24"/>
                <w:szCs w:val="24"/>
                <w:lang w:eastAsia="zh-CN"/>
              </w:rPr>
              <w:t>负责</w:t>
            </w:r>
            <w:r>
              <w:rPr>
                <w:rFonts w:hint="eastAsia" w:cs="宋体" w:asciiTheme="minorEastAsia" w:hAnsiTheme="minorEastAsia"/>
                <w:kern w:val="0"/>
                <w:szCs w:val="21"/>
              </w:rPr>
              <w:t>人资格证明书</w:t>
            </w:r>
            <w:r>
              <w:rPr>
                <w:rFonts w:hint="eastAsia" w:cs="Times New Roman" w:asciiTheme="minorEastAsia" w:hAnsiTheme="minorEastAsia"/>
                <w:kern w:val="0"/>
                <w:szCs w:val="21"/>
              </w:rPr>
              <w:t>（含</w:t>
            </w:r>
            <w:r>
              <w:rPr>
                <w:rFonts w:hint="eastAsia" w:cs="Times New Roman" w:asciiTheme="minorEastAsia" w:hAnsiTheme="minorEastAsia"/>
                <w:kern w:val="0"/>
                <w:sz w:val="24"/>
                <w:szCs w:val="24"/>
                <w:lang w:eastAsia="zh-CN"/>
              </w:rPr>
              <w:t>负责</w:t>
            </w:r>
            <w:r>
              <w:rPr>
                <w:rFonts w:hint="eastAsia" w:cs="Times New Roman" w:asciiTheme="minorEastAsia" w:hAnsiTheme="minorEastAsia"/>
                <w:kern w:val="0"/>
                <w:szCs w:val="21"/>
              </w:rPr>
              <w:t>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hint="eastAsia" w:cs="宋体"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3.负责人授权书</w:t>
            </w:r>
            <w:r>
              <w:rPr>
                <w:rFonts w:hint="eastAsia" w:cs="Times New Roman" w:asciiTheme="minorEastAsia" w:hAnsiTheme="minorEastAsia"/>
                <w:kern w:val="0"/>
                <w:szCs w:val="21"/>
                <w:lang w:eastAsia="zh-CN"/>
              </w:rPr>
              <w:t>（含</w:t>
            </w:r>
            <w:r>
              <w:rPr>
                <w:rFonts w:hint="eastAsia" w:cs="Times New Roman" w:asciiTheme="minorEastAsia" w:hAnsiTheme="minorEastAsia"/>
                <w:kern w:val="0"/>
                <w:szCs w:val="21"/>
              </w:rPr>
              <w:t>被授权人身份证复印件</w:t>
            </w:r>
            <w:r>
              <w:rPr>
                <w:rFonts w:hint="eastAsia" w:cs="Times New Roman" w:asciiTheme="minorEastAsia" w:hAnsiTheme="minorEastAsia"/>
                <w:kern w:val="0"/>
                <w:szCs w:val="21"/>
                <w:lang w:eastAsia="zh-CN"/>
              </w:rPr>
              <w:t>）（原件，如负责人未到开标现场需提供）</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.主要股东或出资人信息</w:t>
            </w:r>
          </w:p>
        </w:tc>
      </w:tr>
      <w:tr>
        <w:tblPrEx>
          <w:tblCellMar>
            <w:top w:w="0" w:type="dxa"/>
            <w:left w:w="108" w:type="dxa"/>
            <w:bottom w:w="0" w:type="dxa"/>
            <w:right w:w="108" w:type="dxa"/>
          </w:tblCellMar>
        </w:tblPrEx>
        <w:trPr>
          <w:trHeight w:val="441"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.最近连续6个月缴纳社会保障金的银行转账汇款单或相应证明材料</w:t>
            </w:r>
            <w:r>
              <w:rPr>
                <w:rFonts w:hint="eastAsia" w:cs="Times New Roman" w:asciiTheme="minorEastAsia" w:hAnsiTheme="minorEastAsia"/>
                <w:kern w:val="0"/>
                <w:szCs w:val="21"/>
              </w:rPr>
              <w:t>（依法不需要缴纳社会保障资金的报价方，应提供相应文件证明其不需要缴纳社会保障资金）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.最近连续6个月纳税的银行转账汇款单或相应证明材料</w:t>
            </w:r>
            <w:r>
              <w:rPr>
                <w:rFonts w:hint="eastAsia" w:cs="Times New Roman" w:asciiTheme="minorEastAsia" w:hAnsiTheme="minorEastAsia"/>
                <w:kern w:val="0"/>
                <w:szCs w:val="21"/>
              </w:rPr>
              <w:t>（依法免税的报价方，应提供相应文件证明其依法免税）</w:t>
            </w:r>
          </w:p>
        </w:tc>
      </w:tr>
      <w:tr>
        <w:tblPrEx>
          <w:tblCellMar>
            <w:top w:w="0" w:type="dxa"/>
            <w:left w:w="108" w:type="dxa"/>
            <w:bottom w:w="0" w:type="dxa"/>
            <w:right w:w="108" w:type="dxa"/>
          </w:tblCellMar>
        </w:tblPrEx>
        <w:trPr>
          <w:trHeight w:val="7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w:t>
            </w:r>
            <w:r>
              <w:rPr>
                <w:rFonts w:hint="eastAsia" w:cs="Times New Roman" w:asciiTheme="minorEastAsia" w:hAnsiTheme="minorEastAsia"/>
                <w:kern w:val="0"/>
                <w:szCs w:val="21"/>
              </w:rPr>
              <w:t>良好的商业信誉和健全的财务会计制度证明材料：会计师事务所出具的近3年审计报告主要内容或公司财务报表，至少包含资产负债表、利润表、现金流量表</w:t>
            </w:r>
          </w:p>
        </w:tc>
      </w:tr>
      <w:tr>
        <w:tblPrEx>
          <w:tblCellMar>
            <w:top w:w="0" w:type="dxa"/>
            <w:left w:w="108" w:type="dxa"/>
            <w:bottom w:w="0" w:type="dxa"/>
            <w:right w:w="108" w:type="dxa"/>
          </w:tblCellMar>
        </w:tblPrEx>
        <w:trPr>
          <w:trHeight w:val="731" w:hRule="exact"/>
          <w:jc w:val="center"/>
        </w:trPr>
        <w:tc>
          <w:tcPr>
            <w:tcW w:w="967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9</w:t>
            </w:r>
            <w:r>
              <w:rPr>
                <w:rFonts w:hint="eastAsia" w:cs="Times New Roman" w:asciiTheme="minorEastAsia" w:hAnsiTheme="minorEastAsia"/>
                <w:kern w:val="0"/>
                <w:szCs w:val="21"/>
              </w:rPr>
              <w:t>.</w:t>
            </w:r>
            <w:r>
              <w:rPr>
                <w:rFonts w:hint="eastAsia" w:cs="Times New Roman" w:asciiTheme="minorEastAsia" w:hAnsiTheme="minorEastAsia"/>
                <w:kern w:val="0"/>
                <w:szCs w:val="21"/>
                <w:lang w:val="en-US" w:eastAsia="zh-CN"/>
              </w:rPr>
              <w:t>履行合同所必须的专业团队及技术能力证明材料：</w:t>
            </w:r>
            <w:r>
              <w:rPr>
                <w:rFonts w:hint="default" w:cs="Times New Roman" w:asciiTheme="minorEastAsia" w:hAnsiTheme="minorEastAsia"/>
                <w:kern w:val="0"/>
                <w:szCs w:val="21"/>
                <w:lang w:val="en-US" w:eastAsia="zh-CN"/>
              </w:rPr>
              <w:t>专职执业律师</w:t>
            </w:r>
            <w:r>
              <w:rPr>
                <w:rFonts w:hint="eastAsia" w:cs="Times New Roman" w:asciiTheme="minorEastAsia" w:hAnsiTheme="minorEastAsia"/>
                <w:kern w:val="0"/>
                <w:szCs w:val="21"/>
                <w:lang w:val="en-US" w:eastAsia="zh-CN"/>
              </w:rPr>
              <w:t>≥50名，其中</w:t>
            </w:r>
            <w:r>
              <w:rPr>
                <w:rFonts w:hint="default" w:cs="Times New Roman" w:asciiTheme="minorEastAsia" w:hAnsiTheme="minorEastAsia"/>
                <w:kern w:val="0"/>
                <w:szCs w:val="21"/>
                <w:lang w:val="en-US" w:eastAsia="zh-CN"/>
              </w:rPr>
              <w:t>10年以上执业经验的律师</w:t>
            </w:r>
            <w:r>
              <w:rPr>
                <w:rFonts w:hint="eastAsia" w:cs="Times New Roman" w:asciiTheme="minorEastAsia" w:hAnsiTheme="minorEastAsia"/>
                <w:kern w:val="0"/>
                <w:szCs w:val="21"/>
                <w:lang w:val="en-US" w:eastAsia="zh-CN"/>
              </w:rPr>
              <w:t>≥30名</w:t>
            </w:r>
          </w:p>
        </w:tc>
      </w:tr>
      <w:tr>
        <w:tblPrEx>
          <w:tblCellMar>
            <w:top w:w="0" w:type="dxa"/>
            <w:left w:w="108" w:type="dxa"/>
            <w:bottom w:w="0" w:type="dxa"/>
            <w:right w:w="108" w:type="dxa"/>
          </w:tblCellMar>
        </w:tblPrEx>
        <w:trPr>
          <w:trHeight w:val="726"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Times New Roman" w:asciiTheme="minorEastAsia" w:hAnsiTheme="minorEastAsia"/>
                <w:kern w:val="0"/>
                <w:szCs w:val="21"/>
                <w:lang w:val="en-US" w:eastAsia="zh-CN"/>
              </w:rPr>
              <w:t>10.营业地或分支机构情况证明材料，营业地</w:t>
            </w:r>
            <w:r>
              <w:rPr>
                <w:rFonts w:hint="default" w:cs="Times New Roman" w:asciiTheme="minorEastAsia" w:hAnsiTheme="minorEastAsia"/>
                <w:kern w:val="0"/>
                <w:szCs w:val="21"/>
                <w:lang w:val="en-US" w:eastAsia="zh-CN"/>
              </w:rPr>
              <w:t>不在重庆地区的，</w:t>
            </w:r>
            <w:r>
              <w:rPr>
                <w:rFonts w:hint="eastAsia" w:cs="Times New Roman" w:asciiTheme="minorEastAsia" w:hAnsiTheme="minorEastAsia"/>
                <w:kern w:val="0"/>
                <w:szCs w:val="21"/>
                <w:lang w:val="en-US" w:eastAsia="zh-CN"/>
              </w:rPr>
              <w:t>须</w:t>
            </w:r>
            <w:r>
              <w:rPr>
                <w:rFonts w:hint="default" w:cs="Times New Roman" w:asciiTheme="minorEastAsia" w:hAnsiTheme="minorEastAsia"/>
                <w:kern w:val="0"/>
                <w:szCs w:val="21"/>
                <w:lang w:val="en-US" w:eastAsia="zh-CN"/>
              </w:rPr>
              <w:t>在重庆市主城区设有分支机构，该分支机构已设立超过5年</w:t>
            </w:r>
            <w:r>
              <w:rPr>
                <w:rFonts w:hint="eastAsia" w:cs="Times New Roman" w:asciiTheme="minorEastAsia" w:hAnsiTheme="minorEastAsia"/>
                <w:kern w:val="0"/>
                <w:szCs w:val="21"/>
                <w:lang w:val="en-US" w:eastAsia="zh-CN"/>
              </w:rPr>
              <w:t>且</w:t>
            </w:r>
            <w:r>
              <w:rPr>
                <w:rFonts w:hint="default" w:cs="Times New Roman" w:asciiTheme="minorEastAsia" w:hAnsiTheme="minorEastAsia"/>
                <w:kern w:val="0"/>
                <w:szCs w:val="21"/>
                <w:lang w:val="en-US" w:eastAsia="zh-CN"/>
              </w:rPr>
              <w:t>有30名以上的专职执业律师</w:t>
            </w:r>
            <w:r>
              <w:rPr>
                <w:rFonts w:hint="eastAsia" w:cs="Times New Roman" w:asciiTheme="minorEastAsia" w:hAnsiTheme="minorEastAsia"/>
                <w:kern w:val="0"/>
                <w:szCs w:val="21"/>
                <w:lang w:val="en-US" w:eastAsia="zh-CN"/>
              </w:rPr>
              <w:t>，</w:t>
            </w:r>
            <w:r>
              <w:rPr>
                <w:rFonts w:hint="default" w:cs="Times New Roman" w:asciiTheme="minorEastAsia" w:hAnsiTheme="minorEastAsia"/>
                <w:kern w:val="0"/>
                <w:szCs w:val="21"/>
                <w:lang w:val="en-US" w:eastAsia="zh-CN"/>
              </w:rPr>
              <w:t>其中有10年以上执业经验的律师不少于10名</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hint="default"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11.</w:t>
            </w:r>
            <w:r>
              <w:rPr>
                <w:rFonts w:hint="default" w:cs="Times New Roman" w:asciiTheme="minorEastAsia" w:hAnsiTheme="minorEastAsia"/>
                <w:kern w:val="0"/>
                <w:szCs w:val="21"/>
                <w:lang w:val="en-US" w:eastAsia="zh-CN"/>
              </w:rPr>
              <w:t>独立</w:t>
            </w:r>
            <w:r>
              <w:rPr>
                <w:rFonts w:hint="eastAsia" w:cs="Times New Roman" w:asciiTheme="minorEastAsia" w:hAnsiTheme="minorEastAsia"/>
                <w:kern w:val="0"/>
                <w:szCs w:val="21"/>
                <w:lang w:val="en-US" w:eastAsia="zh-CN"/>
              </w:rPr>
              <w:t>的现代化</w:t>
            </w:r>
            <w:r>
              <w:rPr>
                <w:rFonts w:hint="default" w:cs="Times New Roman" w:asciiTheme="minorEastAsia" w:hAnsiTheme="minorEastAsia"/>
                <w:kern w:val="0"/>
                <w:szCs w:val="21"/>
                <w:lang w:val="en-US" w:eastAsia="zh-CN"/>
              </w:rPr>
              <w:t>办公场所</w:t>
            </w:r>
            <w:r>
              <w:rPr>
                <w:rFonts w:hint="eastAsia" w:cs="Times New Roman" w:asciiTheme="minorEastAsia" w:hAnsiTheme="minorEastAsia"/>
                <w:kern w:val="0"/>
                <w:szCs w:val="21"/>
                <w:lang w:val="en-US" w:eastAsia="zh-CN"/>
              </w:rPr>
              <w:t>：提供</w:t>
            </w:r>
            <w:r>
              <w:rPr>
                <w:rFonts w:hint="default" w:cs="Times New Roman" w:asciiTheme="minorEastAsia" w:hAnsiTheme="minorEastAsia"/>
                <w:kern w:val="0"/>
                <w:szCs w:val="21"/>
                <w:lang w:val="en-US" w:eastAsia="zh-CN"/>
              </w:rPr>
              <w:t>在重庆市主城区具有独立</w:t>
            </w:r>
            <w:r>
              <w:rPr>
                <w:rFonts w:hint="eastAsia" w:cs="Times New Roman" w:asciiTheme="minorEastAsia" w:hAnsiTheme="minorEastAsia"/>
                <w:kern w:val="0"/>
                <w:szCs w:val="21"/>
                <w:lang w:val="en-US" w:eastAsia="zh-CN"/>
              </w:rPr>
              <w:t>的现代化</w:t>
            </w:r>
            <w:r>
              <w:rPr>
                <w:rFonts w:hint="default" w:cs="Times New Roman" w:asciiTheme="minorEastAsia" w:hAnsiTheme="minorEastAsia"/>
                <w:kern w:val="0"/>
                <w:szCs w:val="21"/>
                <w:lang w:val="en-US" w:eastAsia="zh-CN"/>
              </w:rPr>
              <w:t>办公场所</w:t>
            </w:r>
            <w:r>
              <w:rPr>
                <w:rFonts w:hint="eastAsia" w:cs="Times New Roman" w:asciiTheme="minorEastAsia" w:hAnsiTheme="minorEastAsia"/>
                <w:kern w:val="0"/>
                <w:szCs w:val="21"/>
                <w:lang w:val="en-US" w:eastAsia="zh-CN"/>
              </w:rPr>
              <w:t>证明材料</w:t>
            </w:r>
          </w:p>
        </w:tc>
      </w:tr>
      <w:tr>
        <w:tblPrEx>
          <w:tblCellMar>
            <w:top w:w="0" w:type="dxa"/>
            <w:left w:w="108" w:type="dxa"/>
            <w:bottom w:w="0" w:type="dxa"/>
            <w:right w:w="108" w:type="dxa"/>
          </w:tblCellMar>
        </w:tblPrEx>
        <w:trPr>
          <w:trHeight w:val="720"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hint="eastAsia" w:cs="宋体" w:asciiTheme="minorEastAsia" w:hAnsiTheme="minorEastAsia"/>
                <w:kern w:val="0"/>
                <w:szCs w:val="21"/>
              </w:rPr>
            </w:pPr>
            <w:r>
              <w:rPr>
                <w:rFonts w:hint="eastAsia" w:cs="Times New Roman" w:asciiTheme="minorEastAsia" w:hAnsiTheme="minorEastAsia"/>
                <w:kern w:val="0"/>
                <w:szCs w:val="21"/>
                <w:lang w:val="en-US" w:eastAsia="zh-CN"/>
              </w:rPr>
              <w:t>12.</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非外资企业或外资控股企业的书面声明；参加本次采购活动前5年内在经营活动中没有重大违法记录</w:t>
            </w:r>
            <w:r>
              <w:rPr>
                <w:rFonts w:hint="eastAsia" w:cs="宋体" w:asciiTheme="minorEastAsia" w:hAnsiTheme="minorEastAsia"/>
                <w:kern w:val="0"/>
                <w:szCs w:val="21"/>
                <w:lang w:eastAsia="zh-CN"/>
              </w:rPr>
              <w:t>、</w:t>
            </w:r>
            <w:r>
              <w:rPr>
                <w:rFonts w:hint="default" w:cs="宋体" w:asciiTheme="minorEastAsia" w:hAnsiTheme="minorEastAsia"/>
                <w:kern w:val="0"/>
                <w:szCs w:val="21"/>
              </w:rPr>
              <w:t>未被有关征信部门列为失信名单</w:t>
            </w:r>
            <w:r>
              <w:rPr>
                <w:rFonts w:hint="eastAsia" w:cs="宋体" w:asciiTheme="minorEastAsia" w:hAnsiTheme="minorEastAsia"/>
                <w:kern w:val="0"/>
                <w:szCs w:val="21"/>
                <w:lang w:eastAsia="zh-CN"/>
              </w:rPr>
              <w:t>、</w:t>
            </w:r>
            <w:r>
              <w:rPr>
                <w:rFonts w:hint="default" w:cs="宋体" w:asciiTheme="minorEastAsia" w:hAnsiTheme="minorEastAsia"/>
                <w:kern w:val="0"/>
                <w:szCs w:val="21"/>
              </w:rPr>
              <w:t>未被法院列为失信被执行人等</w:t>
            </w:r>
            <w:r>
              <w:rPr>
                <w:rFonts w:hint="eastAsia" w:cs="宋体" w:asciiTheme="minorEastAsia" w:hAnsiTheme="minorEastAsia"/>
                <w:kern w:val="0"/>
                <w:szCs w:val="21"/>
              </w:rPr>
              <w:t>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4.报价文件有效期满足谈判文件要求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pPr>
      <w:r>
        <w:rPr>
          <w:rFonts w:hint="eastAsia" w:ascii="方正小标宋简体" w:hAnsi="Times New Roman" w:eastAsia="方正小标宋简体" w:cs="Times New Roman"/>
          <w:kern w:val="0"/>
          <w:sz w:val="36"/>
          <w:szCs w:val="36"/>
        </w:rPr>
        <w:t>评审标准表</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8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51" w:type="dxa"/>
            <w:gridSpan w:val="2"/>
            <w:vAlign w:val="center"/>
          </w:tcPr>
          <w:p>
            <w:pPr>
              <w:pStyle w:val="5"/>
              <w:snapToGrid w:val="0"/>
              <w:ind w:firstLine="402"/>
              <w:rPr>
                <w:rFonts w:asciiTheme="majorEastAsia" w:hAnsiTheme="majorEastAsia" w:eastAsiaTheme="majorEastAsia"/>
                <w:sz w:val="21"/>
                <w:szCs w:val="21"/>
              </w:rPr>
            </w:pPr>
            <w:r>
              <w:rPr>
                <w:rFonts w:hint="eastAsia" w:asciiTheme="majorEastAsia" w:hAnsiTheme="majorEastAsia" w:eastAsiaTheme="majorEastAsia"/>
                <w:sz w:val="21"/>
                <w:szCs w:val="21"/>
              </w:rPr>
              <w:t>评价要点</w:t>
            </w:r>
          </w:p>
        </w:tc>
        <w:tc>
          <w:tcPr>
            <w:tcW w:w="7371" w:type="dxa"/>
            <w:vAlign w:val="center"/>
          </w:tcPr>
          <w:p>
            <w:pPr>
              <w:pStyle w:val="5"/>
              <w:snapToGrid w:val="0"/>
              <w:ind w:firstLine="402"/>
              <w:jc w:val="center"/>
              <w:rPr>
                <w:rFonts w:asciiTheme="majorEastAsia" w:hAnsiTheme="majorEastAsia" w:eastAsiaTheme="majorEastAsia"/>
                <w:sz w:val="21"/>
                <w:szCs w:val="21"/>
              </w:rPr>
            </w:pPr>
            <w:r>
              <w:rPr>
                <w:rFonts w:asciiTheme="majorEastAsia" w:hAnsiTheme="majorEastAsia" w:eastAsiaTheme="majorEastAsia"/>
                <w:sz w:val="21"/>
                <w:szCs w:val="21"/>
              </w:rPr>
              <w:t>评价点说明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9" w:type="dxa"/>
            <w:vMerge w:val="restart"/>
            <w:vAlign w:val="center"/>
          </w:tcPr>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技术指标</w:t>
            </w:r>
          </w:p>
          <w:p>
            <w:pPr>
              <w:pStyle w:val="5"/>
              <w:snapToGrid w:val="0"/>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55％</w:t>
            </w: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jc w:val="center"/>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402"/>
              <w:jc w:val="center"/>
              <w:rPr>
                <w:rFonts w:asciiTheme="majorEastAsia" w:hAnsiTheme="majorEastAsia" w:eastAsiaTheme="majorEastAsia"/>
                <w:sz w:val="21"/>
                <w:szCs w:val="21"/>
              </w:rPr>
            </w:pP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服务方案</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30分</w:t>
            </w:r>
          </w:p>
        </w:tc>
        <w:tc>
          <w:tcPr>
            <w:tcW w:w="7371" w:type="dxa"/>
            <w:vAlign w:val="center"/>
          </w:tcPr>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准确响应和匹配采购方服务需求（须提供合作计划方案）。（15分）</w:t>
            </w:r>
          </w:p>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现场回答专家提出问题的辩诉能力。（15分）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9" w:type="dxa"/>
            <w:vMerge w:val="continue"/>
            <w:vAlign w:val="center"/>
          </w:tcPr>
          <w:p>
            <w:pPr>
              <w:pStyle w:val="5"/>
              <w:snapToGrid w:val="0"/>
              <w:ind w:firstLine="402"/>
              <w:jc w:val="center"/>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政策分析</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10分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及时提供法律资讯，准确把握当前国家、军队政策，能较好的解读和运用法律法规。</w:t>
            </w:r>
            <w:r>
              <w:rPr>
                <w:rFonts w:hint="eastAsia" w:asciiTheme="majorEastAsia" w:hAnsiTheme="majorEastAsia" w:eastAsiaTheme="majorEastAsia"/>
                <w:sz w:val="21"/>
                <w:szCs w:val="21"/>
              </w:rPr>
              <w:t>（</w:t>
            </w:r>
            <w:r>
              <w:rPr>
                <w:rFonts w:asciiTheme="majorEastAsia" w:hAnsiTheme="majorEastAsia" w:eastAsiaTheme="majorEastAsia"/>
                <w:sz w:val="21"/>
                <w:szCs w:val="21"/>
              </w:rPr>
              <w:t>10分</w:t>
            </w:r>
            <w:r>
              <w:rPr>
                <w:rFonts w:hint="eastAsia" w:asciiTheme="majorEastAsia" w:hAnsiTheme="majorEastAsia"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669" w:type="dxa"/>
            <w:vMerge w:val="continue"/>
            <w:vAlign w:val="center"/>
          </w:tcPr>
          <w:p>
            <w:pPr>
              <w:pStyle w:val="5"/>
              <w:snapToGrid w:val="0"/>
              <w:ind w:firstLine="402"/>
              <w:jc w:val="center"/>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服务团队</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需保障不低于5人的稳定团队服务医院，该团队成员需具备医疗争议、经济合同争议、人力资源管理争议及知识产权的丰富处置经验；（8分）</w:t>
            </w:r>
          </w:p>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团队负责人应由律师事务所合伙人担任，该负责人须执业</w:t>
            </w:r>
            <w:r>
              <w:rPr>
                <w:rFonts w:asciiTheme="majorEastAsia" w:hAnsiTheme="majorEastAsia" w:eastAsiaTheme="majorEastAsia"/>
                <w:sz w:val="21"/>
                <w:szCs w:val="21"/>
                <w:u w:val="single"/>
              </w:rPr>
              <w:t>6年</w:t>
            </w:r>
            <w:r>
              <w:rPr>
                <w:rFonts w:asciiTheme="majorEastAsia" w:hAnsiTheme="majorEastAsia" w:eastAsiaTheme="majorEastAsia"/>
                <w:sz w:val="21"/>
                <w:szCs w:val="21"/>
              </w:rPr>
              <w:t>以上，且同时具备向医疗机构、军队单位及企事业单位提供法律顾问服务的经验，有良好的职业水平和专业素养，以及良好的沟通能力；同时能够根据医院服务需求，协调律所开展综合性服务保障；（8分）</w:t>
            </w:r>
          </w:p>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团队其余成员须执业3年以上，具有良好的素质、专业的知识和丰富的实践经验，具备单案/项目全程跟进的能力；（4分）</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近3年内，服务团队成员应有为大型综合性医疗机构、师团级以上军队单位、国企或事业单位进行过人力资源专项法律服务、代理过医疗纠纷诉讼、行政诉讼、合同纠纷诉讼以及协助处理疑难复杂非诉信访的经验，需提供代理案件案例。（5分）</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⑤</w:t>
            </w:r>
            <w:r>
              <w:rPr>
                <w:rFonts w:asciiTheme="majorEastAsia" w:hAnsiTheme="majorEastAsia" w:eastAsiaTheme="majorEastAsia"/>
                <w:sz w:val="21"/>
                <w:szCs w:val="21"/>
              </w:rPr>
              <w:t>近5年内，团队负责人或者成员作为大型三级医院、师团级以上军队机构常年法律顾问。每1家1分（最多可得5分）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律所实力</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30分</w:t>
            </w: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近5年内，具备为三级医院及军队机构的常年法律顾问合作经验（需提供案例）。具体经验包括：</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*（1）医疗管理（10分）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有为综合性医疗机构提供涉及医疗纠纷方面的法律服务经验；有为国家大型政企事业单位提供管理政策性咨询的经验。（4分）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有成功代理医疗纠纷和行政诉讼的经验。（4分）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能够按医院要求，对医疗安全管理进行整体设计，提出可行性方案，并提供初步计划书。（2分）</w:t>
            </w:r>
          </w:p>
          <w:p>
            <w:pPr>
              <w:pStyle w:val="5"/>
              <w:snapToGrid w:val="0"/>
              <w:ind w:firstLine="101"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经济合同（6分）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有为国家大型政企事业单位、医疗机构提供涉及经济合同管理方面的法律服务经验。（3分）</w:t>
            </w:r>
          </w:p>
          <w:p>
            <w:pPr>
              <w:pStyle w:val="5"/>
              <w:snapToGrid w:val="0"/>
              <w:ind w:firstLine="201" w:firstLineChars="100"/>
              <w:rPr>
                <w:rFonts w:asciiTheme="majorEastAsia" w:hAnsiTheme="majorEastAsia" w:eastAsiaTheme="majorEastAsia"/>
                <w:b/>
                <w:bCs/>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有成功代理大型经济合同及工程建设诉讼经验。（3分）</w:t>
            </w:r>
          </w:p>
          <w:p>
            <w:pPr>
              <w:pStyle w:val="5"/>
              <w:snapToGrid w:val="0"/>
              <w:ind w:firstLine="101"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人力资源（6分）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结合医院现状，对医院人力资源管理进行整体设计，并能够按医院要求，提出可实务操作的指引与风险防控方案。（3分）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有为国家大型政企事业单位、医疗机构提供涉及人力资源管理方面的法律服务经验。（2分）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熟悉《民事诉讼法》、《劳动合同法》等国家法律规定，具有丰富的成功处置民事诉讼、劳务纠纷案件的经验。（1分）</w:t>
            </w:r>
          </w:p>
          <w:p>
            <w:pPr>
              <w:pStyle w:val="5"/>
              <w:snapToGrid w:val="0"/>
              <w:ind w:firstLine="101"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知识产权（2分）</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有代理知识产权案件的经验。</w:t>
            </w:r>
          </w:p>
          <w:p>
            <w:pPr>
              <w:pStyle w:val="5"/>
              <w:snapToGrid w:val="0"/>
              <w:ind w:firstLine="101" w:firstLineChars="50"/>
              <w:rPr>
                <w:rFonts w:asciiTheme="majorEastAsia" w:hAnsiTheme="majorEastAsia" w:eastAsiaTheme="majorEastAsia"/>
                <w:sz w:val="21"/>
                <w:szCs w:val="21"/>
              </w:rPr>
            </w:pPr>
            <w:r>
              <w:rPr>
                <w:rFonts w:asciiTheme="majorEastAsia" w:hAnsiTheme="majorEastAsia" w:eastAsiaTheme="majorEastAsia"/>
                <w:sz w:val="21"/>
                <w:szCs w:val="21"/>
              </w:rPr>
              <w:t>（5）纪检保卫（6分）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有代理过涉军案件的经验，包括处理军地互涉案件、军婚及涉军单位法律建设等经验。（3分）</w:t>
            </w:r>
          </w:p>
          <w:p>
            <w:pPr>
              <w:pStyle w:val="5"/>
              <w:snapToGrid w:val="0"/>
              <w:ind w:firstLine="201" w:firstLineChars="100"/>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有处理刑事案件经验，涉及范围不限于寻衅滋事、盗窃等方面。（3分）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备注</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技术项目带“*”条款不满足，按</w:t>
            </w:r>
            <w:r>
              <w:rPr>
                <w:rFonts w:hint="eastAsia" w:asciiTheme="majorEastAsia" w:hAnsiTheme="majorEastAsia" w:eastAsiaTheme="majorEastAsia"/>
                <w:sz w:val="21"/>
                <w:szCs w:val="21"/>
              </w:rPr>
              <w:t>无效报价</w:t>
            </w:r>
            <w:r>
              <w:rPr>
                <w:rFonts w:asciiTheme="majorEastAsia" w:hAnsiTheme="majorEastAsia" w:eastAsiaTheme="majorEastAsia"/>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vAlign w:val="center"/>
          </w:tcPr>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商务指标30％</w:t>
            </w: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律师事务所业界影响力</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须具有良好的行业口碑和规范的业务管理能力，且近5年（以自然年度计算）曾获得省（直辖市）级司法行政机关或者律师协会授予的荣誉称号。</w:t>
            </w:r>
            <w:r>
              <w:rPr>
                <w:rFonts w:asciiTheme="majorEastAsia" w:hAnsiTheme="majorEastAsia" w:eastAsiaTheme="majorEastAsia"/>
                <w:sz w:val="21"/>
                <w:szCs w:val="21"/>
                <w:u w:val="single"/>
              </w:rPr>
              <w:t>每1项/3分（最多可得18分）,没有不得分。</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加分项（12分）：</w:t>
            </w:r>
          </w:p>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曾获得司法部、全国律协或其他部级单位及以上荣誉称号或表彰。</w:t>
            </w:r>
            <w:r>
              <w:rPr>
                <w:rFonts w:asciiTheme="majorEastAsia" w:hAnsiTheme="majorEastAsia" w:eastAsiaTheme="majorEastAsia"/>
                <w:sz w:val="21"/>
                <w:szCs w:val="21"/>
                <w:u w:val="single"/>
              </w:rPr>
              <w:t>每1项/2分（最多可得6分）</w:t>
            </w:r>
          </w:p>
          <w:p>
            <w:pPr>
              <w:pStyle w:val="5"/>
              <w:snapToGrid w:val="0"/>
              <w:ind w:firstLine="402"/>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律师事务所拥有重庆仲裁委现任仲裁员。</w:t>
            </w:r>
            <w:r>
              <w:rPr>
                <w:rFonts w:asciiTheme="majorEastAsia" w:hAnsiTheme="majorEastAsia" w:eastAsiaTheme="majorEastAsia"/>
                <w:sz w:val="21"/>
                <w:szCs w:val="21"/>
                <w:u w:val="single"/>
              </w:rPr>
              <w:t>每1人/2分（最多可得6分）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响应性</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20分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根据管医院理需要，在约定时间内及时提供法律意见（6分）；律师事务所须拿出完整应急预案，承诺在紧急情况下及时响应医院现场处理问题的需求。（4分）</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服务团队需保证，能派遣专业律师同时处理两个以上部门的服务需求。（10分）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保密制度和保密措施</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20分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律师事务所具有相应保密规定、措施，注意保护医院信息安全。</w:t>
            </w:r>
          </w:p>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报价方案</w:t>
            </w:r>
          </w:p>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30分</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律师事务所整体报价方案，包含服务年费和个案收费标准。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9" w:type="dxa"/>
            <w:vMerge w:val="continue"/>
            <w:vAlign w:val="center"/>
          </w:tcPr>
          <w:p>
            <w:pPr>
              <w:pStyle w:val="5"/>
              <w:snapToGrid w:val="0"/>
              <w:ind w:firstLine="402"/>
              <w:rPr>
                <w:rFonts w:asciiTheme="majorEastAsia" w:hAnsiTheme="majorEastAsia" w:eastAsiaTheme="majorEastAsia"/>
                <w:sz w:val="21"/>
                <w:szCs w:val="21"/>
              </w:rPr>
            </w:pP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备注</w:t>
            </w:r>
          </w:p>
        </w:tc>
        <w:tc>
          <w:tcPr>
            <w:tcW w:w="7371" w:type="dxa"/>
            <w:vAlign w:val="center"/>
          </w:tcPr>
          <w:p>
            <w:pPr>
              <w:pStyle w:val="5"/>
              <w:snapToGrid w:val="0"/>
              <w:ind w:firstLine="402"/>
              <w:rPr>
                <w:rFonts w:asciiTheme="majorEastAsia" w:hAnsiTheme="majorEastAsia" w:eastAsiaTheme="majorEastAsia"/>
                <w:sz w:val="21"/>
                <w:szCs w:val="21"/>
              </w:rPr>
            </w:pPr>
            <w:r>
              <w:rPr>
                <w:rFonts w:asciiTheme="majorEastAsia" w:hAnsiTheme="majorEastAsia" w:eastAsiaTheme="majorEastAsia"/>
                <w:sz w:val="21"/>
                <w:szCs w:val="21"/>
              </w:rPr>
              <w:t>服务项目带“*”条款不满足谈判文件要求则商务为零分。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69" w:type="dxa"/>
            <w:vAlign w:val="center"/>
          </w:tcPr>
          <w:p>
            <w:pPr>
              <w:pStyle w:val="5"/>
              <w:snapToGrid w:val="0"/>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经济指标</w:t>
            </w:r>
          </w:p>
          <w:p>
            <w:pPr>
              <w:pStyle w:val="5"/>
              <w:snapToGrid w:val="0"/>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15％</w:t>
            </w:r>
          </w:p>
        </w:tc>
        <w:tc>
          <w:tcPr>
            <w:tcW w:w="1282" w:type="dxa"/>
            <w:vAlign w:val="center"/>
          </w:tcPr>
          <w:p>
            <w:pPr>
              <w:pStyle w:val="5"/>
              <w:snapToGrid w:val="0"/>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价格</w:t>
            </w:r>
          </w:p>
        </w:tc>
        <w:tc>
          <w:tcPr>
            <w:tcW w:w="7371" w:type="dxa"/>
            <w:vAlign w:val="center"/>
          </w:tcPr>
          <w:p>
            <w:pPr>
              <w:pStyle w:val="5"/>
              <w:snapToGrid w:val="0"/>
              <w:ind w:firstLine="402"/>
              <w:rPr>
                <w:rFonts w:asciiTheme="majorEastAsia" w:hAnsiTheme="majorEastAsia" w:eastAsiaTheme="majorEastAsia"/>
                <w:sz w:val="21"/>
                <w:szCs w:val="21"/>
              </w:rPr>
            </w:pPr>
            <w:r>
              <w:rPr>
                <w:rFonts w:hint="eastAsia" w:asciiTheme="majorEastAsia" w:hAnsiTheme="majorEastAsia" w:eastAsiaTheme="majorEastAsia"/>
                <w:sz w:val="21"/>
                <w:szCs w:val="21"/>
              </w:rPr>
              <w:t>报价最低者为基准价并计为满分；然后以基准价为基点计算报价商的经济得分，推算公式：报价商经济得分=基准价÷报价商的最终报价×权重。</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人签字，但有</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w:t>
      </w:r>
      <w:r>
        <w:rPr>
          <w:rFonts w:hint="eastAsia" w:cs="Times New Roman" w:asciiTheme="minorEastAsia" w:hAnsiTheme="minorEastAsia"/>
          <w:kern w:val="0"/>
          <w:sz w:val="24"/>
          <w:szCs w:val="24"/>
          <w:lang w:eastAsia="zh-CN"/>
        </w:rPr>
        <w:t>负责</w:t>
      </w:r>
      <w:r>
        <w:rPr>
          <w:rFonts w:hint="eastAsia" w:ascii="宋体" w:hAnsi="宋体" w:eastAsia="宋体" w:cs="Times New Roman"/>
          <w:kern w:val="0"/>
          <w:sz w:val="24"/>
          <w:szCs w:val="24"/>
        </w:rPr>
        <w:t>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同一需求部门（单位）同一经费来源的同类服务，部分服务单价或者金额超采购预算，但成交总金额未超采购预算的，不视为需求部门（单位）不能支付。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cs="Times New Roman" w:asciiTheme="minorEastAsia" w:hAnsiTheme="minorEastAsia"/>
          <w:kern w:val="0"/>
          <w:sz w:val="24"/>
          <w:szCs w:val="24"/>
        </w:rPr>
      </w:pPr>
      <w:r>
        <w:rPr>
          <w:rFonts w:ascii="宋体" w:hAnsi="宋体" w:eastAsia="宋体" w:cs="Times New Roman"/>
          <w:kern w:val="0"/>
          <w:sz w:val="24"/>
          <w:szCs w:val="24"/>
        </w:rPr>
        <w:tab/>
      </w: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处理机构</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 、甘老师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rPr>
        <w:t>（四）供应商认为谈判文件存在限制性、倾向性、排他性条款，使自己权益受到损害的，可以在提交报价文件截止时间10日前向</w:t>
      </w:r>
      <w:r>
        <w:rPr>
          <w:rFonts w:hint="eastAsia" w:ascii="宋体" w:hAnsi="宋体" w:eastAsia="宋体" w:cs="Times New Roman"/>
          <w:kern w:val="0"/>
          <w:sz w:val="24"/>
          <w:szCs w:val="24"/>
        </w:rPr>
        <w:t>采购机构设立的质疑处理机构提出书面质疑和相关证明材料。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ascii="宋体" w:hAnsi="宋体" w:eastAsia="宋体" w:cs="Times New Roman"/>
          <w:kern w:val="0"/>
          <w:sz w:val="24"/>
          <w:szCs w:val="24"/>
        </w:rPr>
        <w:t>采购机构设立的质疑处理机构提出书面质疑和相关证明材料。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1.采购机构</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3.报价方</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或者采购机构与报价方之间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w:t>
      </w:r>
      <w:r>
        <w:rPr>
          <w:rFonts w:hint="eastAsia" w:cs="Times New Roman" w:asciiTheme="minorEastAsia" w:hAnsiTheme="minorEastAsia"/>
          <w:kern w:val="0"/>
          <w:sz w:val="24"/>
          <w:szCs w:val="24"/>
          <w:lang w:eastAsia="zh-CN"/>
        </w:rPr>
        <w:t>负责</w:t>
      </w:r>
      <w:r>
        <w:rPr>
          <w:rFonts w:cs="Times New Roman" w:asciiTheme="minorEastAsia" w:hAnsiTheme="minorEastAsia"/>
          <w:kern w:val="0"/>
          <w:sz w:val="24"/>
          <w:szCs w:val="24"/>
        </w:rPr>
        <w:t>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w:t>
      </w:r>
      <w:r>
        <w:rPr>
          <w:rFonts w:hint="eastAsia" w:cs="Times New Roman" w:asciiTheme="minorEastAsia" w:hAnsiTheme="minorEastAsia"/>
          <w:kern w:val="0"/>
          <w:sz w:val="24"/>
          <w:szCs w:val="24"/>
          <w:lang w:eastAsia="zh-CN"/>
        </w:rPr>
        <w:t>负责</w:t>
      </w:r>
      <w:r>
        <w:rPr>
          <w:rFonts w:cs="Times New Roman" w:asciiTheme="minorEastAsia" w:hAnsiTheme="minorEastAsia"/>
          <w:kern w:val="0"/>
          <w:sz w:val="24"/>
          <w:szCs w:val="24"/>
        </w:rPr>
        <w:t>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w:t>
      </w:r>
      <w:r>
        <w:rPr>
          <w:rFonts w:hint="eastAsia" w:cs="Times New Roman" w:asciiTheme="minorEastAsia" w:hAnsiTheme="minorEastAsia"/>
          <w:kern w:val="0"/>
          <w:sz w:val="24"/>
          <w:szCs w:val="24"/>
          <w:lang w:eastAsia="zh-CN"/>
        </w:rPr>
        <w:t>负责</w:t>
      </w:r>
      <w:r>
        <w:rPr>
          <w:rFonts w:cs="Times New Roman" w:asciiTheme="minorEastAsia" w:hAnsiTheme="minorEastAsia"/>
          <w:kern w:val="0"/>
          <w:sz w:val="24"/>
          <w:szCs w:val="24"/>
        </w:rPr>
        <w:t>人授权</w:t>
      </w:r>
      <w:r>
        <w:rPr>
          <w:rFonts w:hint="eastAsia" w:cs="Times New Roman" w:asciiTheme="minorEastAsia" w:hAnsiTheme="minorEastAsia"/>
          <w:kern w:val="0"/>
          <w:sz w:val="24"/>
          <w:szCs w:val="24"/>
        </w:rPr>
        <w:t>书和</w:t>
      </w:r>
      <w:r>
        <w:rPr>
          <w:rFonts w:hint="eastAsia" w:cs="Times New Roman" w:asciiTheme="minorEastAsia" w:hAnsiTheme="minorEastAsia"/>
          <w:kern w:val="0"/>
          <w:sz w:val="24"/>
          <w:szCs w:val="24"/>
          <w:lang w:eastAsia="zh-CN"/>
        </w:rPr>
        <w:t>负责</w:t>
      </w:r>
      <w:r>
        <w:rPr>
          <w:rFonts w:cs="Times New Roman" w:asciiTheme="minorEastAsia" w:hAnsiTheme="minorEastAsia"/>
          <w:kern w:val="0"/>
          <w:sz w:val="24"/>
          <w:szCs w:val="24"/>
        </w:rPr>
        <w:t>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（八）质疑处理机构</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报价</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质疑处理机构可以申请上级采购管理部门作出处罚。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七、确定成交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成交供应商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1.评审结束后3个工作日内，采购机构根据评审委员会提出的书面评标报告，在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上公示评审结果，公示期为3个工作日。在公示期内无异议的，且通过医院价格审核，确定该项目排名第一的供应商为采购项目成交供应商。公示期内有异议的，按照本须知“质疑与投诉”规定的程序处理。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2.采购机构有权根据采购任务变更等实际情况调整成交数量。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（二）成交</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1.采购机构在确定成交供应商后3个工作日内，以书面形式向成交供应商发出《成交通知书》。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2.《成交通知书》是签订合同草案的依据。若合同草案未获批准，采购机构有权取消合同草案。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成交</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及签订的合同草案不能作为成交供应商启动项目的依据，应待正式合同签订后再启动项目，否则，由此造成的后果由成交供应商自行承担。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成交供应商在采购机构发出《成交通知书》之日起，按照采购机构规定的时间、地点签订合同。未经采购机构同意逾期不签订合同的，将取消成交供应商成交资格。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（二）谈判文件、成交供应商的报价文件、补充报价文件、澄清承诺、说明、补正和《成交通知书》等，均为签订合同的依据。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（三）成交供应商应当按照合同约定履行义务，完成采购项目。成交供应商不得向他人转让采购项目，也不得将采购项目分包向他人转让或委托加工。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谈判文件</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采购机构</w:t>
      </w:r>
      <w:r>
        <w:rPr>
          <w:rFonts w:cs="Times New Roman" w:asciiTheme="minorEastAsia" w:hAnsiTheme="minorEastAsia"/>
          <w:kern w:val="0"/>
          <w:sz w:val="24"/>
          <w:szCs w:val="24"/>
        </w:rPr>
        <w:t>负责解释。</w:t>
      </w:r>
    </w:p>
    <w:p>
      <w:pPr>
        <w:widowControl/>
        <w:jc w:val="center"/>
        <w:rPr>
          <w:rFonts w:ascii="黑体" w:hAnsi="黑体" w:eastAsia="黑体" w:cs="Times New Roman"/>
          <w:kern w:val="0"/>
          <w:sz w:val="32"/>
          <w:szCs w:val="32"/>
        </w:rPr>
      </w:pPr>
      <w:bookmarkStart w:id="14" w:name="_Toc285612603"/>
      <w:bookmarkStart w:id="15" w:name="_Toc435540981"/>
      <w:bookmarkStart w:id="16" w:name="_Toc390713969"/>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r>
        <w:rPr>
          <w:rFonts w:hint="eastAsia" w:ascii="黑体" w:hAnsi="黑体" w:eastAsia="黑体" w:cs="Times New Roman"/>
          <w:bCs/>
          <w:color w:val="FF0000"/>
          <w:kern w:val="0"/>
          <w:sz w:val="32"/>
          <w:szCs w:val="32"/>
        </w:rPr>
        <w:t>（参考）</w:t>
      </w:r>
      <w:bookmarkStart w:id="18" w:name="_Toc285612604"/>
      <w:bookmarkStart w:id="19" w:name="_Toc37172691"/>
      <w:bookmarkStart w:id="20" w:name="_Toc435540982"/>
      <w:bookmarkStart w:id="21" w:name="_Toc240432233"/>
      <w:bookmarkStart w:id="22" w:name="_Toc390713970"/>
    </w:p>
    <w:p>
      <w:pPr>
        <w:keepNext/>
        <w:tabs>
          <w:tab w:val="left" w:pos="3360"/>
        </w:tabs>
        <w:spacing w:line="360" w:lineRule="auto"/>
        <w:outlineLvl w:val="0"/>
        <w:rPr>
          <w:rFonts w:ascii="宋体" w:hAnsi="宋体" w:eastAsia="宋体" w:cs="Times New Roman"/>
          <w:bCs/>
          <w:sz w:val="24"/>
          <w:szCs w:val="24"/>
        </w:rPr>
      </w:pPr>
      <w:r>
        <w:rPr>
          <w:rFonts w:hint="eastAsia" w:hAnsi="宋体" w:cs="Calibri"/>
          <w:sz w:val="28"/>
          <w:szCs w:val="28"/>
        </w:rPr>
        <w:t xml:space="preserve">                           </w:t>
      </w:r>
      <w:r>
        <w:rPr>
          <w:rFonts w:hint="eastAsia" w:ascii="宋体" w:hAnsi="宋体" w:eastAsia="宋体" w:cs="Times New Roman"/>
          <w:bCs/>
          <w:sz w:val="24"/>
          <w:szCs w:val="24"/>
        </w:rPr>
        <w:t>一、定义</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1.需方是陆军军医大学第一附属医院。</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2.供方是指经评审后确定产生的成交供应商。</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3.合同是指由采购方和成交单位按照谈判文件、补遗书和报价文件以及要求书面澄清的实质性内容，规范成要约和承诺，通过协商一致达成的书面协议。</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4.合同价格系指根据合同规定，在供方全面正确地履行合同义务时需方应支付给供方的款项。</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5.技术资料是指合同服务及其相关的设计、验收等文件（包括图纸、各种文字说明、标准）。</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6.合同服务是指供方根据合同所需供应的服务等所有各种人员配置。</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二、合同标的</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1.合同标的包括以下内容：</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服务名称：</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服务规格：</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金额：</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2.供方供应的服务，达到谈判文件要求的。</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3.服务的质量指标应满足谈判文件的要求。</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4.供方提供合同服务的服务范围按谈判文件要求。</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三、合同价格</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1.合同价格即合同总价。</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2.合同价格：</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服务：包括合同人员及与服务有关的供方应纳的各种税费。</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3.合同服务报价为最终中选报价。</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四、付款</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1.本合同使用货币币制如未作特别说明均为人民币。</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2.付款方式：转账。</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3.付款方法按照双方约定执行。</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五、服务方式、资料报送和查询</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1.合同的服务期、服务地点皆按谈判文件的规定执行。</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2.合同期内供方应就本次项目相关信息按照需方要求向需方报送相关资料。需方有权对供方实施的服务实施情况进行及时查询，并将查询需求向供方提出，供方应根据需方的需求提供相关信息。</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六、检查验收</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需方有权随时抽查服务工作人员的在岗情况与服务质量，如若因供方失职所造成的损失，将按合同要求进行赔偿。</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七、索赔</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供方对提供服务与合同要求不符负有责任，并且需方已于规定服务期内提出索赔，供方应按需方同意根据服务的质量以及需方遭受损失的金额，经双方同意达成赔偿协议。</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八、合同争议的解决</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1.当事人友好协商达成一致</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2.在60天内当事人协商不能达成协议的，依法向人民法院起诉。</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九、违约责任</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按《中华人民共和国合同法》有关条款执行或供需双方约定。</w:t>
      </w:r>
    </w:p>
    <w:p>
      <w:pPr>
        <w:spacing w:line="400" w:lineRule="exact"/>
        <w:rPr>
          <w:rFonts w:ascii="宋体" w:hAnsi="宋体" w:eastAsia="宋体" w:cs="Times New Roman"/>
          <w:bCs/>
          <w:sz w:val="24"/>
          <w:szCs w:val="24"/>
        </w:rPr>
      </w:pPr>
      <w:r>
        <w:rPr>
          <w:rFonts w:hint="eastAsia" w:ascii="宋体" w:hAnsi="宋体" w:eastAsia="宋体" w:cs="Times New Roman"/>
          <w:bCs/>
          <w:sz w:val="24"/>
          <w:szCs w:val="24"/>
        </w:rPr>
        <w:t>十、合同生效及其它</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1.合同生效及其效力应符合《中华人民共和国合同法》有关规定。</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2.合同应经当事人</w:t>
      </w:r>
      <w:r>
        <w:rPr>
          <w:rFonts w:hint="eastAsia" w:cs="Times New Roman" w:asciiTheme="minorEastAsia" w:hAnsiTheme="minorEastAsia"/>
          <w:kern w:val="0"/>
          <w:sz w:val="24"/>
          <w:szCs w:val="24"/>
          <w:lang w:eastAsia="zh-CN"/>
        </w:rPr>
        <w:t>负责</w:t>
      </w:r>
      <w:r>
        <w:rPr>
          <w:rFonts w:hint="eastAsia" w:ascii="宋体" w:hAnsi="宋体" w:eastAsia="宋体" w:cs="Times New Roman"/>
          <w:bCs/>
          <w:sz w:val="24"/>
          <w:szCs w:val="24"/>
        </w:rPr>
        <w:t>人或委托代理人签字，加盖合同专用章。</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3.合同所包括附件是合同不可分割的一部分，具有同等法律效力。</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4.合同需提供担保的，按《中华人民共和国担保法》规定执行。</w:t>
      </w:r>
    </w:p>
    <w:p>
      <w:pPr>
        <w:spacing w:line="400" w:lineRule="exact"/>
        <w:ind w:firstLine="462" w:firstLineChars="200"/>
        <w:rPr>
          <w:rFonts w:ascii="宋体" w:hAnsi="宋体" w:eastAsia="宋体" w:cs="Times New Roman"/>
          <w:bCs/>
          <w:sz w:val="24"/>
          <w:szCs w:val="24"/>
        </w:rPr>
      </w:pPr>
      <w:r>
        <w:rPr>
          <w:rFonts w:hint="eastAsia" w:ascii="宋体" w:hAnsi="宋体" w:eastAsia="宋体" w:cs="Times New Roman"/>
          <w:bCs/>
          <w:sz w:val="24"/>
          <w:szCs w:val="24"/>
        </w:rPr>
        <w:t>5.本合同条件未尽事宜依照《中华人民共和国合同法》，由供需双方共同协商确定。</w:t>
      </w:r>
    </w:p>
    <w:p>
      <w:pPr>
        <w:pStyle w:val="2"/>
        <w:jc w:val="left"/>
        <w:rPr>
          <w:rFonts w:asciiTheme="minorEastAsia" w:hAnsiTheme="minorEastAsia"/>
          <w:b w:val="0"/>
          <w:kern w:val="0"/>
          <w:sz w:val="24"/>
          <w:szCs w:val="24"/>
        </w:rPr>
      </w:pPr>
    </w:p>
    <w:p>
      <w:pPr>
        <w:pStyle w:val="2"/>
        <w:rPr>
          <w:rFonts w:ascii="黑体" w:hAnsi="黑体" w:eastAsia="黑体" w:cs="Times New Roman"/>
          <w:kern w:val="0"/>
          <w:szCs w:val="32"/>
        </w:rPr>
      </w:pPr>
    </w:p>
    <w:p>
      <w:pPr>
        <w:rPr>
          <w:rFonts w:ascii="黑体" w:hAnsi="黑体" w:eastAsia="黑体" w:cs="Times New Roman"/>
          <w:kern w:val="0"/>
          <w:sz w:val="32"/>
          <w:szCs w:val="32"/>
        </w:rPr>
      </w:pPr>
    </w:p>
    <w:p>
      <w:pPr>
        <w:pStyle w:val="2"/>
        <w:rPr>
          <w:rFonts w:ascii="黑体" w:hAnsi="黑体" w:eastAsia="黑体" w:cs="Times New Roman"/>
          <w:kern w:val="0"/>
          <w:szCs w:val="32"/>
        </w:rPr>
      </w:pPr>
    </w:p>
    <w:p/>
    <w:p>
      <w:pPr>
        <w:jc w:val="center"/>
        <w:outlineLvl w:val="0"/>
        <w:rPr>
          <w:rFonts w:ascii="黑体" w:hAnsi="黑体" w:eastAsia="黑体" w:cs="Times New Roman"/>
          <w:kern w:val="0"/>
          <w:sz w:val="32"/>
          <w:szCs w:val="32"/>
        </w:rPr>
      </w:pPr>
    </w:p>
    <w:p>
      <w:pPr>
        <w:jc w:val="center"/>
        <w:outlineLvl w:val="0"/>
        <w:rPr>
          <w:rFonts w:ascii="黑体" w:hAnsi="黑体" w:eastAsia="黑体" w:cs="Times New Roman"/>
          <w:kern w:val="0"/>
          <w:sz w:val="32"/>
          <w:szCs w:val="32"/>
        </w:rPr>
      </w:pPr>
      <w:r>
        <w:rPr>
          <w:rFonts w:hint="eastAsia" w:ascii="黑体" w:hAnsi="黑体" w:eastAsia="黑体" w:cs="Times New Roman"/>
          <w:kern w:val="0"/>
          <w:sz w:val="32"/>
          <w:szCs w:val="32"/>
        </w:rPr>
        <w:t>第五部分  附件/报价文件格式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附件3：服务方案及内容一览表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w:t>
      </w:r>
      <w:r>
        <w:rPr>
          <w:rFonts w:hint="eastAsia" w:cs="Times New Roman" w:asciiTheme="majorEastAsia" w:hAnsiTheme="majorEastAsia" w:eastAsiaTheme="majorEastAsia"/>
          <w:kern w:val="0"/>
          <w:sz w:val="30"/>
          <w:szCs w:val="30"/>
          <w:lang w:eastAsia="zh-CN"/>
        </w:rPr>
        <w:t>需求方案</w:t>
      </w:r>
      <w:r>
        <w:rPr>
          <w:rFonts w:hint="eastAsia" w:cs="Times New Roman" w:asciiTheme="majorEastAsia" w:hAnsiTheme="majorEastAsia" w:eastAsiaTheme="majorEastAsia"/>
          <w:kern w:val="0"/>
          <w:sz w:val="30"/>
          <w:szCs w:val="30"/>
        </w:rPr>
        <w:t>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附件6：报价方服务承诺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w:t>
      </w:r>
      <w:r>
        <w:rPr>
          <w:rFonts w:hint="eastAsia" w:cs="Times New Roman" w:asciiTheme="majorEastAsia" w:hAnsiTheme="majorEastAsia" w:eastAsiaTheme="majorEastAsia"/>
          <w:kern w:val="0"/>
          <w:sz w:val="30"/>
          <w:szCs w:val="30"/>
          <w:lang w:eastAsia="zh-CN"/>
        </w:rPr>
        <w:t>负责</w:t>
      </w:r>
      <w:r>
        <w:rPr>
          <w:rFonts w:hint="eastAsia" w:cs="Times New Roman" w:asciiTheme="majorEastAsia" w:hAnsiTheme="majorEastAsia" w:eastAsiaTheme="majorEastAsia"/>
          <w:kern w:val="0"/>
          <w:sz w:val="30"/>
          <w:szCs w:val="30"/>
        </w:rPr>
        <w:t>人资格证明书（含</w:t>
      </w:r>
      <w:r>
        <w:rPr>
          <w:rFonts w:hint="eastAsia" w:cs="Times New Roman" w:asciiTheme="majorEastAsia" w:hAnsiTheme="majorEastAsia" w:eastAsiaTheme="majorEastAsia"/>
          <w:kern w:val="0"/>
          <w:sz w:val="30"/>
          <w:szCs w:val="30"/>
          <w:lang w:eastAsia="zh-CN"/>
        </w:rPr>
        <w:t>负责</w:t>
      </w:r>
      <w:r>
        <w:rPr>
          <w:rFonts w:hint="eastAsia" w:cs="Times New Roman" w:asciiTheme="majorEastAsia" w:hAnsiTheme="majorEastAsia" w:eastAsiaTheme="majorEastAsia"/>
          <w:kern w:val="0"/>
          <w:sz w:val="30"/>
          <w:szCs w:val="30"/>
        </w:rPr>
        <w:t>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w:t>
      </w:r>
      <w:r>
        <w:rPr>
          <w:rFonts w:hint="eastAsia" w:cs="Times New Roman" w:asciiTheme="majorEastAsia" w:hAnsiTheme="majorEastAsia" w:eastAsiaTheme="majorEastAsia"/>
          <w:kern w:val="0"/>
          <w:sz w:val="30"/>
          <w:szCs w:val="30"/>
          <w:lang w:eastAsia="zh-CN"/>
        </w:rPr>
        <w:t>负责</w:t>
      </w:r>
      <w:r>
        <w:rPr>
          <w:rFonts w:hint="eastAsia" w:cs="Times New Roman" w:asciiTheme="majorEastAsia" w:hAnsiTheme="majorEastAsia" w:eastAsiaTheme="majorEastAsia"/>
          <w:kern w:val="0"/>
          <w:sz w:val="30"/>
          <w:szCs w:val="30"/>
        </w:rPr>
        <w:t>人授权书（含</w:t>
      </w:r>
      <w:r>
        <w:rPr>
          <w:rFonts w:hint="eastAsia" w:cs="Times New Roman" w:asciiTheme="majorEastAsia" w:hAnsiTheme="majorEastAsia" w:eastAsiaTheme="majorEastAsia"/>
          <w:kern w:val="0"/>
          <w:sz w:val="30"/>
          <w:szCs w:val="30"/>
          <w:lang w:eastAsia="zh-CN"/>
        </w:rPr>
        <w:t>被授权</w:t>
      </w:r>
      <w:r>
        <w:rPr>
          <w:rFonts w:hint="eastAsia" w:cs="Times New Roman" w:asciiTheme="majorEastAsia" w:hAnsiTheme="majorEastAsia" w:eastAsiaTheme="majorEastAsia"/>
          <w:kern w:val="0"/>
          <w:sz w:val="30"/>
          <w:szCs w:val="30"/>
        </w:rPr>
        <w:t>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附件14：廉洁诚信承诺书</w:t>
      </w:r>
    </w:p>
    <w:p>
      <w:pPr>
        <w:ind w:firstLine="582" w:firstLineChars="200"/>
        <w:rPr>
          <w:rFonts w:hint="eastAsia"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附件15：相关声明书（包含但不限于以下内容：①非外资企业或外资控股企业的书面声明；②参加本次采购活动前5年内在经营活动中没有重大违法记录</w:t>
      </w:r>
      <w:r>
        <w:rPr>
          <w:rFonts w:hint="eastAsia" w:cs="Times New Roman" w:asciiTheme="majorEastAsia" w:hAnsiTheme="majorEastAsia" w:eastAsiaTheme="majorEastAsia"/>
          <w:kern w:val="0"/>
          <w:sz w:val="30"/>
          <w:szCs w:val="30"/>
          <w:lang w:eastAsia="zh-CN"/>
        </w:rPr>
        <w:t>、</w:t>
      </w:r>
      <w:r>
        <w:rPr>
          <w:rFonts w:hint="default" w:cs="Times New Roman" w:asciiTheme="majorEastAsia" w:hAnsiTheme="majorEastAsia" w:eastAsiaTheme="majorEastAsia"/>
          <w:kern w:val="0"/>
          <w:sz w:val="30"/>
          <w:szCs w:val="30"/>
        </w:rPr>
        <w:t>未被有关征信部门列为失信名单</w:t>
      </w:r>
      <w:r>
        <w:rPr>
          <w:rFonts w:hint="eastAsia" w:cs="Times New Roman" w:asciiTheme="majorEastAsia" w:hAnsiTheme="majorEastAsia" w:eastAsiaTheme="majorEastAsia"/>
          <w:kern w:val="0"/>
          <w:sz w:val="30"/>
          <w:szCs w:val="30"/>
          <w:lang w:eastAsia="zh-CN"/>
        </w:rPr>
        <w:t>、</w:t>
      </w:r>
      <w:r>
        <w:rPr>
          <w:rFonts w:hint="default" w:cs="Times New Roman" w:asciiTheme="majorEastAsia" w:hAnsiTheme="majorEastAsia" w:eastAsiaTheme="majorEastAsia"/>
          <w:kern w:val="0"/>
          <w:sz w:val="30"/>
          <w:szCs w:val="30"/>
        </w:rPr>
        <w:t>未被法院列为失信被执行人</w:t>
      </w:r>
      <w:r>
        <w:rPr>
          <w:rFonts w:hint="eastAsia" w:cs="Times New Roman" w:asciiTheme="majorEastAsia" w:hAnsiTheme="majorEastAsia" w:eastAsiaTheme="majorEastAsia"/>
          <w:kern w:val="0"/>
          <w:sz w:val="30"/>
          <w:szCs w:val="30"/>
          <w:lang w:eastAsia="zh-CN"/>
        </w:rPr>
        <w:t>等</w:t>
      </w:r>
      <w:r>
        <w:rPr>
          <w:rFonts w:hint="eastAsia" w:cs="Times New Roman" w:asciiTheme="majorEastAsia" w:hAnsiTheme="majorEastAsia" w:eastAsiaTheme="majorEastAsia"/>
          <w:kern w:val="0"/>
          <w:sz w:val="30"/>
          <w:szCs w:val="30"/>
        </w:rPr>
        <w:t>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footerReference r:id="rId9" w:type="default"/>
          <w:pgSz w:w="11906" w:h="16838"/>
          <w:pgMar w:top="2098" w:right="1474" w:bottom="1985" w:left="1588" w:header="851" w:footer="851" w:gutter="0"/>
          <w:cols w:space="720" w:num="1"/>
          <w:docGrid w:type="linesAndChars" w:linePitch="579" w:charSpace="-1844"/>
        </w:sectPr>
      </w:pPr>
    </w:p>
    <w:p>
      <w:pP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pStyle w:val="2"/>
      </w:pPr>
    </w:p>
    <w:p>
      <w:pPr>
        <w:tabs>
          <w:tab w:val="left" w:pos="1800"/>
          <w:tab w:val="left" w:pos="5580"/>
        </w:tabs>
        <w:rPr>
          <w:rFonts w:cs="Arial" w:asciiTheme="minorEastAsia" w:hAnsiTheme="minorEastAsia"/>
        </w:rPr>
      </w:pPr>
      <w:r>
        <w:rPr>
          <w:rFonts w:hint="eastAsia" w:cs="Arial" w:asciiTheme="minorEastAsia" w:hAnsiTheme="minorEastAsia"/>
        </w:rPr>
        <w:t>项目</w:t>
      </w:r>
      <w:r>
        <w:rPr>
          <w:rFonts w:cs="Arial" w:asciiTheme="minorEastAsia" w:hAnsiTheme="minorEastAsia"/>
        </w:rPr>
        <w:t>编号：</w:t>
      </w:r>
      <w:r>
        <w:rPr>
          <w:rFonts w:hint="eastAsia" w:cs="Arial" w:asciiTheme="minorEastAsia" w:hAnsiTheme="minorEastAsia"/>
          <w:u w:val="single"/>
        </w:rPr>
        <w:t xml:space="preserve">            </w:t>
      </w:r>
      <w:r>
        <w:rPr>
          <w:rFonts w:cs="Arial" w:asciiTheme="minorEastAsia" w:hAnsiTheme="minorEastAsia"/>
          <w:u w:val="single"/>
        </w:rPr>
        <w:t xml:space="preserve"> </w:t>
      </w:r>
      <w:r>
        <w:rPr>
          <w:rFonts w:hint="eastAsia" w:cs="Arial" w:asciiTheme="minorEastAsia" w:hAnsiTheme="minorEastAsia"/>
          <w:u w:val="single"/>
        </w:rPr>
        <w:t xml:space="preserve">           </w:t>
      </w:r>
      <w:r>
        <w:rPr>
          <w:rFonts w:cs="Arial" w:asciiTheme="minorEastAsia" w:hAnsiTheme="minorEastAsia"/>
        </w:rPr>
        <w:t xml:space="preserve">    </w:t>
      </w:r>
      <w:r>
        <w:rPr>
          <w:rFonts w:hint="eastAsia" w:cs="Arial" w:asciiTheme="minorEastAsia" w:hAnsiTheme="minorEastAsia"/>
        </w:rPr>
        <w:t xml:space="preserve">                    </w:t>
      </w:r>
      <w:r>
        <w:rPr>
          <w:rFonts w:cs="Arial" w:asciiTheme="minorEastAsia" w:hAnsiTheme="minorEastAsia"/>
        </w:rPr>
        <w:t xml:space="preserve"> </w:t>
      </w:r>
      <w:r>
        <w:rPr>
          <w:rFonts w:hint="eastAsia" w:cs="Arial" w:asciiTheme="minorEastAsia" w:hAnsiTheme="minorEastAsia"/>
        </w:rPr>
        <w:t xml:space="preserve">                                 项目</w:t>
      </w:r>
      <w:r>
        <w:rPr>
          <w:rFonts w:cs="Arial" w:asciiTheme="minorEastAsia" w:hAnsiTheme="minorEastAsia"/>
        </w:rPr>
        <w:t>名称：</w:t>
      </w:r>
      <w:r>
        <w:rPr>
          <w:rFonts w:hint="eastAsia" w:cs="Arial" w:asciiTheme="minorEastAsia" w:hAnsiTheme="minorEastAsia"/>
          <w:u w:val="single"/>
        </w:rPr>
        <w:t xml:space="preserve">    （采购公告中的项目名称）  </w:t>
      </w:r>
    </w:p>
    <w:tbl>
      <w:tblPr>
        <w:tblStyle w:val="20"/>
        <w:tblpPr w:leftFromText="180" w:rightFromText="180" w:vertAnchor="text" w:horzAnchor="page" w:tblpX="1128" w:tblpY="251"/>
        <w:tblOverlap w:val="never"/>
        <w:tblW w:w="141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891"/>
        <w:gridCol w:w="3402"/>
        <w:gridCol w:w="3231"/>
        <w:gridCol w:w="3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80"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序号</w:t>
            </w:r>
          </w:p>
        </w:tc>
        <w:tc>
          <w:tcPr>
            <w:tcW w:w="2891"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项目名称</w:t>
            </w:r>
          </w:p>
        </w:tc>
        <w:tc>
          <w:tcPr>
            <w:tcW w:w="3402"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服务费</w:t>
            </w:r>
            <w:r>
              <w:rPr>
                <w:rFonts w:hint="eastAsia" w:cs="Arial" w:asciiTheme="minorEastAsia" w:hAnsiTheme="minorEastAsia" w:eastAsiaTheme="minorEastAsia"/>
                <w:szCs w:val="24"/>
              </w:rPr>
              <w:t>（万元）</w:t>
            </w:r>
          </w:p>
        </w:tc>
        <w:tc>
          <w:tcPr>
            <w:tcW w:w="3231"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服务</w:t>
            </w:r>
            <w:r>
              <w:rPr>
                <w:rFonts w:cs="Arial" w:asciiTheme="minorEastAsia" w:hAnsiTheme="minorEastAsia" w:eastAsiaTheme="minorEastAsia"/>
              </w:rPr>
              <w:t>期</w:t>
            </w:r>
            <w:r>
              <w:rPr>
                <w:rFonts w:hint="eastAsia" w:cs="Arial" w:asciiTheme="minorEastAsia" w:hAnsiTheme="minorEastAsia" w:eastAsiaTheme="minorEastAsia"/>
              </w:rPr>
              <w:t>限</w:t>
            </w:r>
          </w:p>
        </w:tc>
        <w:tc>
          <w:tcPr>
            <w:tcW w:w="3653"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付款方式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80"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2891" w:type="dxa"/>
            <w:vAlign w:val="center"/>
          </w:tcPr>
          <w:p>
            <w:pPr>
              <w:tabs>
                <w:tab w:val="left" w:pos="5580"/>
              </w:tabs>
              <w:jc w:val="center"/>
              <w:rPr>
                <w:rFonts w:cs="Arial" w:asciiTheme="minorEastAsia" w:hAnsiTheme="minorEastAsia"/>
              </w:rPr>
            </w:pPr>
          </w:p>
        </w:tc>
        <w:tc>
          <w:tcPr>
            <w:tcW w:w="3402" w:type="dxa"/>
            <w:vAlign w:val="center"/>
          </w:tcPr>
          <w:p>
            <w:pPr>
              <w:pStyle w:val="10"/>
              <w:adjustRightInd w:val="0"/>
              <w:snapToGrid w:val="0"/>
              <w:jc w:val="center"/>
              <w:rPr>
                <w:rFonts w:cs="Arial" w:asciiTheme="minorEastAsia" w:hAnsiTheme="minorEastAsia" w:eastAsiaTheme="minorEastAsia"/>
              </w:rPr>
            </w:pPr>
          </w:p>
        </w:tc>
        <w:tc>
          <w:tcPr>
            <w:tcW w:w="3231" w:type="dxa"/>
            <w:vAlign w:val="center"/>
          </w:tcPr>
          <w:p>
            <w:pPr>
              <w:pStyle w:val="10"/>
              <w:adjustRightInd w:val="0"/>
              <w:snapToGrid w:val="0"/>
              <w:jc w:val="center"/>
              <w:rPr>
                <w:rFonts w:cs="Arial" w:asciiTheme="minorEastAsia" w:hAnsiTheme="minorEastAsia" w:eastAsiaTheme="minorEastAsia"/>
              </w:rPr>
            </w:pPr>
            <w:r>
              <w:rPr>
                <w:rFonts w:hint="eastAsia" w:cs="Arial" w:asciiTheme="minorEastAsia" w:hAnsiTheme="minorEastAsia" w:eastAsiaTheme="minorEastAsia"/>
              </w:rPr>
              <w:t>2年</w:t>
            </w:r>
          </w:p>
        </w:tc>
        <w:tc>
          <w:tcPr>
            <w:tcW w:w="3653" w:type="dxa"/>
            <w:vAlign w:val="center"/>
          </w:tcPr>
          <w:p>
            <w:pPr>
              <w:pStyle w:val="10"/>
              <w:adjustRightInd w:val="0"/>
              <w:snapToGrid w:val="0"/>
              <w:jc w:val="center"/>
              <w:rPr>
                <w:rFonts w:cs="Arial"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157" w:type="dxa"/>
            <w:gridSpan w:val="5"/>
            <w:vAlign w:val="center"/>
          </w:tcPr>
          <w:p>
            <w:pPr>
              <w:pStyle w:val="10"/>
              <w:tabs>
                <w:tab w:val="left" w:pos="5580"/>
              </w:tabs>
              <w:spacing w:before="120"/>
              <w:rPr>
                <w:rFonts w:cs="Arial" w:asciiTheme="minorEastAsia" w:hAnsiTheme="minorEastAsia" w:eastAsiaTheme="minorEastAsia"/>
              </w:rPr>
            </w:pPr>
            <w:r>
              <w:rPr>
                <w:rFonts w:hint="eastAsia" w:cs="Arial" w:asciiTheme="minorEastAsia" w:hAnsiTheme="minorEastAsia" w:eastAsiaTheme="minorEastAsia"/>
              </w:rPr>
              <w:t>总金额（大写人民币）：                                         （小写）</w:t>
            </w:r>
            <w:r>
              <w:rPr>
                <w:rFonts w:hint="eastAsia" w:asciiTheme="minorEastAsia" w:hAnsiTheme="minorEastAsia" w:eastAsiaTheme="minorEastAsia" w:cstheme="minorEastAsia"/>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157" w:type="dxa"/>
            <w:gridSpan w:val="5"/>
            <w:vAlign w:val="center"/>
          </w:tcPr>
          <w:p>
            <w:pPr>
              <w:pStyle w:val="10"/>
              <w:tabs>
                <w:tab w:val="left" w:pos="5580"/>
              </w:tabs>
              <w:spacing w:before="120"/>
              <w:rPr>
                <w:rFonts w:cs="Arial" w:asciiTheme="minorEastAsia" w:hAnsiTheme="minorEastAsia" w:eastAsiaTheme="minorEastAsia"/>
              </w:rPr>
            </w:pPr>
            <w:r>
              <w:rPr>
                <w:rFonts w:hint="eastAsia" w:cs="Arial" w:asciiTheme="minorEastAsia" w:hAnsiTheme="minorEastAsia" w:eastAsiaTheme="minorEastAsia"/>
              </w:rPr>
              <w:t>备注：进入司法程序的医疗纠纷、劳务纠纷等个案代理费需提供报价方案作为合同履约据实结算的依据。</w:t>
            </w:r>
          </w:p>
        </w:tc>
      </w:tr>
    </w:tbl>
    <w:p>
      <w:pPr>
        <w:pStyle w:val="10"/>
        <w:tabs>
          <w:tab w:val="left" w:pos="5580"/>
        </w:tabs>
        <w:spacing w:before="120"/>
        <w:rPr>
          <w:rFonts w:cs="Arial" w:asciiTheme="minorEastAsia" w:hAnsiTheme="minorEastAsia" w:eastAsiaTheme="minorEastAsia"/>
        </w:rPr>
      </w:pPr>
    </w:p>
    <w:p>
      <w:pPr>
        <w:ind w:right="-153" w:rightChars="-73" w:firstLine="570"/>
        <w:rPr>
          <w:rFonts w:cs="Arial" w:asciiTheme="minorEastAsia" w:hAnsiTheme="minorEastAsia"/>
          <w:sz w:val="24"/>
          <w:szCs w:val="24"/>
        </w:rPr>
      </w:pPr>
      <w:r>
        <w:rPr>
          <w:rFonts w:hint="eastAsia" w:cs="Arial" w:asciiTheme="minorEastAsia" w:hAnsiTheme="minorEastAsia"/>
          <w:sz w:val="24"/>
          <w:szCs w:val="24"/>
        </w:rPr>
        <w:t>报价方全称（盖章）</w:t>
      </w:r>
      <w:r>
        <w:rPr>
          <w:rFonts w:cs="Arial" w:asciiTheme="minorEastAsia" w:hAnsiTheme="minorEastAsia"/>
          <w:sz w:val="24"/>
          <w:szCs w:val="24"/>
        </w:rPr>
        <w:t>:</w:t>
      </w:r>
      <w:r>
        <w:rPr>
          <w:rFonts w:cs="Arial" w:asciiTheme="minorEastAsia" w:hAnsiTheme="minorEastAsia"/>
          <w:sz w:val="24"/>
          <w:szCs w:val="24"/>
          <w:u w:val="single"/>
        </w:rPr>
        <w:tab/>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ab/>
      </w:r>
      <w:r>
        <w:rPr>
          <w:rFonts w:cs="Arial" w:asciiTheme="minorEastAsia" w:hAnsiTheme="minorEastAsia"/>
          <w:sz w:val="24"/>
          <w:szCs w:val="24"/>
          <w:u w:val="single"/>
        </w:rPr>
        <w:tab/>
      </w:r>
      <w:r>
        <w:rPr>
          <w:rFonts w:cs="Arial" w:asciiTheme="minorEastAsia" w:hAnsiTheme="minorEastAsia"/>
          <w:sz w:val="24"/>
          <w:szCs w:val="24"/>
          <w:u w:val="single"/>
        </w:rPr>
        <w:tab/>
      </w:r>
      <w:r>
        <w:rPr>
          <w:rFonts w:cs="Arial" w:asciiTheme="minorEastAsia" w:hAnsiTheme="minorEastAsia"/>
          <w:sz w:val="24"/>
          <w:szCs w:val="24"/>
          <w:u w:val="single"/>
        </w:rPr>
        <w:tab/>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 xml:space="preserve">                  </w:t>
      </w:r>
    </w:p>
    <w:p>
      <w:pPr>
        <w:ind w:right="-153" w:rightChars="-73" w:firstLine="570"/>
        <w:rPr>
          <w:rFonts w:cs="Arial" w:asciiTheme="minorEastAsia" w:hAnsiTheme="minorEastAsia"/>
          <w:sz w:val="24"/>
          <w:szCs w:val="24"/>
        </w:rPr>
      </w:pPr>
    </w:p>
    <w:p>
      <w:pPr>
        <w:ind w:right="-153" w:rightChars="-73" w:firstLine="570"/>
        <w:rPr>
          <w:rFonts w:asciiTheme="minorEastAsia" w:hAnsiTheme="minorEastAsia"/>
          <w:sz w:val="24"/>
          <w:szCs w:val="24"/>
        </w:rPr>
      </w:pPr>
      <w:r>
        <w:rPr>
          <w:rFonts w:hint="eastAsia" w:cs="Arial" w:asciiTheme="minorEastAsia" w:hAnsiTheme="minorEastAsia"/>
          <w:sz w:val="24"/>
          <w:szCs w:val="24"/>
        </w:rPr>
        <w:t>负责人或授权代表（签字或盖章）</w:t>
      </w:r>
      <w:r>
        <w:rPr>
          <w:rFonts w:cs="Arial" w:asciiTheme="minorEastAsia" w:hAnsiTheme="minorEastAsia"/>
          <w:sz w:val="24"/>
          <w:szCs w:val="24"/>
        </w:rPr>
        <w:t>:</w:t>
      </w:r>
      <w:r>
        <w:rPr>
          <w:rFonts w:cs="Arial" w:asciiTheme="minorEastAsia" w:hAnsiTheme="minorEastAsia"/>
          <w:sz w:val="24"/>
          <w:szCs w:val="24"/>
          <w:u w:val="single"/>
        </w:rPr>
        <w:tab/>
      </w:r>
      <w:r>
        <w:rPr>
          <w:rFonts w:cs="Arial" w:asciiTheme="minorEastAsia" w:hAnsiTheme="minorEastAsia"/>
          <w:sz w:val="24"/>
          <w:szCs w:val="24"/>
          <w:u w:val="single"/>
        </w:rPr>
        <w:tab/>
      </w:r>
      <w:r>
        <w:rPr>
          <w:rFonts w:cs="Arial" w:asciiTheme="minorEastAsia" w:hAnsiTheme="minorEastAsia"/>
          <w:sz w:val="24"/>
          <w:szCs w:val="24"/>
          <w:u w:val="single"/>
        </w:rPr>
        <w:tab/>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ab/>
      </w:r>
    </w:p>
    <w:p>
      <w:pPr>
        <w:pStyle w:val="4"/>
        <w:spacing w:before="0"/>
        <w:ind w:firstLine="6232" w:firstLineChars="1940"/>
        <w:rPr>
          <w:rFonts w:asciiTheme="minorEastAsia" w:hAnsiTheme="minorEastAsia" w:eastAsiaTheme="minorEastAsia"/>
        </w:rPr>
      </w:pPr>
    </w:p>
    <w:p>
      <w:pPr>
        <w:rPr>
          <w:rFonts w:ascii="宋体" w:hAnsi="宋体" w:eastAsia="宋体" w:cs="Times New Roman"/>
          <w:color w:val="0000FF"/>
          <w:kern w:val="0"/>
          <w:sz w:val="24"/>
          <w:szCs w:val="24"/>
        </w:rPr>
        <w:sectPr>
          <w:headerReference r:id="rId10"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  价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 xml:space="preserve">   （服务名称）  </w:t>
      </w:r>
      <w:r>
        <w:rPr>
          <w:rFonts w:hint="eastAsia" w:cs="Times New Roman" w:asciiTheme="minorEastAsia" w:hAnsiTheme="minorEastAsia"/>
          <w:kern w:val="0"/>
          <w:sz w:val="28"/>
          <w:szCs w:val="28"/>
        </w:rPr>
        <w:t>进行报价。</w:t>
      </w:r>
    </w:p>
    <w:p>
      <w:pPr>
        <w:numPr>
          <w:ilvl w:val="0"/>
          <w:numId w:val="2"/>
        </w:num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按照谈判文件规定递交报价文件正本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w:t>
      </w:r>
    </w:p>
    <w:p>
      <w:pPr>
        <w:numPr>
          <w:ilvl w:val="0"/>
          <w:numId w:val="2"/>
        </w:num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我方已完全理解谈判文件的全部内容，自愿接受并执行谈判文件的全部条款。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三、本报价文件有效期自报价截止之日起180日内有效。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四、我方在参与谈判前已仔细研究了谈判文件和所有相关资料，同意谈判文件的相关条款。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五、我方声明报价文件及所提供的一切资料均真实无误及有效。由于我方提供资料不实而造成的责任和后果由我方承担。我方同意按照贵方提出的要求，提供与谈判有关的任何其他数据或信息。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084" w:firstLineChars="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adjustRightInd w:val="0"/>
        <w:snapToGrid w:val="0"/>
        <w:spacing w:line="440" w:lineRule="exact"/>
        <w:ind w:firstLine="1084" w:firstLineChars="4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jc w:val="center"/>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p>
    <w:p>
      <w:pPr>
        <w:adjustRightInd w:val="0"/>
        <w:snapToGrid w:val="0"/>
        <w:spacing w:line="440" w:lineRule="exact"/>
        <w:ind w:firstLine="4354" w:firstLineChars="1400"/>
        <w:rPr>
          <w:rFonts w:cs="宋体" w:asciiTheme="minorEastAsia" w:hAnsiTheme="minorEastAsia"/>
          <w:kern w:val="0"/>
          <w:sz w:val="28"/>
          <w:szCs w:val="28"/>
          <w:lang w:val="zh-CN"/>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cs="Arial" w:asciiTheme="minorEastAsia" w:hAnsiTheme="minorEastAsia"/>
          <w:b/>
        </w:rPr>
      </w:pPr>
      <w:r>
        <w:rPr>
          <w:rFonts w:cs="Times New Roman" w:asciiTheme="minorEastAsia" w:hAnsiTheme="minorEastAsia"/>
          <w:b/>
          <w:sz w:val="28"/>
          <w:szCs w:val="20"/>
        </w:rPr>
        <w:t>服务</w:t>
      </w:r>
      <w:r>
        <w:rPr>
          <w:rFonts w:hint="eastAsia" w:cs="Times New Roman" w:asciiTheme="minorEastAsia" w:hAnsiTheme="minorEastAsia"/>
          <w:b/>
          <w:sz w:val="28"/>
          <w:szCs w:val="20"/>
        </w:rPr>
        <w:t>方案及</w:t>
      </w:r>
      <w:r>
        <w:rPr>
          <w:rFonts w:cs="Times New Roman" w:asciiTheme="minorEastAsia" w:hAnsiTheme="minorEastAsia"/>
          <w:b/>
          <w:sz w:val="28"/>
          <w:szCs w:val="20"/>
        </w:rPr>
        <w:t>内容一览表</w:t>
      </w:r>
    </w:p>
    <w:p>
      <w:pPr>
        <w:rPr>
          <w:rFonts w:cs="Arial" w:asciiTheme="minorEastAsia" w:hAnsiTheme="minorEastAsia"/>
          <w:sz w:val="24"/>
          <w:szCs w:val="24"/>
        </w:rPr>
      </w:pPr>
    </w:p>
    <w:p>
      <w:pPr>
        <w:rPr>
          <w:rFonts w:cs="Arial" w:asciiTheme="minorEastAsia" w:hAnsiTheme="minorEastAsia"/>
          <w:sz w:val="24"/>
          <w:szCs w:val="24"/>
        </w:rPr>
      </w:pPr>
      <w:r>
        <w:rPr>
          <w:rFonts w:hint="eastAsia" w:cs="Arial" w:asciiTheme="minorEastAsia" w:hAnsiTheme="minorEastAsia"/>
          <w:sz w:val="24"/>
          <w:szCs w:val="24"/>
        </w:rPr>
        <w:t>报价方可在此页中</w:t>
      </w:r>
      <w:r>
        <w:rPr>
          <w:rFonts w:cs="Arial" w:asciiTheme="minorEastAsia" w:hAnsiTheme="minorEastAsia"/>
          <w:sz w:val="24"/>
          <w:szCs w:val="24"/>
        </w:rPr>
        <w:t>提供详细的服务</w:t>
      </w:r>
      <w:r>
        <w:rPr>
          <w:rFonts w:hint="eastAsia" w:cs="Arial" w:asciiTheme="minorEastAsia" w:hAnsiTheme="minorEastAsia"/>
          <w:sz w:val="24"/>
          <w:szCs w:val="24"/>
        </w:rPr>
        <w:t>方案设计及具体内容阐述（格式不限）</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lang w:eastAsia="zh-CN"/>
        </w:rPr>
        <w:t>需求方案</w:t>
      </w:r>
      <w:r>
        <w:rPr>
          <w:rFonts w:hint="eastAsia" w:ascii="方正小标宋简体" w:hAnsi="Times New Roman" w:eastAsia="方正小标宋简体" w:cs="Times New Roman"/>
          <w:kern w:val="0"/>
          <w:sz w:val="32"/>
          <w:szCs w:val="32"/>
        </w:rPr>
        <w:t>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40"/>
        <w:gridCol w:w="1797"/>
        <w:gridCol w:w="2187"/>
        <w:gridCol w:w="133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服务</w:t>
            </w:r>
            <w:r>
              <w:rPr>
                <w:rFonts w:hint="eastAsia" w:ascii="宋体" w:hAnsi="宋体" w:eastAsia="宋体" w:cs="Times New Roman"/>
                <w:kern w:val="0"/>
                <w:sz w:val="24"/>
                <w:szCs w:val="24"/>
                <w:lang w:eastAsia="zh-CN"/>
              </w:rPr>
              <w:t>项目</w:t>
            </w:r>
            <w:r>
              <w:rPr>
                <w:rFonts w:hint="eastAsia" w:ascii="宋体" w:hAnsi="宋体" w:eastAsia="宋体" w:cs="Times New Roman"/>
                <w:kern w:val="0"/>
                <w:sz w:val="24"/>
                <w:szCs w:val="24"/>
              </w:rPr>
              <w:t>名称</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具体内容</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具体内容</w:t>
            </w:r>
          </w:p>
          <w:p>
            <w:pPr>
              <w:widowControl/>
              <w:adjustRightInd w:val="0"/>
              <w:snapToGrid w:val="0"/>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响应</w:t>
            </w:r>
            <w:r>
              <w:rPr>
                <w:rFonts w:hint="eastAsia" w:ascii="宋体" w:hAnsi="宋体" w:eastAsia="宋体" w:cs="Times New Roman"/>
                <w:kern w:val="0"/>
                <w:sz w:val="24"/>
                <w:szCs w:val="24"/>
                <w:lang w:eastAsia="zh-CN"/>
              </w:rPr>
              <w:t>情况</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w:t>
      </w:r>
      <w:r>
        <w:rPr>
          <w:rFonts w:hint="eastAsia" w:ascii="宋体" w:hAnsi="宋体" w:eastAsia="宋体" w:cs="Times New Roman"/>
          <w:bCs/>
          <w:kern w:val="0"/>
          <w:sz w:val="24"/>
          <w:szCs w:val="24"/>
          <w:lang w:eastAsia="zh-CN"/>
        </w:rPr>
        <w:t>常年法律服务需求方案</w:t>
      </w:r>
      <w:r>
        <w:rPr>
          <w:rFonts w:hint="eastAsia" w:ascii="宋体" w:hAnsi="宋体" w:eastAsia="宋体" w:cs="Times New Roman"/>
          <w:bCs/>
          <w:kern w:val="0"/>
          <w:sz w:val="24"/>
          <w:szCs w:val="24"/>
        </w:rPr>
        <w:t>，逐条如实填写所投服务的具体指标</w:t>
      </w:r>
      <w:r>
        <w:rPr>
          <w:rFonts w:hint="eastAsia" w:ascii="宋体" w:hAnsi="宋体" w:eastAsia="宋体" w:cs="Times New Roman"/>
          <w:bCs/>
          <w:kern w:val="0"/>
          <w:sz w:val="24"/>
          <w:szCs w:val="24"/>
          <w:lang w:eastAsia="zh-CN"/>
        </w:rPr>
        <w:t>响应内容</w:t>
      </w:r>
      <w:r>
        <w:rPr>
          <w:rFonts w:hint="eastAsia" w:ascii="宋体" w:hAnsi="宋体" w:eastAsia="宋体" w:cs="Times New Roman"/>
          <w:bCs/>
          <w:kern w:val="0"/>
          <w:sz w:val="24"/>
          <w:szCs w:val="24"/>
        </w:rPr>
        <w:t>，注明无偏离、正偏离或负偏离，并在备注中注明偏离的具体内容。</w:t>
      </w:r>
      <w:r>
        <w:rPr>
          <w:rFonts w:hint="eastAsia" w:ascii="宋体" w:hAnsi="宋体" w:eastAsia="宋体" w:cs="Times New Roman"/>
          <w:b/>
          <w:bCs/>
          <w:kern w:val="0"/>
          <w:sz w:val="24"/>
          <w:szCs w:val="24"/>
          <w:lang w:eastAsia="zh-CN"/>
        </w:rPr>
        <w:t>具体内容</w:t>
      </w:r>
      <w:r>
        <w:rPr>
          <w:rFonts w:hint="eastAsia" w:ascii="宋体" w:hAnsi="宋体" w:eastAsia="宋体" w:cs="Times New Roman"/>
          <w:b/>
          <w:bCs/>
          <w:kern w:val="0"/>
          <w:sz w:val="24"/>
          <w:szCs w:val="24"/>
        </w:rPr>
        <w:t>响应栏如果原文复制谈判文件</w:t>
      </w:r>
      <w:r>
        <w:rPr>
          <w:rFonts w:hint="eastAsia" w:ascii="宋体" w:hAnsi="宋体" w:eastAsia="宋体" w:cs="Times New Roman"/>
          <w:b/>
          <w:bCs/>
          <w:kern w:val="0"/>
          <w:sz w:val="24"/>
          <w:szCs w:val="24"/>
          <w:lang w:eastAsia="zh-CN"/>
        </w:rPr>
        <w:t>具体内容</w:t>
      </w:r>
      <w:r>
        <w:rPr>
          <w:rFonts w:hint="eastAsia" w:ascii="宋体" w:hAnsi="宋体" w:eastAsia="宋体" w:cs="Times New Roman"/>
          <w:b/>
          <w:bCs/>
          <w:kern w:val="0"/>
          <w:sz w:val="24"/>
          <w:szCs w:val="24"/>
        </w:rPr>
        <w:t>，可能会被视为无效报价。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eastAsia="zh-CN"/>
        </w:rPr>
        <w:t>负责</w:t>
      </w:r>
      <w:r>
        <w:rPr>
          <w:rFonts w:hint="eastAsia" w:cs="宋体" w:asciiTheme="minorEastAsia" w:hAnsiTheme="minorEastAsia"/>
          <w:kern w:val="0"/>
          <w:sz w:val="28"/>
          <w:szCs w:val="28"/>
          <w:lang w:val="zh-CN"/>
        </w:rPr>
        <w:t xml:space="preserve">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pStyle w:val="2"/>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rPr>
          <w:rFonts w:ascii="黑体" w:hAnsi="黑体" w:eastAsia="黑体" w:cs="Times New Roman"/>
          <w:kern w:val="0"/>
          <w:sz w:val="32"/>
          <w:szCs w:val="32"/>
        </w:rPr>
      </w:pP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明确“服务起始时间”，“服务期限”。</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）现场服务支持的服务体系、人员、装备，以及服务</w:t>
      </w:r>
      <w:r>
        <w:rPr>
          <w:rFonts w:hint="eastAsia" w:ascii="宋体" w:hAnsi="宋体" w:eastAsia="宋体" w:cs="Times New Roman"/>
          <w:b/>
          <w:sz w:val="28"/>
          <w:szCs w:val="28"/>
        </w:rPr>
        <w:t>到位响应时间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对采购服务</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，以及执业证书、委托服务协议等证明材料）。</w:t>
      </w:r>
    </w:p>
    <w:p>
      <w:pPr>
        <w:spacing w:line="440" w:lineRule="exact"/>
        <w:ind w:firstLine="542" w:firstLineChars="200"/>
        <w:rPr>
          <w:rFonts w:cs="Times New Roman" w:asciiTheme="minorEastAsia" w:hAnsiTheme="minorEastAsia"/>
          <w:kern w:val="0"/>
          <w:sz w:val="28"/>
          <w:szCs w:val="28"/>
          <w:lang w:val="zh-CN"/>
        </w:rPr>
      </w:pPr>
      <w:r>
        <w:rPr>
          <w:rFonts w:hint="eastAsia" w:ascii="宋体" w:hAnsi="宋体" w:eastAsia="宋体" w:cs="Times New Roman"/>
          <w:sz w:val="28"/>
          <w:szCs w:val="28"/>
        </w:rPr>
        <w:t>4.</w:t>
      </w: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eastAsia="zh-CN"/>
        </w:rPr>
        <w:t>负责</w:t>
      </w:r>
      <w:r>
        <w:rPr>
          <w:rFonts w:hint="eastAsia" w:cs="宋体" w:asciiTheme="minorEastAsia" w:hAnsiTheme="minorEastAsia"/>
          <w:kern w:val="0"/>
          <w:sz w:val="28"/>
          <w:szCs w:val="28"/>
          <w:lang w:val="zh-CN"/>
        </w:rPr>
        <w:t xml:space="preserve">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20"/>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备注：1.同类项目指本次采购的服务或同类服务。合同有效金额是指合同中本次采购的服务或同类服务金额。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2.报价方应附销售合同复印件，按合同有效金额由高到低顺序装订，包括：合同首尾页、签字盖章页、合同金额页、服务信息页。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4.需提供单位委托合同，其他如个人委托合同视为无效合同。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报价方全称：（盖章）</w:t>
      </w:r>
    </w:p>
    <w:p>
      <w:pPr>
        <w:ind w:firstLine="1626" w:firstLineChars="6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负责人（或授权代表）：（签字或盖章）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20"/>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spacing w:line="400" w:lineRule="exact"/>
              <w:jc w:val="left"/>
              <w:rPr>
                <w:rFonts w:cs="宋体" w:asciiTheme="majorEastAsia" w:hAnsiTheme="majorEastAsia" w:eastAsiaTheme="majorEastAsia"/>
                <w:b/>
                <w:sz w:val="24"/>
                <w:szCs w:val="24"/>
              </w:rPr>
            </w:pPr>
            <w:r>
              <w:rPr>
                <w:rStyle w:val="52"/>
                <w:rFonts w:hint="default" w:ascii="仿宋_GB2312" w:eastAsia="仿宋_GB2312"/>
                <w:b/>
                <w:bCs/>
                <w:color w:val="auto"/>
              </w:rPr>
              <w:t>服务团队</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1）需保障不低于5人的稳定团队服务医院，该团队成员需具备医疗争议、经济合同争议、人力资源管理争议及知识产权的丰富处置经验（须提供相关证明材料）；明确医疗争议、经济合同争议、人力资源管理争议专项工作负责人，专项工作负责人须执业至少</w:t>
            </w:r>
            <w:r>
              <w:rPr>
                <w:rStyle w:val="52"/>
                <w:rFonts w:hint="default" w:ascii="仿宋_GB2312" w:eastAsia="仿宋_GB2312"/>
                <w:color w:val="0000FF"/>
                <w:u w:val="single"/>
              </w:rPr>
              <w:t>3</w:t>
            </w:r>
            <w:r>
              <w:rPr>
                <w:rStyle w:val="52"/>
                <w:rFonts w:hint="default" w:ascii="仿宋_GB2312" w:eastAsia="仿宋_GB2312"/>
                <w:color w:val="auto"/>
                <w:u w:val="single"/>
              </w:rPr>
              <w:t>年</w:t>
            </w:r>
            <w:r>
              <w:rPr>
                <w:rStyle w:val="52"/>
                <w:rFonts w:hint="default" w:ascii="仿宋_GB2312" w:eastAsia="仿宋_GB2312"/>
                <w:color w:val="auto"/>
              </w:rPr>
              <w:t>以上。</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（2）团队负责人应由律师事务所合伙人担任，该负责人须执业</w:t>
            </w:r>
            <w:r>
              <w:rPr>
                <w:rStyle w:val="52"/>
                <w:rFonts w:hint="default" w:ascii="仿宋_GB2312" w:eastAsia="仿宋_GB2312"/>
                <w:color w:val="0000FF"/>
                <w:u w:val="single"/>
              </w:rPr>
              <w:t>6</w:t>
            </w:r>
            <w:r>
              <w:rPr>
                <w:rStyle w:val="52"/>
                <w:rFonts w:hint="default" w:ascii="仿宋_GB2312" w:eastAsia="仿宋_GB2312"/>
                <w:color w:val="auto"/>
                <w:u w:val="single"/>
              </w:rPr>
              <w:t>年</w:t>
            </w:r>
            <w:r>
              <w:rPr>
                <w:rStyle w:val="52"/>
                <w:rFonts w:hint="default" w:ascii="仿宋_GB2312" w:eastAsia="仿宋_GB2312"/>
                <w:color w:val="auto"/>
              </w:rPr>
              <w:t>以上，且同时具备向医疗机构或军队单位或大型综合性企事业单位提供法律顾问服务的经验，有良好的职业水平、专业素养及沟通能力；同时根据医院服务需求，能够调动全律所资源提供综合性服务保障，并制定服务方案，须出具相关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（3）团队其余成员须执业3年以上，具有良好的素质、专业的知识和丰富的实践经验，具备单案/项目全程跟进的能力，每个成员至少提供三份判决书或者调解书。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4）近3年内，服务团队成员具备提供人力资源专项法律服务、代理过医疗纠纷诉讼、行政诉讼、合同纠纷诉讼以及具备过处理疑难复杂非诉信访案件等任一法律服务的经验，服务单位满足以下其一条件即为达标：三级综合性医疗机构，师团级以上军队单位，大型国企，事业单位。须提供代理案件相关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*（5）近5年内，团队负责人或者成员作为三级综合性医院或师团级以上军队机构常年法律顾问。</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left"/>
              <w:rPr>
                <w:rFonts w:cs="宋体" w:asciiTheme="majorEastAsia" w:hAnsiTheme="majorEastAsia" w:eastAsiaTheme="majorEastAsia"/>
                <w:sz w:val="24"/>
                <w:szCs w:val="24"/>
              </w:rPr>
            </w:pPr>
            <w:r>
              <w:rPr>
                <w:rStyle w:val="52"/>
                <w:rFonts w:hint="default" w:ascii="仿宋_GB2312" w:eastAsia="仿宋_GB2312"/>
                <w:color w:val="auto"/>
              </w:rPr>
              <w:t>（6）团队负责人或者成员5年内获得司法部全国律协或省（直辖市）、部级单位及以上荣誉称号或表彰。</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宋体" w:eastAsia="仿宋_GB2312" w:cs="宋体"/>
                <w:sz w:val="24"/>
                <w:szCs w:val="24"/>
              </w:rPr>
            </w:pPr>
            <w:r>
              <w:rPr>
                <w:rStyle w:val="52"/>
                <w:rFonts w:hint="default" w:ascii="仿宋_GB2312" w:eastAsia="仿宋_GB2312"/>
                <w:b/>
                <w:bCs/>
                <w:color w:val="auto"/>
              </w:rPr>
              <w:t>律所实力：</w:t>
            </w:r>
            <w:r>
              <w:rPr>
                <w:rStyle w:val="52"/>
                <w:rFonts w:hint="default" w:ascii="仿宋_GB2312" w:eastAsia="仿宋_GB2312"/>
                <w:color w:val="auto"/>
              </w:rPr>
              <w:t>近5年内，具备为三级综合性医院或军队机构的常年法律顾问合作经验（需提供案例）。具体经验包括以下内容</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szCs w:val="21"/>
              </w:rPr>
              <w:t>/</w:t>
            </w:r>
          </w:p>
        </w:tc>
      </w:tr>
      <w:tr>
        <w:tblPrEx>
          <w:tblCellMar>
            <w:top w:w="0" w:type="dxa"/>
            <w:left w:w="108" w:type="dxa"/>
            <w:bottom w:w="0" w:type="dxa"/>
            <w:right w:w="108" w:type="dxa"/>
          </w:tblCellMar>
        </w:tblPrEx>
        <w:trPr>
          <w:trHeight w:val="3239"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cs="宋体" w:asciiTheme="majorEastAsia" w:hAnsiTheme="majorEastAsia" w:eastAsiaTheme="majorEastAsia"/>
                <w:sz w:val="24"/>
                <w:szCs w:val="24"/>
              </w:rPr>
            </w:pPr>
            <w:r>
              <w:rPr>
                <w:rStyle w:val="52"/>
                <w:rFonts w:hint="default" w:ascii="仿宋_GB2312" w:eastAsia="仿宋_GB2312"/>
                <w:b w:val="0"/>
                <w:color w:val="auto"/>
                <w:kern w:val="2"/>
                <w:lang w:val="en-US" w:eastAsia="zh-CN" w:bidi="ar-SA"/>
              </w:rPr>
              <w:t>（1）总体要求</w:t>
            </w:r>
            <w:r>
              <w:rPr>
                <w:rStyle w:val="52"/>
                <w:rFonts w:hint="eastAsia" w:ascii="仿宋_GB2312" w:eastAsia="仿宋_GB2312"/>
                <w:b w:val="0"/>
                <w:color w:val="auto"/>
                <w:kern w:val="2"/>
                <w:lang w:val="en-US" w:eastAsia="zh-CN" w:bidi="ar-SA"/>
              </w:rPr>
              <w:t>：</w:t>
            </w:r>
            <w:r>
              <w:rPr>
                <w:rStyle w:val="52"/>
                <w:rFonts w:hint="default" w:ascii="仿宋_GB2312" w:eastAsia="仿宋_GB2312"/>
                <w:b w:val="0"/>
                <w:color w:val="auto"/>
                <w:kern w:val="2"/>
                <w:lang w:val="en-US" w:eastAsia="zh-CN" w:bidi="ar-SA"/>
              </w:rPr>
              <w:t>现场回答专家提出问题的辩诉能力；对所涉及专业的理解能力；对本医院个性化需求理解及响应能力；对全所服务资源协调和调配能力。（备注：该条评价主要需看方案具体举措的可执行力，不仅只依据承诺）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asciiTheme="minorEastAsia" w:hAnsiTheme="minorEastAsia"/>
                <w:szCs w:val="21"/>
              </w:rPr>
            </w:pPr>
            <w:r>
              <w:rPr>
                <w:rStyle w:val="52"/>
                <w:rFonts w:hint="default" w:ascii="仿宋_GB2312" w:eastAsia="仿宋_GB2312"/>
                <w:color w:val="auto"/>
              </w:rPr>
              <w:t>*（2）医疗管理：结合医院现状，对医院医疗安全管理进行整体设计，并提出系统完整的可行性方案，须包含但不限于以下几方面内容：</w:t>
            </w:r>
          </w:p>
        </w:tc>
        <w:tc>
          <w:tcPr>
            <w:tcW w:w="2268"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458" w:leftChars="228"/>
              <w:jc w:val="left"/>
              <w:rPr>
                <w:rStyle w:val="52"/>
                <w:rFonts w:hint="default" w:ascii="仿宋_GB2312" w:eastAsia="仿宋_GB2312"/>
                <w:color w:val="auto"/>
              </w:rPr>
            </w:pPr>
          </w:p>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①能够为综合性医疗机构提供涉及医疗纠纷方面的法律服务。须通过专业信息平台，能够提供相关数据支持，具备医疗安全管理的行业数据分析总结的技术条件及能力，并能够提出总结的方案。</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②能够帮助医院实现安全风险预警、医患纠纷防范、管理持续改进等目标，对医疗安全管理工作提供创新性法律服务方式。</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（3）经济合同</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①有为政企事业单位、部队机构、医疗机构或医疗相关企业提供涉及经济合同管理方面的法律服务经验。</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3.2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②有为综合性机构代理后勤保障类案件的经验，涉及范围不限于后勤工程建设、服务、物资采购、后勤社会化保障等方面，须提供相关证明材料。</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（4）人力资源</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①结合医院现状，对医院人力资源管理进行整体设计，并能够按医院要求，提出可实务操作的指引与风险防控方案。</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②有为医疗机构提供人力资源专项设计的法律服务经验，须提供代理案件相关证明材料。</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Theme="minorEastAsia" w:hAnsiTheme="minorEastAsia"/>
                <w:szCs w:val="21"/>
              </w:rPr>
            </w:pPr>
            <w:r>
              <w:rPr>
                <w:rStyle w:val="52"/>
                <w:rFonts w:hint="default" w:ascii="仿宋_GB2312" w:eastAsia="仿宋_GB2312"/>
                <w:color w:val="auto"/>
              </w:rPr>
              <w:t>③熟悉《民事诉讼法》、《劳动合同法》等国家法律规定，具有丰富的为医疗机构成功处置民事诉讼、劳务纠纷案件的经验。</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spacing w:line="400" w:lineRule="exact"/>
              <w:ind w:left="201" w:leftChars="100"/>
              <w:jc w:val="left"/>
              <w:rPr>
                <w:rStyle w:val="52"/>
                <w:rFonts w:hint="default" w:ascii="仿宋_GB2312" w:eastAsia="仿宋_GB2312"/>
                <w:color w:val="auto"/>
              </w:rPr>
            </w:pPr>
            <w:r>
              <w:rPr>
                <w:rStyle w:val="52"/>
                <w:rFonts w:hint="default" w:ascii="仿宋_GB2312" w:eastAsia="仿宋_GB2312"/>
                <w:color w:val="auto"/>
              </w:rPr>
              <w:t>（5）知识产权：服务团队成员有代理知识产权案件的经验及能力。（需提供相关资料或资质证明文件）</w:t>
            </w:r>
          </w:p>
          <w:p>
            <w:pPr>
              <w:adjustRightInd w:val="0"/>
              <w:snapToGrid w:val="0"/>
              <w:spacing w:line="360" w:lineRule="exact"/>
              <w:jc w:val="left"/>
              <w:rPr>
                <w:rStyle w:val="52"/>
                <w:rFonts w:hint="default" w:ascii="仿宋_GB2312" w:eastAsia="仿宋_GB2312"/>
                <w:color w:val="auto"/>
              </w:rPr>
            </w:pP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Style w:val="52"/>
                <w:rFonts w:hint="default" w:ascii="仿宋_GB2312" w:eastAsia="仿宋_GB2312"/>
                <w:color w:val="auto"/>
              </w:rPr>
            </w:pPr>
            <w:r>
              <w:rPr>
                <w:rStyle w:val="52"/>
                <w:rFonts w:hint="default" w:ascii="仿宋_GB2312" w:eastAsia="仿宋_GB2312"/>
                <w:color w:val="auto"/>
              </w:rPr>
              <w:t>（6）纪检保卫</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Style w:val="52"/>
                <w:rFonts w:hint="default" w:ascii="仿宋_GB2312" w:eastAsia="仿宋_GB2312"/>
                <w:color w:val="auto"/>
              </w:rPr>
            </w:pPr>
            <w:r>
              <w:rPr>
                <w:rStyle w:val="52"/>
                <w:rFonts w:hint="default" w:ascii="仿宋_GB2312" w:eastAsia="仿宋_GB2312"/>
                <w:color w:val="auto"/>
              </w:rPr>
              <w:t>①有代理过涉军案件的经验，包括处理军地互涉案件、军婚及涉军单位法律建设等经验。</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Style w:val="52"/>
                <w:rFonts w:hint="default" w:ascii="仿宋_GB2312" w:eastAsia="仿宋_GB2312"/>
                <w:color w:val="auto"/>
              </w:rPr>
            </w:pPr>
            <w:r>
              <w:rPr>
                <w:rStyle w:val="52"/>
                <w:rFonts w:hint="default" w:ascii="仿宋_GB2312" w:eastAsia="仿宋_GB2312"/>
                <w:color w:val="auto"/>
              </w:rPr>
              <w:t>②有处理刑事案件经验，涉及范围不限于寻衅滋事、盗窃等方面。</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eastAsia="zh-CN"/>
        </w:rPr>
        <w:t>负责</w:t>
      </w:r>
      <w:r>
        <w:rPr>
          <w:rFonts w:hint="eastAsia" w:cs="宋体" w:asciiTheme="minorEastAsia" w:hAnsiTheme="minorEastAsia"/>
          <w:kern w:val="0"/>
          <w:sz w:val="28"/>
          <w:szCs w:val="28"/>
          <w:lang w:val="zh-CN"/>
        </w:rPr>
        <w:t xml:space="preserve">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20"/>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spacing w:line="400" w:lineRule="exact"/>
              <w:jc w:val="center"/>
              <w:rPr>
                <w:rFonts w:cs="宋体" w:asciiTheme="majorEastAsia" w:hAnsiTheme="majorEastAsia" w:eastAsiaTheme="majorEastAsia"/>
                <w:b/>
                <w:sz w:val="24"/>
                <w:szCs w:val="24"/>
              </w:rPr>
            </w:pPr>
            <w:r>
              <w:rPr>
                <w:rStyle w:val="52"/>
                <w:rFonts w:hint="default" w:ascii="仿宋_GB2312" w:eastAsia="仿宋_GB2312"/>
                <w:b/>
                <w:bCs/>
                <w:color w:val="auto"/>
              </w:rPr>
              <w:t>律师荣誉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2322"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Style w:val="52"/>
                <w:rFonts w:hint="default" w:ascii="仿宋_GB2312" w:eastAsia="仿宋_GB2312"/>
                <w:color w:val="auto"/>
              </w:rPr>
              <w:t>（1）须具有良好的行业口碑和规范的业务管理能力，且近</w:t>
            </w:r>
            <w:r>
              <w:rPr>
                <w:rFonts w:hint="eastAsia"/>
              </w:rPr>
              <w:t>7</w:t>
            </w:r>
            <w:r>
              <w:rPr>
                <w:rStyle w:val="52"/>
                <w:rFonts w:hint="default" w:ascii="仿宋_GB2312" w:eastAsia="仿宋_GB2312"/>
                <w:color w:val="auto"/>
              </w:rPr>
              <w:t>年（以自然年度计算）曾获得省（直辖市）级、区（市）级行政机关或者律师协会授予的荣誉称号。</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1028"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Style w:val="52"/>
                <w:rFonts w:hint="default" w:ascii="仿宋_GB2312" w:eastAsia="仿宋_GB2312"/>
                <w:color w:val="auto"/>
              </w:rPr>
              <w:t>律师事务所拥有重庆仲裁委现任仲裁员。</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2098"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spacing w:line="400" w:lineRule="exact"/>
              <w:jc w:val="center"/>
              <w:rPr>
                <w:rFonts w:eastAsia="仿宋_GB2312" w:cs="宋体" w:asciiTheme="majorEastAsia" w:hAnsiTheme="majorEastAsia"/>
                <w:b/>
                <w:sz w:val="24"/>
                <w:szCs w:val="24"/>
              </w:rPr>
            </w:pPr>
            <w:r>
              <w:rPr>
                <w:rStyle w:val="52"/>
                <w:rFonts w:hint="default" w:ascii="仿宋_GB2312" w:eastAsia="仿宋_GB2312"/>
                <w:b/>
                <w:bCs/>
                <w:color w:val="auto"/>
              </w:rPr>
              <w:t>响应性：</w:t>
            </w:r>
            <w:r>
              <w:rPr>
                <w:rStyle w:val="52"/>
                <w:rFonts w:hint="default" w:ascii="仿宋_GB2312" w:eastAsia="仿宋_GB2312"/>
                <w:color w:val="auto"/>
              </w:rPr>
              <w:t>结合医院现状，针对医院响应需求进行整体设计，并提出系统完整的可行方案，须包含但不限于以下几方面内容</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r>
      <w:tr>
        <w:tblPrEx>
          <w:tblCellMar>
            <w:top w:w="0" w:type="dxa"/>
            <w:left w:w="108" w:type="dxa"/>
            <w:bottom w:w="0" w:type="dxa"/>
            <w:right w:w="108" w:type="dxa"/>
          </w:tblCellMar>
        </w:tblPrEx>
        <w:trPr>
          <w:trHeight w:val="173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spacing w:line="400" w:lineRule="exact"/>
              <w:ind w:left="229" w:leftChars="114" w:firstLine="39" w:firstLineChars="17"/>
              <w:jc w:val="left"/>
              <w:rPr>
                <w:rFonts w:cs="宋体" w:asciiTheme="majorEastAsia" w:hAnsiTheme="majorEastAsia" w:eastAsiaTheme="majorEastAsia"/>
                <w:sz w:val="24"/>
                <w:szCs w:val="24"/>
              </w:rPr>
            </w:pPr>
            <w:r>
              <w:rPr>
                <w:rStyle w:val="52"/>
                <w:rFonts w:hint="default" w:ascii="仿宋_GB2312" w:eastAsia="仿宋_GB2312"/>
                <w:color w:val="auto"/>
              </w:rPr>
              <w:t>*（1）根据医院需要，在约定时间内提供法律意见、咨询，并制定相应的承诺纪律。</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2454"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spacing w:line="400" w:lineRule="exact"/>
              <w:ind w:left="229" w:leftChars="114" w:firstLine="39" w:firstLineChars="17"/>
              <w:jc w:val="left"/>
              <w:rPr>
                <w:rStyle w:val="52"/>
                <w:rFonts w:hint="default" w:ascii="仿宋_GB2312" w:eastAsia="仿宋_GB2312"/>
                <w:color w:val="auto"/>
              </w:rPr>
            </w:pPr>
            <w:r>
              <w:rPr>
                <w:rStyle w:val="52"/>
                <w:rFonts w:hint="default" w:ascii="仿宋_GB2312" w:eastAsia="仿宋_GB2312"/>
                <w:color w:val="auto"/>
              </w:rPr>
              <w:t>*（2）能够根据军队医院的特殊性，在服务响应上制定高标准的响应要求、时间要求、纪律要求，及时、有效的响应医疗应急服务的需求。</w:t>
            </w:r>
          </w:p>
          <w:p>
            <w:pPr>
              <w:adjustRightInd w:val="0"/>
              <w:snapToGrid w:val="0"/>
              <w:spacing w:line="360" w:lineRule="exact"/>
              <w:jc w:val="center"/>
              <w:rPr>
                <w:rFonts w:cs="宋体" w:asciiTheme="majorEastAsia" w:hAnsiTheme="majorEastAsia" w:eastAsiaTheme="majorEastAsia"/>
                <w:sz w:val="24"/>
                <w:szCs w:val="24"/>
              </w:rPr>
            </w:pP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1828"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rPr>
              <w:t>3</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Style w:val="52"/>
                <w:rFonts w:hint="default" w:ascii="仿宋_GB2312" w:eastAsia="仿宋_GB2312"/>
                <w:color w:val="auto"/>
              </w:rPr>
              <w:t>*（3）能够在紧急情况下及时响应医院现场处理问题，并制定相应的服务时间、服务流程、服务标准。</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1398"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Style w:val="52"/>
                <w:rFonts w:hint="default" w:ascii="仿宋_GB2312" w:eastAsia="仿宋_GB2312"/>
                <w:color w:val="auto"/>
              </w:rPr>
              <w:t>*（4）能够分别从医疗纠纷、劳动争议、刑事案件等方面制定切实可行的响应方案。</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233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保密制度和保密措施</w:t>
            </w:r>
            <w:r>
              <w:rPr>
                <w:rFonts w:hint="eastAsia" w:cs="宋体" w:asciiTheme="majorEastAsia" w:hAnsiTheme="majorEastAsia" w:eastAsiaTheme="majorEastAsia"/>
                <w:b/>
                <w:sz w:val="24"/>
                <w:szCs w:val="24"/>
              </w:rPr>
              <w:t>：</w:t>
            </w:r>
            <w:r>
              <w:rPr>
                <w:rStyle w:val="52"/>
                <w:rFonts w:hint="default" w:ascii="仿宋_GB2312" w:eastAsia="仿宋_GB2312"/>
                <w:color w:val="auto"/>
              </w:rPr>
              <w:t>律师事务所具有完善的保密规定，能针对部队医院实际需求，制定严格的保密方案，保护医院信息安全，并承诺遵守医院相关保密规定。</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38"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日常服务年费：</w:t>
            </w:r>
            <w:r>
              <w:rPr>
                <w:rFonts w:hint="eastAsia" w:ascii="仿宋_GB2312" w:hAnsi="宋体" w:eastAsia="仿宋_GB2312"/>
                <w:sz w:val="24"/>
              </w:rPr>
              <w:t>报价最低者为基准价并计为满分</w:t>
            </w:r>
            <w:r>
              <w:rPr>
                <w:rFonts w:ascii="仿宋_GB2312" w:hAnsi="宋体" w:eastAsia="仿宋_GB2312"/>
                <w:sz w:val="24"/>
              </w:rPr>
              <w:t>，但报价不得低于其余报价单位平均价的70%，否则视为无效报价</w:t>
            </w:r>
            <w:r>
              <w:rPr>
                <w:rFonts w:hint="eastAsia" w:ascii="仿宋_GB2312" w:hAnsi="宋体" w:eastAsia="仿宋_GB2312"/>
                <w:sz w:val="24"/>
              </w:rPr>
              <w:t>；然后以基准价为基点计算供应商的经济得分，推算公式：供应商经济得分=基准价÷供应商的最终报价</w:t>
            </w:r>
            <w:r>
              <w:rPr>
                <w:rFonts w:ascii="Arial" w:hAnsi="Arial" w:eastAsia="仿宋_GB2312" w:cs="Arial"/>
                <w:sz w:val="24"/>
              </w:rPr>
              <w:t>×</w:t>
            </w:r>
            <w:r>
              <w:rPr>
                <w:rStyle w:val="52"/>
                <w:rFonts w:hint="default" w:ascii="仿宋_GB2312" w:eastAsia="仿宋_GB2312"/>
                <w:color w:val="auto"/>
              </w:rPr>
              <w:t>标准分值</w:t>
            </w:r>
            <w:r>
              <w:rPr>
                <w:rFonts w:hint="eastAsia" w:ascii="仿宋_GB2312" w:hAnsi="宋体" w:eastAsia="仿宋_GB2312"/>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936"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个案</w:t>
            </w:r>
            <w:r>
              <w:rPr>
                <w:rFonts w:cs="宋体" w:asciiTheme="majorEastAsia" w:hAnsiTheme="majorEastAsia" w:eastAsiaTheme="majorEastAsia"/>
                <w:b/>
                <w:sz w:val="24"/>
                <w:szCs w:val="24"/>
              </w:rPr>
              <w:t>代理</w:t>
            </w:r>
            <w:r>
              <w:rPr>
                <w:rFonts w:hint="eastAsia" w:cs="宋体" w:asciiTheme="majorEastAsia" w:hAnsiTheme="majorEastAsia" w:eastAsiaTheme="majorEastAsia"/>
                <w:b/>
                <w:sz w:val="24"/>
                <w:szCs w:val="24"/>
              </w:rPr>
              <w:t>报价方案：</w:t>
            </w:r>
            <w:r>
              <w:rPr>
                <w:rFonts w:ascii="仿宋_GB2312" w:hAnsi="宋体" w:eastAsia="仿宋_GB2312"/>
                <w:sz w:val="24"/>
                <w:szCs w:val="24"/>
              </w:rPr>
              <w:t>本次</w:t>
            </w:r>
            <w:r>
              <w:rPr>
                <w:rFonts w:hint="eastAsia" w:ascii="仿宋_GB2312" w:hAnsi="宋体" w:eastAsia="仿宋_GB2312"/>
                <w:sz w:val="24"/>
                <w:szCs w:val="24"/>
              </w:rPr>
              <w:t>项目</w:t>
            </w:r>
            <w:r>
              <w:rPr>
                <w:rFonts w:ascii="仿宋_GB2312" w:hAnsi="宋体" w:eastAsia="仿宋_GB2312"/>
                <w:sz w:val="24"/>
                <w:szCs w:val="24"/>
              </w:rPr>
              <w:t>中，代理我院作为被告或被申请人参与常规医疗损害赔偿纠纷案件、劳动争议案件采用固定代理费。</w:t>
            </w:r>
            <w:r>
              <w:rPr>
                <w:rFonts w:hint="eastAsia" w:ascii="仿宋_GB2312" w:hAnsi="宋体" w:eastAsia="仿宋_GB2312"/>
                <w:sz w:val="24"/>
                <w:szCs w:val="24"/>
              </w:rPr>
              <w:t>律所按照《重庆市律师服务收费标准》民事诉讼案件收费区间，按诉讼阶段实行计件收费。各律所按单案/阶段进行报价，最终以报价最低者为基准价，但报价不得低于其余报价单位平均价的70%，否则视为无效报价。推算公式：供应商经济得分=基准价÷供应商的最终报价</w:t>
            </w:r>
            <w:r>
              <w:rPr>
                <w:rFonts w:ascii="仿宋_GB2312" w:hAnsi="宋体" w:eastAsia="仿宋_GB2312"/>
                <w:sz w:val="24"/>
                <w:szCs w:val="24"/>
              </w:rPr>
              <w:t>×标准分值</w:t>
            </w:r>
            <w:r>
              <w:rPr>
                <w:rFonts w:hint="eastAsia" w:ascii="仿宋_GB2312" w:hAnsi="宋体" w:eastAsia="仿宋_GB2312"/>
                <w:sz w:val="24"/>
                <w:szCs w:val="24"/>
              </w:rPr>
              <w:t>（个案涉及标的额特别重大或事件特别重大的案件可另行签订代理协议）</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eastAsia="zh-CN"/>
        </w:rPr>
        <w:t>负责</w:t>
      </w:r>
      <w:r>
        <w:rPr>
          <w:rFonts w:hint="eastAsia" w:cs="宋体" w:asciiTheme="minorEastAsia" w:hAnsiTheme="minorEastAsia"/>
          <w:kern w:val="0"/>
          <w:sz w:val="28"/>
          <w:szCs w:val="28"/>
          <w:lang w:val="zh-CN"/>
        </w:rPr>
        <w:t xml:space="preserve">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附件10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lang w:eastAsia="zh-CN"/>
        </w:rPr>
        <w:t>负责</w:t>
      </w:r>
      <w:r>
        <w:rPr>
          <w:rFonts w:ascii="Times New Roman" w:hAnsi="Times New Roman" w:eastAsia="方正小标宋简体" w:cs="Times New Roman"/>
          <w:bCs/>
          <w:sz w:val="32"/>
          <w:szCs w:val="32"/>
        </w:rPr>
        <w:t>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w:t>
      </w:r>
      <w:r>
        <w:rPr>
          <w:rFonts w:hint="eastAsia" w:cs="Times New Roman" w:asciiTheme="minorEastAsia" w:hAnsiTheme="minorEastAsia"/>
          <w:sz w:val="28"/>
          <w:szCs w:val="28"/>
          <w:u w:val="single"/>
          <w:lang w:eastAsia="zh-CN"/>
        </w:rPr>
        <w:t>负责人</w:t>
      </w:r>
      <w:r>
        <w:rPr>
          <w:rFonts w:hint="eastAsia" w:cs="Times New Roman" w:asciiTheme="minorEastAsia" w:hAnsiTheme="minorEastAsia"/>
          <w:sz w:val="28"/>
          <w:szCs w:val="28"/>
          <w:u w:val="single"/>
        </w:rPr>
        <w:t>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w:t>
      </w:r>
      <w:r>
        <w:rPr>
          <w:rFonts w:hint="eastAsia" w:cs="Times New Roman" w:asciiTheme="minorEastAsia" w:hAnsiTheme="minorEastAsia"/>
          <w:sz w:val="28"/>
          <w:szCs w:val="28"/>
          <w:lang w:eastAsia="zh-CN"/>
        </w:rPr>
        <w:t>负责</w:t>
      </w:r>
      <w:r>
        <w:rPr>
          <w:rFonts w:hint="eastAsia" w:cs="Times New Roman" w:asciiTheme="minorEastAsia" w:hAnsiTheme="minorEastAsia"/>
          <w:sz w:val="28"/>
          <w:szCs w:val="28"/>
        </w:rPr>
        <w:t>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lang w:eastAsia="zh-CN"/>
                    </w:rPr>
                    <w:t>负责</w:t>
                  </w:r>
                  <w:r>
                    <w:rPr>
                      <w:rFonts w:hint="eastAsia" w:ascii="仿宋_GB2312" w:hAnsi="宋体" w:eastAsia="仿宋_GB2312"/>
                      <w:sz w:val="32"/>
                      <w:szCs w:val="32"/>
                    </w:rPr>
                    <w:t>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lang w:eastAsia="zh-CN"/>
                    </w:rPr>
                    <w:t>负责</w:t>
                  </w:r>
                  <w:r>
                    <w:rPr>
                      <w:rFonts w:hint="eastAsia" w:ascii="仿宋_GB2312" w:hAnsi="宋体" w:eastAsia="仿宋_GB2312"/>
                      <w:sz w:val="32"/>
                      <w:szCs w:val="32"/>
                    </w:rPr>
                    <w:t>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报价方全称：（盖章）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lang w:eastAsia="zh-CN"/>
        </w:rPr>
        <w:t>负责</w:t>
      </w:r>
      <w:r>
        <w:rPr>
          <w:rFonts w:hint="eastAsia" w:ascii="Times New Roman" w:hAnsi="Times New Roman" w:eastAsia="方正小标宋简体" w:cs="Times New Roman"/>
          <w:bCs/>
          <w:sz w:val="32"/>
          <w:szCs w:val="32"/>
        </w:rPr>
        <w:t>人授权书</w:t>
      </w:r>
    </w:p>
    <w:p>
      <w:pPr>
        <w:jc w:val="center"/>
        <w:rPr>
          <w:rFonts w:ascii="Times New Roman" w:hAnsi="Times New Roman" w:eastAsia="宋体" w:cs="Times New Roman"/>
          <w:color w:val="FF0000"/>
          <w:kern w:val="0"/>
          <w:sz w:val="28"/>
          <w:szCs w:val="28"/>
        </w:rPr>
      </w:pPr>
      <w:r>
        <w:rPr>
          <w:rFonts w:cs="Arial" w:asciiTheme="minorEastAsia" w:hAnsiTheme="minorEastAsia"/>
          <w:color w:val="FF0000"/>
          <w:sz w:val="24"/>
          <w:szCs w:val="24"/>
        </w:rPr>
        <w:t>（如报价方代表不是</w:t>
      </w:r>
      <w:r>
        <w:rPr>
          <w:rFonts w:hint="eastAsia" w:cs="Arial" w:asciiTheme="minorEastAsia" w:hAnsiTheme="minorEastAsia"/>
          <w:color w:val="FF0000"/>
          <w:sz w:val="24"/>
          <w:szCs w:val="24"/>
        </w:rPr>
        <w:t>负责</w:t>
      </w:r>
      <w:r>
        <w:rPr>
          <w:rFonts w:cs="Arial" w:asciiTheme="minorEastAsia" w:hAnsiTheme="minorEastAsia"/>
          <w:color w:val="FF0000"/>
          <w:sz w:val="24"/>
          <w:szCs w:val="24"/>
        </w:rPr>
        <w:t>人，须持有《</w:t>
      </w:r>
      <w:r>
        <w:rPr>
          <w:rFonts w:hint="eastAsia" w:cs="Arial" w:asciiTheme="minorEastAsia" w:hAnsiTheme="minorEastAsia"/>
          <w:color w:val="FF0000"/>
          <w:sz w:val="24"/>
          <w:szCs w:val="24"/>
          <w:lang w:eastAsia="zh-CN"/>
        </w:rPr>
        <w:t>负责</w:t>
      </w:r>
      <w:r>
        <w:rPr>
          <w:rFonts w:cs="Arial" w:asciiTheme="minorEastAsia" w:hAnsiTheme="minorEastAsia"/>
          <w:color w:val="FF0000"/>
          <w:sz w:val="24"/>
          <w:szCs w:val="24"/>
        </w:rPr>
        <w:t>人授权书》）</w:t>
      </w:r>
    </w:p>
    <w:p>
      <w:pPr>
        <w:rPr>
          <w:rFonts w:hint="eastAsia" w:cs="Times New Roman" w:asciiTheme="minorEastAsia" w:hAnsiTheme="minorEastAsia"/>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lang w:eastAsia="zh-CN"/>
        </w:rPr>
        <w:t>负责</w:t>
      </w:r>
      <w:r>
        <w:rPr>
          <w:rFonts w:hint="eastAsia" w:cs="Times New Roman" w:asciiTheme="minorEastAsia" w:hAnsiTheme="minorEastAsia"/>
          <w:kern w:val="0"/>
          <w:sz w:val="28"/>
          <w:szCs w:val="28"/>
        </w:rPr>
        <w:t>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报价方全称：（盖章）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lang w:eastAsia="zh-CN"/>
        </w:rPr>
        <w:t>负责</w:t>
      </w:r>
      <w:r>
        <w:rPr>
          <w:rFonts w:hint="eastAsia" w:cs="Times New Roman" w:asciiTheme="minorEastAsia" w:hAnsiTheme="minorEastAsia"/>
          <w:kern w:val="0"/>
          <w:sz w:val="28"/>
          <w:szCs w:val="28"/>
        </w:rPr>
        <w:t>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承诺服务价格不得高于国内同级单位最低成交价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负责人（或授权代表）：（签字或盖章）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hint="eastAsia" w:cs="Times New Roman" w:asciiTheme="minorEastAsia" w:hAnsiTheme="minorEastAsia"/>
          <w:snapToGrid w:val="0"/>
          <w:kern w:val="0"/>
          <w:szCs w:val="21"/>
        </w:rPr>
      </w:pPr>
      <w:r>
        <w:rPr>
          <w:rFonts w:hint="eastAsia" w:cs="Times New Roman" w:asciiTheme="minorEastAsia" w:hAnsiTheme="minorEastAsia"/>
          <w:snapToGrid w:val="0"/>
          <w:kern w:val="0"/>
          <w:szCs w:val="21"/>
        </w:rPr>
        <w:t>②</w:t>
      </w:r>
      <w:r>
        <w:rPr>
          <w:rFonts w:hint="eastAsia" w:cs="Times New Roman" w:asciiTheme="minorEastAsia" w:hAnsiTheme="minorEastAsia"/>
          <w:kern w:val="0"/>
          <w:sz w:val="24"/>
          <w:szCs w:val="24"/>
        </w:rPr>
        <w:t>参加本</w:t>
      </w:r>
      <w:r>
        <w:rPr>
          <w:rFonts w:hint="eastAsia" w:cs="Times New Roman" w:asciiTheme="minorEastAsia" w:hAnsiTheme="minorEastAsia"/>
          <w:snapToGrid w:val="0"/>
          <w:kern w:val="0"/>
          <w:szCs w:val="21"/>
        </w:rPr>
        <w:t>次采购活动前5年内在经营活动中没有重大违法记录</w:t>
      </w:r>
      <w:r>
        <w:rPr>
          <w:rFonts w:hint="eastAsia" w:cs="Times New Roman" w:asciiTheme="minorEastAsia" w:hAnsiTheme="minorEastAsia"/>
          <w:snapToGrid w:val="0"/>
          <w:kern w:val="0"/>
          <w:szCs w:val="21"/>
          <w:lang w:eastAsia="zh-CN"/>
        </w:rPr>
        <w:t>、</w:t>
      </w:r>
      <w:r>
        <w:rPr>
          <w:rFonts w:hint="default" w:cs="Times New Roman" w:asciiTheme="minorEastAsia" w:hAnsiTheme="minorEastAsia"/>
          <w:snapToGrid w:val="0"/>
          <w:kern w:val="0"/>
          <w:szCs w:val="21"/>
        </w:rPr>
        <w:t>未被有关征信部门列为失信名单</w:t>
      </w:r>
      <w:r>
        <w:rPr>
          <w:rFonts w:hint="eastAsia" w:cs="Times New Roman" w:asciiTheme="minorEastAsia" w:hAnsiTheme="minorEastAsia"/>
          <w:snapToGrid w:val="0"/>
          <w:kern w:val="0"/>
          <w:szCs w:val="21"/>
          <w:lang w:eastAsia="zh-CN"/>
        </w:rPr>
        <w:t>、</w:t>
      </w:r>
      <w:r>
        <w:rPr>
          <w:rFonts w:hint="default" w:cs="Times New Roman" w:asciiTheme="minorEastAsia" w:hAnsiTheme="minorEastAsia"/>
          <w:snapToGrid w:val="0"/>
          <w:kern w:val="0"/>
          <w:szCs w:val="21"/>
        </w:rPr>
        <w:t>未被法院列为失信被执行人</w:t>
      </w:r>
      <w:r>
        <w:rPr>
          <w:rFonts w:hint="eastAsia" w:cs="Times New Roman" w:asciiTheme="minorEastAsia" w:hAnsiTheme="minorEastAsia"/>
          <w:snapToGrid w:val="0"/>
          <w:kern w:val="0"/>
          <w:szCs w:val="21"/>
          <w:lang w:eastAsia="zh-CN"/>
        </w:rPr>
        <w:t>等</w:t>
      </w:r>
      <w:r>
        <w:rPr>
          <w:rFonts w:hint="eastAsia" w:cs="Times New Roman" w:asciiTheme="minorEastAsia" w:hAnsiTheme="minorEastAsia"/>
          <w:snapToGrid w:val="0"/>
          <w:kern w:val="0"/>
          <w:szCs w:val="21"/>
        </w:rPr>
        <w:t>书面声明。</w:t>
      </w:r>
    </w:p>
    <w:sectPr>
      <w:headerReference r:id="rId11"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SimSun-ExtB"/>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3</w:t>
    </w:r>
    <w:r>
      <w:rPr>
        <w:rStyle w:val="23"/>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12</w:t>
    </w:r>
    <w:r>
      <w:rPr>
        <w:rStyle w:val="23"/>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sz w:val="24"/>
        <w:szCs w:val="24"/>
      </w:rPr>
    </w:pPr>
    <w:r>
      <w:rPr>
        <w:rFonts w:hint="eastAsia" w:ascii="宋体"/>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52</w:t>
    </w:r>
    <w:r>
      <w:rPr>
        <w:rStyle w:val="23"/>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报价</w:t>
    </w:r>
    <w:r>
      <w:rPr>
        <w:rFonts w:hint="eastAsia" w:ascii="楷体_GB2312" w:hAnsi="华文中宋" w:eastAsia="楷体_GB2312"/>
        <w:sz w:val="21"/>
        <w:szCs w:val="21"/>
      </w:rPr>
      <w:t>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1A1D5"/>
    <w:multiLevelType w:val="singleLevel"/>
    <w:tmpl w:val="FA51A1D5"/>
    <w:lvl w:ilvl="0" w:tentative="0">
      <w:start w:val="1"/>
      <w:numFmt w:val="decimal"/>
      <w:suff w:val="nothing"/>
      <w:lvlText w:val="%1、"/>
      <w:lvlJc w:val="left"/>
    </w:lvl>
  </w:abstractNum>
  <w:abstractNum w:abstractNumId="1">
    <w:nsid w:val="279A2291"/>
    <w:multiLevelType w:val="singleLevel"/>
    <w:tmpl w:val="279A2291"/>
    <w:lvl w:ilvl="0" w:tentative="0">
      <w:start w:val="1"/>
      <w:numFmt w:val="chineseCounting"/>
      <w:suff w:val="nothing"/>
      <w:lvlText w:val="%1、"/>
      <w:lvlJc w:val="left"/>
      <w:rPr>
        <w:rFonts w:hint="eastAsia"/>
      </w:rPr>
    </w:lvl>
  </w:abstractNum>
  <w:abstractNum w:abstractNumId="2">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9580C"/>
    <w:rsid w:val="000A01D4"/>
    <w:rsid w:val="000A0899"/>
    <w:rsid w:val="000A1FBF"/>
    <w:rsid w:val="000A47EE"/>
    <w:rsid w:val="000A77FA"/>
    <w:rsid w:val="000B0A52"/>
    <w:rsid w:val="000B1F30"/>
    <w:rsid w:val="000B4FE3"/>
    <w:rsid w:val="000C1DB9"/>
    <w:rsid w:val="000C693C"/>
    <w:rsid w:val="000D1724"/>
    <w:rsid w:val="000D4E07"/>
    <w:rsid w:val="000E0A9C"/>
    <w:rsid w:val="000E203F"/>
    <w:rsid w:val="000E2378"/>
    <w:rsid w:val="000E441D"/>
    <w:rsid w:val="000F19EE"/>
    <w:rsid w:val="000F241F"/>
    <w:rsid w:val="000F6A10"/>
    <w:rsid w:val="000F6B44"/>
    <w:rsid w:val="000F7F74"/>
    <w:rsid w:val="00100C14"/>
    <w:rsid w:val="00104F9C"/>
    <w:rsid w:val="00112AB8"/>
    <w:rsid w:val="00117521"/>
    <w:rsid w:val="0011792C"/>
    <w:rsid w:val="001179D2"/>
    <w:rsid w:val="001245E9"/>
    <w:rsid w:val="0012622A"/>
    <w:rsid w:val="0012758E"/>
    <w:rsid w:val="00132440"/>
    <w:rsid w:val="001370A6"/>
    <w:rsid w:val="00143A5E"/>
    <w:rsid w:val="00145EE0"/>
    <w:rsid w:val="0015050A"/>
    <w:rsid w:val="001509A9"/>
    <w:rsid w:val="00152886"/>
    <w:rsid w:val="00153080"/>
    <w:rsid w:val="00153AAA"/>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170B"/>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ECA"/>
    <w:rsid w:val="003721E4"/>
    <w:rsid w:val="00381B40"/>
    <w:rsid w:val="0038315E"/>
    <w:rsid w:val="003839B9"/>
    <w:rsid w:val="00384C3A"/>
    <w:rsid w:val="0038561E"/>
    <w:rsid w:val="0038583F"/>
    <w:rsid w:val="00386754"/>
    <w:rsid w:val="00391648"/>
    <w:rsid w:val="00392277"/>
    <w:rsid w:val="003923F1"/>
    <w:rsid w:val="0039559B"/>
    <w:rsid w:val="0039601D"/>
    <w:rsid w:val="00397EDA"/>
    <w:rsid w:val="003A1E13"/>
    <w:rsid w:val="003B0536"/>
    <w:rsid w:val="003B0652"/>
    <w:rsid w:val="003B3F4B"/>
    <w:rsid w:val="003B44D4"/>
    <w:rsid w:val="003B50D8"/>
    <w:rsid w:val="003B5CCC"/>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0FEF"/>
    <w:rsid w:val="00471BF6"/>
    <w:rsid w:val="00472142"/>
    <w:rsid w:val="00475253"/>
    <w:rsid w:val="00476D8F"/>
    <w:rsid w:val="004817C9"/>
    <w:rsid w:val="0048184A"/>
    <w:rsid w:val="004855DB"/>
    <w:rsid w:val="00486FAC"/>
    <w:rsid w:val="00490B39"/>
    <w:rsid w:val="0049116F"/>
    <w:rsid w:val="00497561"/>
    <w:rsid w:val="004A2AB0"/>
    <w:rsid w:val="004A51A4"/>
    <w:rsid w:val="004B21F9"/>
    <w:rsid w:val="004B3316"/>
    <w:rsid w:val="004B4085"/>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B6B"/>
    <w:rsid w:val="005016FA"/>
    <w:rsid w:val="00501BD3"/>
    <w:rsid w:val="005026E6"/>
    <w:rsid w:val="00505765"/>
    <w:rsid w:val="00505E0B"/>
    <w:rsid w:val="00506149"/>
    <w:rsid w:val="00506678"/>
    <w:rsid w:val="0051161F"/>
    <w:rsid w:val="00512A58"/>
    <w:rsid w:val="00514365"/>
    <w:rsid w:val="005143F2"/>
    <w:rsid w:val="005160D2"/>
    <w:rsid w:val="00516724"/>
    <w:rsid w:val="00517248"/>
    <w:rsid w:val="005269E8"/>
    <w:rsid w:val="00526DAB"/>
    <w:rsid w:val="00530149"/>
    <w:rsid w:val="00531428"/>
    <w:rsid w:val="005342E3"/>
    <w:rsid w:val="00541A12"/>
    <w:rsid w:val="005431D4"/>
    <w:rsid w:val="00545FE1"/>
    <w:rsid w:val="005501A2"/>
    <w:rsid w:val="005538B6"/>
    <w:rsid w:val="005643ED"/>
    <w:rsid w:val="00564779"/>
    <w:rsid w:val="00564DF4"/>
    <w:rsid w:val="00566914"/>
    <w:rsid w:val="005704FC"/>
    <w:rsid w:val="0057527E"/>
    <w:rsid w:val="0057658B"/>
    <w:rsid w:val="00577C87"/>
    <w:rsid w:val="0058033F"/>
    <w:rsid w:val="0058390B"/>
    <w:rsid w:val="00592954"/>
    <w:rsid w:val="00593668"/>
    <w:rsid w:val="005A03AA"/>
    <w:rsid w:val="005A4B13"/>
    <w:rsid w:val="005A4B8A"/>
    <w:rsid w:val="005A5293"/>
    <w:rsid w:val="005A63B3"/>
    <w:rsid w:val="005B1A5E"/>
    <w:rsid w:val="005B2EA3"/>
    <w:rsid w:val="005B3948"/>
    <w:rsid w:val="005C0D9D"/>
    <w:rsid w:val="005C1F06"/>
    <w:rsid w:val="005C28EC"/>
    <w:rsid w:val="005C3150"/>
    <w:rsid w:val="005D0B03"/>
    <w:rsid w:val="005E5B5F"/>
    <w:rsid w:val="005E60DB"/>
    <w:rsid w:val="005E707D"/>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1375"/>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2D6"/>
    <w:rsid w:val="0077559A"/>
    <w:rsid w:val="00776432"/>
    <w:rsid w:val="00780C9C"/>
    <w:rsid w:val="0078225A"/>
    <w:rsid w:val="007823A9"/>
    <w:rsid w:val="00782884"/>
    <w:rsid w:val="00783162"/>
    <w:rsid w:val="007876EF"/>
    <w:rsid w:val="00790E1A"/>
    <w:rsid w:val="007912E6"/>
    <w:rsid w:val="007936A5"/>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231"/>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1E51"/>
    <w:rsid w:val="00886E6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61A"/>
    <w:rsid w:val="00910A73"/>
    <w:rsid w:val="00911F1B"/>
    <w:rsid w:val="009141ED"/>
    <w:rsid w:val="00914CA0"/>
    <w:rsid w:val="00916AC5"/>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17F7"/>
    <w:rsid w:val="009554D8"/>
    <w:rsid w:val="009570D9"/>
    <w:rsid w:val="00957388"/>
    <w:rsid w:val="00962E40"/>
    <w:rsid w:val="0096732E"/>
    <w:rsid w:val="00972817"/>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2BF5"/>
    <w:rsid w:val="009B2EE2"/>
    <w:rsid w:val="009B4A1B"/>
    <w:rsid w:val="009B55F3"/>
    <w:rsid w:val="009B598D"/>
    <w:rsid w:val="009B6673"/>
    <w:rsid w:val="009B6C69"/>
    <w:rsid w:val="009B7EA9"/>
    <w:rsid w:val="009C00DD"/>
    <w:rsid w:val="009C4029"/>
    <w:rsid w:val="009C55EE"/>
    <w:rsid w:val="009D06C0"/>
    <w:rsid w:val="009D217C"/>
    <w:rsid w:val="009D403B"/>
    <w:rsid w:val="009D67EC"/>
    <w:rsid w:val="009E48BE"/>
    <w:rsid w:val="009F16A1"/>
    <w:rsid w:val="009F315B"/>
    <w:rsid w:val="00A00154"/>
    <w:rsid w:val="00A03529"/>
    <w:rsid w:val="00A05A0E"/>
    <w:rsid w:val="00A11831"/>
    <w:rsid w:val="00A11DC2"/>
    <w:rsid w:val="00A1300A"/>
    <w:rsid w:val="00A1323F"/>
    <w:rsid w:val="00A15AB3"/>
    <w:rsid w:val="00A15AF7"/>
    <w:rsid w:val="00A16C22"/>
    <w:rsid w:val="00A2524C"/>
    <w:rsid w:val="00A25764"/>
    <w:rsid w:val="00A30B5F"/>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3AC7"/>
    <w:rsid w:val="00AE4417"/>
    <w:rsid w:val="00AE4FFF"/>
    <w:rsid w:val="00AF0759"/>
    <w:rsid w:val="00AF1771"/>
    <w:rsid w:val="00AF2AE2"/>
    <w:rsid w:val="00AF3AB1"/>
    <w:rsid w:val="00AF3EFD"/>
    <w:rsid w:val="00AF5F07"/>
    <w:rsid w:val="00AF6F79"/>
    <w:rsid w:val="00AF7027"/>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46C6A"/>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33EC"/>
    <w:rsid w:val="00CF40F3"/>
    <w:rsid w:val="00CF4B59"/>
    <w:rsid w:val="00CF51ED"/>
    <w:rsid w:val="00CF5B6D"/>
    <w:rsid w:val="00CF644A"/>
    <w:rsid w:val="00CF6D7C"/>
    <w:rsid w:val="00D03D3C"/>
    <w:rsid w:val="00D06FF8"/>
    <w:rsid w:val="00D10DF2"/>
    <w:rsid w:val="00D15E56"/>
    <w:rsid w:val="00D15F5A"/>
    <w:rsid w:val="00D1612C"/>
    <w:rsid w:val="00D16290"/>
    <w:rsid w:val="00D162FA"/>
    <w:rsid w:val="00D168DD"/>
    <w:rsid w:val="00D205FF"/>
    <w:rsid w:val="00D23E0D"/>
    <w:rsid w:val="00D2626D"/>
    <w:rsid w:val="00D32648"/>
    <w:rsid w:val="00D33E3F"/>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44CA"/>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884"/>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B7C7C"/>
    <w:rsid w:val="00FC0639"/>
    <w:rsid w:val="00FC3062"/>
    <w:rsid w:val="00FC33D8"/>
    <w:rsid w:val="00FC6F12"/>
    <w:rsid w:val="00FD2CFC"/>
    <w:rsid w:val="00FD4420"/>
    <w:rsid w:val="00FD5A77"/>
    <w:rsid w:val="00FE0962"/>
    <w:rsid w:val="00FE134B"/>
    <w:rsid w:val="00FE1C94"/>
    <w:rsid w:val="00FE4F4D"/>
    <w:rsid w:val="00FE6AA0"/>
    <w:rsid w:val="00FF119D"/>
    <w:rsid w:val="00FF3BF2"/>
    <w:rsid w:val="00FF557D"/>
    <w:rsid w:val="00FF7971"/>
    <w:rsid w:val="010E47C1"/>
    <w:rsid w:val="01105018"/>
    <w:rsid w:val="01171DCF"/>
    <w:rsid w:val="013C7B73"/>
    <w:rsid w:val="014D524C"/>
    <w:rsid w:val="01501AB2"/>
    <w:rsid w:val="016E13CC"/>
    <w:rsid w:val="016F7FB3"/>
    <w:rsid w:val="01860C88"/>
    <w:rsid w:val="01BA494F"/>
    <w:rsid w:val="01C57C8E"/>
    <w:rsid w:val="01CD495D"/>
    <w:rsid w:val="01CF7964"/>
    <w:rsid w:val="01D4309F"/>
    <w:rsid w:val="01DB63E9"/>
    <w:rsid w:val="01EE13EA"/>
    <w:rsid w:val="02075F4F"/>
    <w:rsid w:val="02122489"/>
    <w:rsid w:val="02154684"/>
    <w:rsid w:val="021A34D1"/>
    <w:rsid w:val="021E1B4E"/>
    <w:rsid w:val="02521066"/>
    <w:rsid w:val="026342D5"/>
    <w:rsid w:val="026D5BC8"/>
    <w:rsid w:val="026F4976"/>
    <w:rsid w:val="027E736F"/>
    <w:rsid w:val="02802A5B"/>
    <w:rsid w:val="02A15B8A"/>
    <w:rsid w:val="02BD37F3"/>
    <w:rsid w:val="02C44FCD"/>
    <w:rsid w:val="030C25B9"/>
    <w:rsid w:val="03272367"/>
    <w:rsid w:val="032B559A"/>
    <w:rsid w:val="033431D2"/>
    <w:rsid w:val="034148C9"/>
    <w:rsid w:val="035B3130"/>
    <w:rsid w:val="037112FD"/>
    <w:rsid w:val="038D501F"/>
    <w:rsid w:val="039B2782"/>
    <w:rsid w:val="03AC4AB4"/>
    <w:rsid w:val="03AD7278"/>
    <w:rsid w:val="03BC3663"/>
    <w:rsid w:val="03C116B5"/>
    <w:rsid w:val="03C25A6A"/>
    <w:rsid w:val="03D172CF"/>
    <w:rsid w:val="03D90ED4"/>
    <w:rsid w:val="03DE4E92"/>
    <w:rsid w:val="03E70FA9"/>
    <w:rsid w:val="04156071"/>
    <w:rsid w:val="044D05B6"/>
    <w:rsid w:val="045169FA"/>
    <w:rsid w:val="0455313A"/>
    <w:rsid w:val="045A5FA9"/>
    <w:rsid w:val="045E63D5"/>
    <w:rsid w:val="04682B34"/>
    <w:rsid w:val="04697F00"/>
    <w:rsid w:val="0474370E"/>
    <w:rsid w:val="047C3ACB"/>
    <w:rsid w:val="048357D2"/>
    <w:rsid w:val="048D092C"/>
    <w:rsid w:val="04AA68F2"/>
    <w:rsid w:val="04B44AD2"/>
    <w:rsid w:val="04C75909"/>
    <w:rsid w:val="04D95B63"/>
    <w:rsid w:val="05083C62"/>
    <w:rsid w:val="05165071"/>
    <w:rsid w:val="052642F6"/>
    <w:rsid w:val="052A162B"/>
    <w:rsid w:val="053354B8"/>
    <w:rsid w:val="054C271E"/>
    <w:rsid w:val="05510238"/>
    <w:rsid w:val="055A2410"/>
    <w:rsid w:val="055A282A"/>
    <w:rsid w:val="05616EBB"/>
    <w:rsid w:val="057F2A53"/>
    <w:rsid w:val="057F555B"/>
    <w:rsid w:val="05854153"/>
    <w:rsid w:val="05C95316"/>
    <w:rsid w:val="05CA170E"/>
    <w:rsid w:val="05D35077"/>
    <w:rsid w:val="05D413CB"/>
    <w:rsid w:val="05FE061E"/>
    <w:rsid w:val="060F7A5D"/>
    <w:rsid w:val="0634723F"/>
    <w:rsid w:val="063A24C2"/>
    <w:rsid w:val="06615DF8"/>
    <w:rsid w:val="066535BA"/>
    <w:rsid w:val="066B7659"/>
    <w:rsid w:val="067A6F27"/>
    <w:rsid w:val="06A8603C"/>
    <w:rsid w:val="06CB66DF"/>
    <w:rsid w:val="06E240CD"/>
    <w:rsid w:val="06EE03F4"/>
    <w:rsid w:val="06F35571"/>
    <w:rsid w:val="070834A4"/>
    <w:rsid w:val="070A1D7E"/>
    <w:rsid w:val="070E11D7"/>
    <w:rsid w:val="07182A33"/>
    <w:rsid w:val="07477A1F"/>
    <w:rsid w:val="077B45A4"/>
    <w:rsid w:val="07AD5095"/>
    <w:rsid w:val="07C146A8"/>
    <w:rsid w:val="07C93E01"/>
    <w:rsid w:val="07DC349F"/>
    <w:rsid w:val="07DE0C35"/>
    <w:rsid w:val="084E482F"/>
    <w:rsid w:val="0854076E"/>
    <w:rsid w:val="08701475"/>
    <w:rsid w:val="087E0AC7"/>
    <w:rsid w:val="089B7F3D"/>
    <w:rsid w:val="08A47D83"/>
    <w:rsid w:val="08A5471D"/>
    <w:rsid w:val="08B46679"/>
    <w:rsid w:val="08BE554B"/>
    <w:rsid w:val="08DD1138"/>
    <w:rsid w:val="08F55158"/>
    <w:rsid w:val="090203B4"/>
    <w:rsid w:val="090C12AA"/>
    <w:rsid w:val="09216092"/>
    <w:rsid w:val="09296FB5"/>
    <w:rsid w:val="095269CC"/>
    <w:rsid w:val="0964071F"/>
    <w:rsid w:val="096C2792"/>
    <w:rsid w:val="09700A59"/>
    <w:rsid w:val="097A6CF5"/>
    <w:rsid w:val="098078DA"/>
    <w:rsid w:val="09A428A2"/>
    <w:rsid w:val="09BE2339"/>
    <w:rsid w:val="09CB182C"/>
    <w:rsid w:val="09D45AF1"/>
    <w:rsid w:val="09EA2A16"/>
    <w:rsid w:val="0A017054"/>
    <w:rsid w:val="0A0E402E"/>
    <w:rsid w:val="0A224DFF"/>
    <w:rsid w:val="0A3A2E8A"/>
    <w:rsid w:val="0A3B7A70"/>
    <w:rsid w:val="0A400C4F"/>
    <w:rsid w:val="0A405E48"/>
    <w:rsid w:val="0A4A0AD4"/>
    <w:rsid w:val="0A5A3409"/>
    <w:rsid w:val="0A67169B"/>
    <w:rsid w:val="0A763515"/>
    <w:rsid w:val="0A7863BD"/>
    <w:rsid w:val="0A7D0CBB"/>
    <w:rsid w:val="0ACE1CF3"/>
    <w:rsid w:val="0AD13CEF"/>
    <w:rsid w:val="0AEF265E"/>
    <w:rsid w:val="0AF311AB"/>
    <w:rsid w:val="0B137A33"/>
    <w:rsid w:val="0B226248"/>
    <w:rsid w:val="0B244372"/>
    <w:rsid w:val="0B3C1C1A"/>
    <w:rsid w:val="0B7E1555"/>
    <w:rsid w:val="0B963E35"/>
    <w:rsid w:val="0BA10F7A"/>
    <w:rsid w:val="0BD261EA"/>
    <w:rsid w:val="0BE865D2"/>
    <w:rsid w:val="0BEB5A53"/>
    <w:rsid w:val="0BFF161B"/>
    <w:rsid w:val="0C2A7B8C"/>
    <w:rsid w:val="0C456D98"/>
    <w:rsid w:val="0C4F290D"/>
    <w:rsid w:val="0C9F1F06"/>
    <w:rsid w:val="0CAB3582"/>
    <w:rsid w:val="0CB87414"/>
    <w:rsid w:val="0CBA6FDC"/>
    <w:rsid w:val="0CCD2E6B"/>
    <w:rsid w:val="0CCD3627"/>
    <w:rsid w:val="0CCF2963"/>
    <w:rsid w:val="0CD7179D"/>
    <w:rsid w:val="0CDD194B"/>
    <w:rsid w:val="0CED6681"/>
    <w:rsid w:val="0CFF0A60"/>
    <w:rsid w:val="0D0F0F83"/>
    <w:rsid w:val="0D3731DE"/>
    <w:rsid w:val="0D6D0E72"/>
    <w:rsid w:val="0D87479C"/>
    <w:rsid w:val="0D8E7F69"/>
    <w:rsid w:val="0D9E223C"/>
    <w:rsid w:val="0DA877BC"/>
    <w:rsid w:val="0DAD6A89"/>
    <w:rsid w:val="0DAE37FC"/>
    <w:rsid w:val="0DB134DB"/>
    <w:rsid w:val="0DB27C73"/>
    <w:rsid w:val="0DBE2390"/>
    <w:rsid w:val="0DC315D9"/>
    <w:rsid w:val="0DE66099"/>
    <w:rsid w:val="0DF86634"/>
    <w:rsid w:val="0E0E451A"/>
    <w:rsid w:val="0E166524"/>
    <w:rsid w:val="0E1766B0"/>
    <w:rsid w:val="0E3D773E"/>
    <w:rsid w:val="0E5E5196"/>
    <w:rsid w:val="0E775DCA"/>
    <w:rsid w:val="0EB90E17"/>
    <w:rsid w:val="0EB916CD"/>
    <w:rsid w:val="0EC27BED"/>
    <w:rsid w:val="0EC53E91"/>
    <w:rsid w:val="0ED05611"/>
    <w:rsid w:val="0EE2483B"/>
    <w:rsid w:val="0EEB43E4"/>
    <w:rsid w:val="0EF80CD9"/>
    <w:rsid w:val="0F21540C"/>
    <w:rsid w:val="0F2A1E39"/>
    <w:rsid w:val="0F387847"/>
    <w:rsid w:val="0F4E69DA"/>
    <w:rsid w:val="0F857C74"/>
    <w:rsid w:val="0F8625B9"/>
    <w:rsid w:val="0FAA146B"/>
    <w:rsid w:val="0FB14111"/>
    <w:rsid w:val="0FD219D1"/>
    <w:rsid w:val="0FE4325E"/>
    <w:rsid w:val="0FF65D5E"/>
    <w:rsid w:val="0FFF477D"/>
    <w:rsid w:val="10067338"/>
    <w:rsid w:val="1015547E"/>
    <w:rsid w:val="10213847"/>
    <w:rsid w:val="10235CDD"/>
    <w:rsid w:val="10383118"/>
    <w:rsid w:val="1039498F"/>
    <w:rsid w:val="10450CB8"/>
    <w:rsid w:val="10684D43"/>
    <w:rsid w:val="10771490"/>
    <w:rsid w:val="107F78AD"/>
    <w:rsid w:val="10B15698"/>
    <w:rsid w:val="10C44405"/>
    <w:rsid w:val="10E264F1"/>
    <w:rsid w:val="10FF67C7"/>
    <w:rsid w:val="111557EA"/>
    <w:rsid w:val="111B3186"/>
    <w:rsid w:val="11225456"/>
    <w:rsid w:val="113528E2"/>
    <w:rsid w:val="11492B09"/>
    <w:rsid w:val="11561527"/>
    <w:rsid w:val="115D4140"/>
    <w:rsid w:val="11622ED0"/>
    <w:rsid w:val="11984628"/>
    <w:rsid w:val="11D03B20"/>
    <w:rsid w:val="11E92276"/>
    <w:rsid w:val="11FE3A24"/>
    <w:rsid w:val="12061CC0"/>
    <w:rsid w:val="12285596"/>
    <w:rsid w:val="123E57C5"/>
    <w:rsid w:val="124C0D3E"/>
    <w:rsid w:val="12654021"/>
    <w:rsid w:val="126D2335"/>
    <w:rsid w:val="12892087"/>
    <w:rsid w:val="12C12AE2"/>
    <w:rsid w:val="12E03A64"/>
    <w:rsid w:val="13214DB2"/>
    <w:rsid w:val="1323088F"/>
    <w:rsid w:val="132A2501"/>
    <w:rsid w:val="13320EEE"/>
    <w:rsid w:val="13AB46AF"/>
    <w:rsid w:val="13B67F98"/>
    <w:rsid w:val="13BD23B6"/>
    <w:rsid w:val="13C2153B"/>
    <w:rsid w:val="13D745AF"/>
    <w:rsid w:val="14010824"/>
    <w:rsid w:val="14023BBB"/>
    <w:rsid w:val="14062310"/>
    <w:rsid w:val="1408435D"/>
    <w:rsid w:val="140D701D"/>
    <w:rsid w:val="141B7426"/>
    <w:rsid w:val="143D05C2"/>
    <w:rsid w:val="144C4A72"/>
    <w:rsid w:val="14746837"/>
    <w:rsid w:val="14871E29"/>
    <w:rsid w:val="14A83293"/>
    <w:rsid w:val="14AF426E"/>
    <w:rsid w:val="14AF7016"/>
    <w:rsid w:val="14B23DC0"/>
    <w:rsid w:val="14C66312"/>
    <w:rsid w:val="14D33EBF"/>
    <w:rsid w:val="14EF4E68"/>
    <w:rsid w:val="15155100"/>
    <w:rsid w:val="152A0860"/>
    <w:rsid w:val="152A7EC2"/>
    <w:rsid w:val="153011FE"/>
    <w:rsid w:val="15357DAD"/>
    <w:rsid w:val="153809F5"/>
    <w:rsid w:val="154F3FBF"/>
    <w:rsid w:val="155C5406"/>
    <w:rsid w:val="156E58E8"/>
    <w:rsid w:val="15DA7B01"/>
    <w:rsid w:val="15FC637E"/>
    <w:rsid w:val="160002F7"/>
    <w:rsid w:val="160326BA"/>
    <w:rsid w:val="16047BBF"/>
    <w:rsid w:val="160E76FA"/>
    <w:rsid w:val="161604F6"/>
    <w:rsid w:val="16197494"/>
    <w:rsid w:val="1635583E"/>
    <w:rsid w:val="163569A3"/>
    <w:rsid w:val="164A3E6D"/>
    <w:rsid w:val="165B3427"/>
    <w:rsid w:val="165C2489"/>
    <w:rsid w:val="166317C2"/>
    <w:rsid w:val="166E40EC"/>
    <w:rsid w:val="16793544"/>
    <w:rsid w:val="167D0DBA"/>
    <w:rsid w:val="16916A28"/>
    <w:rsid w:val="16927E89"/>
    <w:rsid w:val="16C67176"/>
    <w:rsid w:val="17114B40"/>
    <w:rsid w:val="17156EAD"/>
    <w:rsid w:val="1716207E"/>
    <w:rsid w:val="172222AC"/>
    <w:rsid w:val="172A7E33"/>
    <w:rsid w:val="172D79EB"/>
    <w:rsid w:val="175A5A09"/>
    <w:rsid w:val="178B0F26"/>
    <w:rsid w:val="17957BF2"/>
    <w:rsid w:val="180E5939"/>
    <w:rsid w:val="18167A3E"/>
    <w:rsid w:val="18251DD1"/>
    <w:rsid w:val="182860E5"/>
    <w:rsid w:val="18293B22"/>
    <w:rsid w:val="184060AF"/>
    <w:rsid w:val="185C6B17"/>
    <w:rsid w:val="186339B9"/>
    <w:rsid w:val="187E6681"/>
    <w:rsid w:val="1888696D"/>
    <w:rsid w:val="18C74831"/>
    <w:rsid w:val="18DD6D0A"/>
    <w:rsid w:val="18F42791"/>
    <w:rsid w:val="19165E09"/>
    <w:rsid w:val="192E1519"/>
    <w:rsid w:val="193E716A"/>
    <w:rsid w:val="195700BA"/>
    <w:rsid w:val="196A6C12"/>
    <w:rsid w:val="197B78B5"/>
    <w:rsid w:val="19801A00"/>
    <w:rsid w:val="19AA50D6"/>
    <w:rsid w:val="19BA3C6C"/>
    <w:rsid w:val="19C167E5"/>
    <w:rsid w:val="19FE396F"/>
    <w:rsid w:val="1A086306"/>
    <w:rsid w:val="1A1534AC"/>
    <w:rsid w:val="1A356401"/>
    <w:rsid w:val="1A5C560A"/>
    <w:rsid w:val="1A7A2C88"/>
    <w:rsid w:val="1A7A552B"/>
    <w:rsid w:val="1A7D1475"/>
    <w:rsid w:val="1A983C67"/>
    <w:rsid w:val="1AA0092C"/>
    <w:rsid w:val="1AB976A9"/>
    <w:rsid w:val="1ABE6120"/>
    <w:rsid w:val="1ACF01F4"/>
    <w:rsid w:val="1AE449B2"/>
    <w:rsid w:val="1AE55E04"/>
    <w:rsid w:val="1AEF5277"/>
    <w:rsid w:val="1B075A98"/>
    <w:rsid w:val="1B162EF4"/>
    <w:rsid w:val="1B1D33E1"/>
    <w:rsid w:val="1B2D6BF7"/>
    <w:rsid w:val="1B390F81"/>
    <w:rsid w:val="1B421943"/>
    <w:rsid w:val="1B480117"/>
    <w:rsid w:val="1B5F2C66"/>
    <w:rsid w:val="1B663439"/>
    <w:rsid w:val="1B89331C"/>
    <w:rsid w:val="1B8A1912"/>
    <w:rsid w:val="1BA6391E"/>
    <w:rsid w:val="1BEA1A17"/>
    <w:rsid w:val="1C2338B3"/>
    <w:rsid w:val="1C4719F8"/>
    <w:rsid w:val="1C4C032D"/>
    <w:rsid w:val="1C634E7A"/>
    <w:rsid w:val="1C6C68CC"/>
    <w:rsid w:val="1C6E4EB6"/>
    <w:rsid w:val="1C7139B2"/>
    <w:rsid w:val="1C8E5270"/>
    <w:rsid w:val="1C921022"/>
    <w:rsid w:val="1CA926CA"/>
    <w:rsid w:val="1CB27A78"/>
    <w:rsid w:val="1CBB06DE"/>
    <w:rsid w:val="1CBB093C"/>
    <w:rsid w:val="1CBB1491"/>
    <w:rsid w:val="1CBD140F"/>
    <w:rsid w:val="1CC47A2D"/>
    <w:rsid w:val="1CD57B21"/>
    <w:rsid w:val="1CD94EEE"/>
    <w:rsid w:val="1D0912DC"/>
    <w:rsid w:val="1D117AE1"/>
    <w:rsid w:val="1D275DA1"/>
    <w:rsid w:val="1D3B4286"/>
    <w:rsid w:val="1D441E7C"/>
    <w:rsid w:val="1D595D12"/>
    <w:rsid w:val="1DA25B38"/>
    <w:rsid w:val="1DAB3249"/>
    <w:rsid w:val="1DB05D80"/>
    <w:rsid w:val="1DDA4E03"/>
    <w:rsid w:val="1DDD4A43"/>
    <w:rsid w:val="1E141D92"/>
    <w:rsid w:val="1E172B4A"/>
    <w:rsid w:val="1E243093"/>
    <w:rsid w:val="1E2C6571"/>
    <w:rsid w:val="1E370770"/>
    <w:rsid w:val="1E47458A"/>
    <w:rsid w:val="1E492ED7"/>
    <w:rsid w:val="1E632A2B"/>
    <w:rsid w:val="1E890DFA"/>
    <w:rsid w:val="1EB5317C"/>
    <w:rsid w:val="1ECF24A0"/>
    <w:rsid w:val="1ED14783"/>
    <w:rsid w:val="1EE22863"/>
    <w:rsid w:val="1EE96585"/>
    <w:rsid w:val="1F2265A4"/>
    <w:rsid w:val="1F3C3953"/>
    <w:rsid w:val="1F3C761F"/>
    <w:rsid w:val="1F5C7C52"/>
    <w:rsid w:val="1F64250E"/>
    <w:rsid w:val="1F6C6FC2"/>
    <w:rsid w:val="1F787A5F"/>
    <w:rsid w:val="1F964E90"/>
    <w:rsid w:val="1F9B1D69"/>
    <w:rsid w:val="1FA72801"/>
    <w:rsid w:val="1FBF0D0B"/>
    <w:rsid w:val="1FCA26FF"/>
    <w:rsid w:val="1FD62633"/>
    <w:rsid w:val="1FE0118C"/>
    <w:rsid w:val="1FEA04A6"/>
    <w:rsid w:val="200E687B"/>
    <w:rsid w:val="202A3670"/>
    <w:rsid w:val="2035366A"/>
    <w:rsid w:val="203C14EF"/>
    <w:rsid w:val="205D79EA"/>
    <w:rsid w:val="20690EE4"/>
    <w:rsid w:val="20795DCE"/>
    <w:rsid w:val="207D1A1F"/>
    <w:rsid w:val="20900CFA"/>
    <w:rsid w:val="20D33E95"/>
    <w:rsid w:val="20E3696B"/>
    <w:rsid w:val="20EA19F1"/>
    <w:rsid w:val="210334E4"/>
    <w:rsid w:val="212D3D5E"/>
    <w:rsid w:val="21432D23"/>
    <w:rsid w:val="217C7B92"/>
    <w:rsid w:val="21856117"/>
    <w:rsid w:val="218569F0"/>
    <w:rsid w:val="21AB446D"/>
    <w:rsid w:val="21B765F5"/>
    <w:rsid w:val="21C3057B"/>
    <w:rsid w:val="21EE6C1D"/>
    <w:rsid w:val="21EF1B02"/>
    <w:rsid w:val="21F501D2"/>
    <w:rsid w:val="22205108"/>
    <w:rsid w:val="2235191E"/>
    <w:rsid w:val="223652FE"/>
    <w:rsid w:val="223D39C1"/>
    <w:rsid w:val="22476F85"/>
    <w:rsid w:val="22865E57"/>
    <w:rsid w:val="22C20BEC"/>
    <w:rsid w:val="22C3086B"/>
    <w:rsid w:val="22D334CC"/>
    <w:rsid w:val="230C4A4C"/>
    <w:rsid w:val="230E5CDB"/>
    <w:rsid w:val="23225269"/>
    <w:rsid w:val="23335300"/>
    <w:rsid w:val="234B10FE"/>
    <w:rsid w:val="23542D01"/>
    <w:rsid w:val="23722BA4"/>
    <w:rsid w:val="23766BE5"/>
    <w:rsid w:val="239C2984"/>
    <w:rsid w:val="239E44B2"/>
    <w:rsid w:val="23A90B6A"/>
    <w:rsid w:val="23AF1C40"/>
    <w:rsid w:val="23B24A5E"/>
    <w:rsid w:val="23BB790C"/>
    <w:rsid w:val="23C146CB"/>
    <w:rsid w:val="23C90A82"/>
    <w:rsid w:val="23D8698E"/>
    <w:rsid w:val="23EA2F6A"/>
    <w:rsid w:val="23EF04F9"/>
    <w:rsid w:val="23FC6E92"/>
    <w:rsid w:val="23FD611B"/>
    <w:rsid w:val="24100C39"/>
    <w:rsid w:val="24347284"/>
    <w:rsid w:val="24377358"/>
    <w:rsid w:val="243B24BC"/>
    <w:rsid w:val="245D6C01"/>
    <w:rsid w:val="24807BD6"/>
    <w:rsid w:val="249E337F"/>
    <w:rsid w:val="24B514F0"/>
    <w:rsid w:val="24BA759F"/>
    <w:rsid w:val="24BF0FEC"/>
    <w:rsid w:val="24D34D91"/>
    <w:rsid w:val="24D35DA5"/>
    <w:rsid w:val="24F93D2B"/>
    <w:rsid w:val="25056E17"/>
    <w:rsid w:val="250C50E5"/>
    <w:rsid w:val="251160AB"/>
    <w:rsid w:val="251C2BFE"/>
    <w:rsid w:val="251C737B"/>
    <w:rsid w:val="25266E8D"/>
    <w:rsid w:val="252E0C80"/>
    <w:rsid w:val="2541665E"/>
    <w:rsid w:val="25550BF6"/>
    <w:rsid w:val="256B4B5F"/>
    <w:rsid w:val="25B2402A"/>
    <w:rsid w:val="25D42C4E"/>
    <w:rsid w:val="25E13F60"/>
    <w:rsid w:val="260D5A1A"/>
    <w:rsid w:val="26102B6B"/>
    <w:rsid w:val="2626546F"/>
    <w:rsid w:val="26357DDE"/>
    <w:rsid w:val="263F25AF"/>
    <w:rsid w:val="268F4CC8"/>
    <w:rsid w:val="269A5C03"/>
    <w:rsid w:val="26A257DF"/>
    <w:rsid w:val="26A73317"/>
    <w:rsid w:val="26B15C12"/>
    <w:rsid w:val="26F10B8B"/>
    <w:rsid w:val="26F6291C"/>
    <w:rsid w:val="271B2124"/>
    <w:rsid w:val="272366A9"/>
    <w:rsid w:val="27293724"/>
    <w:rsid w:val="27357BBA"/>
    <w:rsid w:val="273B31AF"/>
    <w:rsid w:val="27451C4F"/>
    <w:rsid w:val="276B4BDA"/>
    <w:rsid w:val="27980B0D"/>
    <w:rsid w:val="27B507A1"/>
    <w:rsid w:val="27B82182"/>
    <w:rsid w:val="27C077F1"/>
    <w:rsid w:val="27C85FF8"/>
    <w:rsid w:val="27CA2FE8"/>
    <w:rsid w:val="27F713C3"/>
    <w:rsid w:val="280719F0"/>
    <w:rsid w:val="28142BCB"/>
    <w:rsid w:val="28173C67"/>
    <w:rsid w:val="285D0A4E"/>
    <w:rsid w:val="28974B59"/>
    <w:rsid w:val="289E1D10"/>
    <w:rsid w:val="289E30C2"/>
    <w:rsid w:val="28D631B2"/>
    <w:rsid w:val="28D82533"/>
    <w:rsid w:val="28E932CC"/>
    <w:rsid w:val="28F028B4"/>
    <w:rsid w:val="291D1A72"/>
    <w:rsid w:val="293B71E9"/>
    <w:rsid w:val="29573A4D"/>
    <w:rsid w:val="29662755"/>
    <w:rsid w:val="296A79BB"/>
    <w:rsid w:val="296F06FB"/>
    <w:rsid w:val="297143DE"/>
    <w:rsid w:val="298B7D0D"/>
    <w:rsid w:val="29A20A7A"/>
    <w:rsid w:val="29A65F13"/>
    <w:rsid w:val="29E42168"/>
    <w:rsid w:val="29EF162D"/>
    <w:rsid w:val="2A010096"/>
    <w:rsid w:val="2A4158C8"/>
    <w:rsid w:val="2A4963DA"/>
    <w:rsid w:val="2A9E5933"/>
    <w:rsid w:val="2AC75370"/>
    <w:rsid w:val="2B023EE7"/>
    <w:rsid w:val="2B225F7B"/>
    <w:rsid w:val="2B495371"/>
    <w:rsid w:val="2B6D1777"/>
    <w:rsid w:val="2BA2476E"/>
    <w:rsid w:val="2BAE38A8"/>
    <w:rsid w:val="2BE87DF4"/>
    <w:rsid w:val="2C1018D4"/>
    <w:rsid w:val="2C1D5CEC"/>
    <w:rsid w:val="2C35650D"/>
    <w:rsid w:val="2C4A6628"/>
    <w:rsid w:val="2C950F32"/>
    <w:rsid w:val="2C9540E1"/>
    <w:rsid w:val="2CB35031"/>
    <w:rsid w:val="2CC249B3"/>
    <w:rsid w:val="2CC61A0E"/>
    <w:rsid w:val="2CC90A29"/>
    <w:rsid w:val="2CDF7839"/>
    <w:rsid w:val="2CE84660"/>
    <w:rsid w:val="2CF43F74"/>
    <w:rsid w:val="2D001E41"/>
    <w:rsid w:val="2D1654B9"/>
    <w:rsid w:val="2D2C4FEE"/>
    <w:rsid w:val="2D3A7E44"/>
    <w:rsid w:val="2D5655A8"/>
    <w:rsid w:val="2D645FD1"/>
    <w:rsid w:val="2D6B69F0"/>
    <w:rsid w:val="2D722D1A"/>
    <w:rsid w:val="2D861614"/>
    <w:rsid w:val="2D8C2997"/>
    <w:rsid w:val="2DA314E5"/>
    <w:rsid w:val="2DB7320B"/>
    <w:rsid w:val="2DC5055C"/>
    <w:rsid w:val="2DED7BAA"/>
    <w:rsid w:val="2DF255A7"/>
    <w:rsid w:val="2E4B23A5"/>
    <w:rsid w:val="2E731EE4"/>
    <w:rsid w:val="2E7E4250"/>
    <w:rsid w:val="2E965860"/>
    <w:rsid w:val="2EC568F8"/>
    <w:rsid w:val="2ECF1BAE"/>
    <w:rsid w:val="2EDE0B82"/>
    <w:rsid w:val="2EE26709"/>
    <w:rsid w:val="2F0E19C3"/>
    <w:rsid w:val="2F2A4CB1"/>
    <w:rsid w:val="2F3013C0"/>
    <w:rsid w:val="2F3435A9"/>
    <w:rsid w:val="2F4574DE"/>
    <w:rsid w:val="2F4634F4"/>
    <w:rsid w:val="2F626ACB"/>
    <w:rsid w:val="2F7E7984"/>
    <w:rsid w:val="2F7F0C12"/>
    <w:rsid w:val="2F8F57D0"/>
    <w:rsid w:val="2FA15EDD"/>
    <w:rsid w:val="2FB339FB"/>
    <w:rsid w:val="2FD010D5"/>
    <w:rsid w:val="2FE73F34"/>
    <w:rsid w:val="2FF9371E"/>
    <w:rsid w:val="30081601"/>
    <w:rsid w:val="300F2D4A"/>
    <w:rsid w:val="301A7018"/>
    <w:rsid w:val="301D6F27"/>
    <w:rsid w:val="3045341C"/>
    <w:rsid w:val="304C1E36"/>
    <w:rsid w:val="305F3C44"/>
    <w:rsid w:val="307616BE"/>
    <w:rsid w:val="30781A68"/>
    <w:rsid w:val="3093419F"/>
    <w:rsid w:val="30A85051"/>
    <w:rsid w:val="30BB1AC6"/>
    <w:rsid w:val="30D704BA"/>
    <w:rsid w:val="30E931E8"/>
    <w:rsid w:val="30FB7292"/>
    <w:rsid w:val="311A0C7E"/>
    <w:rsid w:val="312C26C0"/>
    <w:rsid w:val="31544BED"/>
    <w:rsid w:val="31592FC1"/>
    <w:rsid w:val="31A676D5"/>
    <w:rsid w:val="31B65FFF"/>
    <w:rsid w:val="31D4621B"/>
    <w:rsid w:val="31FD086C"/>
    <w:rsid w:val="32010362"/>
    <w:rsid w:val="321A2E99"/>
    <w:rsid w:val="321D48C9"/>
    <w:rsid w:val="326D1F63"/>
    <w:rsid w:val="32813952"/>
    <w:rsid w:val="32A554B4"/>
    <w:rsid w:val="32BB5BC2"/>
    <w:rsid w:val="32CD7590"/>
    <w:rsid w:val="32CD7FF7"/>
    <w:rsid w:val="33153B54"/>
    <w:rsid w:val="334A5AA8"/>
    <w:rsid w:val="336C1728"/>
    <w:rsid w:val="337C4CDD"/>
    <w:rsid w:val="337D3988"/>
    <w:rsid w:val="33846557"/>
    <w:rsid w:val="338B23F3"/>
    <w:rsid w:val="338C5810"/>
    <w:rsid w:val="339959CB"/>
    <w:rsid w:val="33A5665E"/>
    <w:rsid w:val="33BA2600"/>
    <w:rsid w:val="33CD1336"/>
    <w:rsid w:val="33DC0DCD"/>
    <w:rsid w:val="33EA5A89"/>
    <w:rsid w:val="3403425C"/>
    <w:rsid w:val="3421138F"/>
    <w:rsid w:val="344526F5"/>
    <w:rsid w:val="34452AE8"/>
    <w:rsid w:val="346E0D2F"/>
    <w:rsid w:val="347B1AAB"/>
    <w:rsid w:val="34903065"/>
    <w:rsid w:val="349739A3"/>
    <w:rsid w:val="34B063B4"/>
    <w:rsid w:val="34B80FC4"/>
    <w:rsid w:val="34BD4D8F"/>
    <w:rsid w:val="34CC35AC"/>
    <w:rsid w:val="34E46043"/>
    <w:rsid w:val="34EB063D"/>
    <w:rsid w:val="35285E09"/>
    <w:rsid w:val="35444695"/>
    <w:rsid w:val="357665F8"/>
    <w:rsid w:val="35AF519E"/>
    <w:rsid w:val="35CC61BC"/>
    <w:rsid w:val="35DC4541"/>
    <w:rsid w:val="35F91EE0"/>
    <w:rsid w:val="35FE16BA"/>
    <w:rsid w:val="36207A6B"/>
    <w:rsid w:val="363F5C86"/>
    <w:rsid w:val="36494138"/>
    <w:rsid w:val="36593AD7"/>
    <w:rsid w:val="36651280"/>
    <w:rsid w:val="36806A6B"/>
    <w:rsid w:val="36882C66"/>
    <w:rsid w:val="3691525B"/>
    <w:rsid w:val="36C717FC"/>
    <w:rsid w:val="36D31A0E"/>
    <w:rsid w:val="36D5544C"/>
    <w:rsid w:val="36D56174"/>
    <w:rsid w:val="36E32720"/>
    <w:rsid w:val="36EA24F9"/>
    <w:rsid w:val="371B08DE"/>
    <w:rsid w:val="3721640C"/>
    <w:rsid w:val="372E4434"/>
    <w:rsid w:val="37452EFF"/>
    <w:rsid w:val="374E04BB"/>
    <w:rsid w:val="37513FE0"/>
    <w:rsid w:val="376650D7"/>
    <w:rsid w:val="37776EF9"/>
    <w:rsid w:val="377E454A"/>
    <w:rsid w:val="37851746"/>
    <w:rsid w:val="37B37FDD"/>
    <w:rsid w:val="37BB71B0"/>
    <w:rsid w:val="37D837E1"/>
    <w:rsid w:val="37D9014E"/>
    <w:rsid w:val="38074605"/>
    <w:rsid w:val="38153AF8"/>
    <w:rsid w:val="38493666"/>
    <w:rsid w:val="384C0F66"/>
    <w:rsid w:val="384D41E3"/>
    <w:rsid w:val="38500BA8"/>
    <w:rsid w:val="385B47E2"/>
    <w:rsid w:val="386C64C1"/>
    <w:rsid w:val="387245A6"/>
    <w:rsid w:val="38943572"/>
    <w:rsid w:val="38961396"/>
    <w:rsid w:val="389614B8"/>
    <w:rsid w:val="38A07C67"/>
    <w:rsid w:val="38A354B9"/>
    <w:rsid w:val="38B7799D"/>
    <w:rsid w:val="38CB3DB0"/>
    <w:rsid w:val="38DF641C"/>
    <w:rsid w:val="38E03FB4"/>
    <w:rsid w:val="390C4720"/>
    <w:rsid w:val="39113EC0"/>
    <w:rsid w:val="39456EB9"/>
    <w:rsid w:val="394B53AF"/>
    <w:rsid w:val="394E74B7"/>
    <w:rsid w:val="395565DC"/>
    <w:rsid w:val="39733BE1"/>
    <w:rsid w:val="39934581"/>
    <w:rsid w:val="399F07F7"/>
    <w:rsid w:val="39AC48EF"/>
    <w:rsid w:val="39BE4D3E"/>
    <w:rsid w:val="3A53185E"/>
    <w:rsid w:val="3A5E4809"/>
    <w:rsid w:val="3A7139E6"/>
    <w:rsid w:val="3A75548B"/>
    <w:rsid w:val="3A7D602D"/>
    <w:rsid w:val="3AA74641"/>
    <w:rsid w:val="3ABB0BB0"/>
    <w:rsid w:val="3AE5772C"/>
    <w:rsid w:val="3AF374F6"/>
    <w:rsid w:val="3B0661F6"/>
    <w:rsid w:val="3B261583"/>
    <w:rsid w:val="3B262A0C"/>
    <w:rsid w:val="3B2C79C9"/>
    <w:rsid w:val="3B3A1EEA"/>
    <w:rsid w:val="3B3A6036"/>
    <w:rsid w:val="3B4A1E48"/>
    <w:rsid w:val="3B5655C2"/>
    <w:rsid w:val="3B5F1833"/>
    <w:rsid w:val="3B8A3AEF"/>
    <w:rsid w:val="3BBF3790"/>
    <w:rsid w:val="3BDA771B"/>
    <w:rsid w:val="3BF32ACF"/>
    <w:rsid w:val="3BFF29A0"/>
    <w:rsid w:val="3BFF3DA5"/>
    <w:rsid w:val="3C035A73"/>
    <w:rsid w:val="3C101E0F"/>
    <w:rsid w:val="3C2C0CBE"/>
    <w:rsid w:val="3C4B4FBD"/>
    <w:rsid w:val="3C692E66"/>
    <w:rsid w:val="3C834685"/>
    <w:rsid w:val="3CAB73CD"/>
    <w:rsid w:val="3CD030E6"/>
    <w:rsid w:val="3CFD7666"/>
    <w:rsid w:val="3D3108AF"/>
    <w:rsid w:val="3D476F61"/>
    <w:rsid w:val="3D5469E9"/>
    <w:rsid w:val="3D6C0CC7"/>
    <w:rsid w:val="3D7F7241"/>
    <w:rsid w:val="3D860A4B"/>
    <w:rsid w:val="3D9033D3"/>
    <w:rsid w:val="3D982745"/>
    <w:rsid w:val="3DA47009"/>
    <w:rsid w:val="3DC811DA"/>
    <w:rsid w:val="3DE4796B"/>
    <w:rsid w:val="3DFC7E49"/>
    <w:rsid w:val="3E0134B0"/>
    <w:rsid w:val="3E056F6C"/>
    <w:rsid w:val="3E0F194A"/>
    <w:rsid w:val="3E2A3EF6"/>
    <w:rsid w:val="3E2B7ABB"/>
    <w:rsid w:val="3E2D2A96"/>
    <w:rsid w:val="3E391573"/>
    <w:rsid w:val="3E3F3CC3"/>
    <w:rsid w:val="3E6E16A5"/>
    <w:rsid w:val="3E7F7184"/>
    <w:rsid w:val="3E8F2EE2"/>
    <w:rsid w:val="3E942811"/>
    <w:rsid w:val="3EA14AD4"/>
    <w:rsid w:val="3EB04A95"/>
    <w:rsid w:val="3EC0594E"/>
    <w:rsid w:val="3EC81760"/>
    <w:rsid w:val="3EE629C7"/>
    <w:rsid w:val="3EEF4FAD"/>
    <w:rsid w:val="3EF43CB8"/>
    <w:rsid w:val="3EFA1536"/>
    <w:rsid w:val="3F0019F0"/>
    <w:rsid w:val="3F077FCE"/>
    <w:rsid w:val="3F1A1A72"/>
    <w:rsid w:val="3F4E1802"/>
    <w:rsid w:val="3F550415"/>
    <w:rsid w:val="3F5A51A3"/>
    <w:rsid w:val="3F757833"/>
    <w:rsid w:val="3F8F13EC"/>
    <w:rsid w:val="3FA91AF8"/>
    <w:rsid w:val="3FB12305"/>
    <w:rsid w:val="3FBD160A"/>
    <w:rsid w:val="3FD26219"/>
    <w:rsid w:val="3FDC17FF"/>
    <w:rsid w:val="3FE00146"/>
    <w:rsid w:val="3FF77EE0"/>
    <w:rsid w:val="40012B8C"/>
    <w:rsid w:val="401250E1"/>
    <w:rsid w:val="401F0E81"/>
    <w:rsid w:val="403C1437"/>
    <w:rsid w:val="4045565F"/>
    <w:rsid w:val="407301E8"/>
    <w:rsid w:val="40783DBA"/>
    <w:rsid w:val="408808E9"/>
    <w:rsid w:val="40B37C67"/>
    <w:rsid w:val="40B84ECA"/>
    <w:rsid w:val="40C13F0F"/>
    <w:rsid w:val="40D40D0C"/>
    <w:rsid w:val="40D67521"/>
    <w:rsid w:val="40D85C59"/>
    <w:rsid w:val="40E704BF"/>
    <w:rsid w:val="40E9501B"/>
    <w:rsid w:val="40FF2D63"/>
    <w:rsid w:val="41115180"/>
    <w:rsid w:val="413A67B3"/>
    <w:rsid w:val="41435426"/>
    <w:rsid w:val="4144150F"/>
    <w:rsid w:val="41460602"/>
    <w:rsid w:val="415B3B32"/>
    <w:rsid w:val="417245E7"/>
    <w:rsid w:val="417F0B83"/>
    <w:rsid w:val="418973FA"/>
    <w:rsid w:val="419649EA"/>
    <w:rsid w:val="41C13F0B"/>
    <w:rsid w:val="41DD25F8"/>
    <w:rsid w:val="41EF214D"/>
    <w:rsid w:val="42037E1C"/>
    <w:rsid w:val="423E125F"/>
    <w:rsid w:val="425A325A"/>
    <w:rsid w:val="427719F0"/>
    <w:rsid w:val="42802890"/>
    <w:rsid w:val="42897856"/>
    <w:rsid w:val="429646C0"/>
    <w:rsid w:val="42AF6811"/>
    <w:rsid w:val="42B94D73"/>
    <w:rsid w:val="42C90624"/>
    <w:rsid w:val="42E077A8"/>
    <w:rsid w:val="42F85FB4"/>
    <w:rsid w:val="42FB1040"/>
    <w:rsid w:val="42FE62E2"/>
    <w:rsid w:val="430A22C1"/>
    <w:rsid w:val="434856AB"/>
    <w:rsid w:val="43507230"/>
    <w:rsid w:val="43534557"/>
    <w:rsid w:val="436D4387"/>
    <w:rsid w:val="43815668"/>
    <w:rsid w:val="43864A4B"/>
    <w:rsid w:val="43953C58"/>
    <w:rsid w:val="43B72F8A"/>
    <w:rsid w:val="43C32563"/>
    <w:rsid w:val="43E6130D"/>
    <w:rsid w:val="43EE55C2"/>
    <w:rsid w:val="44030D86"/>
    <w:rsid w:val="44085383"/>
    <w:rsid w:val="441F255B"/>
    <w:rsid w:val="442B1089"/>
    <w:rsid w:val="447A5F20"/>
    <w:rsid w:val="44810B94"/>
    <w:rsid w:val="44833E79"/>
    <w:rsid w:val="448F5E0F"/>
    <w:rsid w:val="44C81E19"/>
    <w:rsid w:val="44D67FE5"/>
    <w:rsid w:val="44DD609C"/>
    <w:rsid w:val="44F91350"/>
    <w:rsid w:val="450A5614"/>
    <w:rsid w:val="450B6706"/>
    <w:rsid w:val="451018CF"/>
    <w:rsid w:val="45283629"/>
    <w:rsid w:val="4536196F"/>
    <w:rsid w:val="45376B10"/>
    <w:rsid w:val="45660A97"/>
    <w:rsid w:val="4579066C"/>
    <w:rsid w:val="459E4EAC"/>
    <w:rsid w:val="45B30C85"/>
    <w:rsid w:val="45C60C9B"/>
    <w:rsid w:val="45D46688"/>
    <w:rsid w:val="45D608E4"/>
    <w:rsid w:val="45E402B5"/>
    <w:rsid w:val="45F377C7"/>
    <w:rsid w:val="46146C40"/>
    <w:rsid w:val="461E61D3"/>
    <w:rsid w:val="4634128F"/>
    <w:rsid w:val="463C6B26"/>
    <w:rsid w:val="464A35C8"/>
    <w:rsid w:val="4673449E"/>
    <w:rsid w:val="46B641C5"/>
    <w:rsid w:val="46B85F0B"/>
    <w:rsid w:val="46E67C57"/>
    <w:rsid w:val="47062E4E"/>
    <w:rsid w:val="470F7B84"/>
    <w:rsid w:val="47134B1E"/>
    <w:rsid w:val="471B3AA6"/>
    <w:rsid w:val="47316CC5"/>
    <w:rsid w:val="47525B6A"/>
    <w:rsid w:val="47592299"/>
    <w:rsid w:val="47647BBE"/>
    <w:rsid w:val="47800E69"/>
    <w:rsid w:val="47A43F2A"/>
    <w:rsid w:val="47A97D26"/>
    <w:rsid w:val="47B35EB7"/>
    <w:rsid w:val="47BA200F"/>
    <w:rsid w:val="47E710BF"/>
    <w:rsid w:val="47EA4396"/>
    <w:rsid w:val="47F61F6B"/>
    <w:rsid w:val="48050DAB"/>
    <w:rsid w:val="480E1A67"/>
    <w:rsid w:val="48243F00"/>
    <w:rsid w:val="48350CEA"/>
    <w:rsid w:val="48390792"/>
    <w:rsid w:val="485B4A80"/>
    <w:rsid w:val="48664F3B"/>
    <w:rsid w:val="486A2E2C"/>
    <w:rsid w:val="48835723"/>
    <w:rsid w:val="48854833"/>
    <w:rsid w:val="489052D8"/>
    <w:rsid w:val="48B3238E"/>
    <w:rsid w:val="48B95721"/>
    <w:rsid w:val="48CA2D70"/>
    <w:rsid w:val="48D00002"/>
    <w:rsid w:val="491C267E"/>
    <w:rsid w:val="492B253B"/>
    <w:rsid w:val="492C71B8"/>
    <w:rsid w:val="493F20AC"/>
    <w:rsid w:val="494720B1"/>
    <w:rsid w:val="49494A4B"/>
    <w:rsid w:val="496C2F64"/>
    <w:rsid w:val="49815DFF"/>
    <w:rsid w:val="498336B0"/>
    <w:rsid w:val="49905323"/>
    <w:rsid w:val="49BD2D08"/>
    <w:rsid w:val="49D96CFE"/>
    <w:rsid w:val="4A205EBB"/>
    <w:rsid w:val="4A2C4EA2"/>
    <w:rsid w:val="4A301E6F"/>
    <w:rsid w:val="4A39514C"/>
    <w:rsid w:val="4A471915"/>
    <w:rsid w:val="4A473033"/>
    <w:rsid w:val="4A6D63DA"/>
    <w:rsid w:val="4A795294"/>
    <w:rsid w:val="4A7D25B9"/>
    <w:rsid w:val="4A7F4A4D"/>
    <w:rsid w:val="4AA12A82"/>
    <w:rsid w:val="4AA25224"/>
    <w:rsid w:val="4AA317FA"/>
    <w:rsid w:val="4AA435A5"/>
    <w:rsid w:val="4AA849F0"/>
    <w:rsid w:val="4AD07B38"/>
    <w:rsid w:val="4ADA3D8D"/>
    <w:rsid w:val="4AE26358"/>
    <w:rsid w:val="4AE52FA0"/>
    <w:rsid w:val="4AF30DB1"/>
    <w:rsid w:val="4AFB6684"/>
    <w:rsid w:val="4B0C16BA"/>
    <w:rsid w:val="4B0E45AE"/>
    <w:rsid w:val="4B1705B3"/>
    <w:rsid w:val="4B1D649C"/>
    <w:rsid w:val="4B1E4B11"/>
    <w:rsid w:val="4B24135F"/>
    <w:rsid w:val="4B2E65FA"/>
    <w:rsid w:val="4B421BB2"/>
    <w:rsid w:val="4B4474E5"/>
    <w:rsid w:val="4B691F4E"/>
    <w:rsid w:val="4B75484C"/>
    <w:rsid w:val="4B8A0BEA"/>
    <w:rsid w:val="4BA0049D"/>
    <w:rsid w:val="4BA35435"/>
    <w:rsid w:val="4BDE5FA8"/>
    <w:rsid w:val="4BEC1793"/>
    <w:rsid w:val="4C1848F2"/>
    <w:rsid w:val="4C494CA0"/>
    <w:rsid w:val="4C533F11"/>
    <w:rsid w:val="4C66651A"/>
    <w:rsid w:val="4C88674A"/>
    <w:rsid w:val="4CB07B4B"/>
    <w:rsid w:val="4CC84F4B"/>
    <w:rsid w:val="4CDC29B3"/>
    <w:rsid w:val="4CDE6E02"/>
    <w:rsid w:val="4D1B463A"/>
    <w:rsid w:val="4D3116A9"/>
    <w:rsid w:val="4D636027"/>
    <w:rsid w:val="4D6E07D9"/>
    <w:rsid w:val="4D807CF2"/>
    <w:rsid w:val="4D857ECD"/>
    <w:rsid w:val="4D9D79D0"/>
    <w:rsid w:val="4DA02702"/>
    <w:rsid w:val="4DA334D5"/>
    <w:rsid w:val="4DB85FCD"/>
    <w:rsid w:val="4DD32F6C"/>
    <w:rsid w:val="4DED7A88"/>
    <w:rsid w:val="4E044153"/>
    <w:rsid w:val="4E413E77"/>
    <w:rsid w:val="4E42221E"/>
    <w:rsid w:val="4E4D2ECD"/>
    <w:rsid w:val="4E510975"/>
    <w:rsid w:val="4E5417FB"/>
    <w:rsid w:val="4E6A5E86"/>
    <w:rsid w:val="4E9949A9"/>
    <w:rsid w:val="4E9A0FB4"/>
    <w:rsid w:val="4EAB1493"/>
    <w:rsid w:val="4EAB44C7"/>
    <w:rsid w:val="4EAC4918"/>
    <w:rsid w:val="4EBF3E53"/>
    <w:rsid w:val="4EC8089E"/>
    <w:rsid w:val="4F195CC4"/>
    <w:rsid w:val="4F48622B"/>
    <w:rsid w:val="4F4C1138"/>
    <w:rsid w:val="4F9236AC"/>
    <w:rsid w:val="4FAE08F3"/>
    <w:rsid w:val="4FC64E61"/>
    <w:rsid w:val="4FE53A14"/>
    <w:rsid w:val="4FE73487"/>
    <w:rsid w:val="50030B8D"/>
    <w:rsid w:val="500B3515"/>
    <w:rsid w:val="502E3CA9"/>
    <w:rsid w:val="50314679"/>
    <w:rsid w:val="5064421C"/>
    <w:rsid w:val="507F57B8"/>
    <w:rsid w:val="508E4D7F"/>
    <w:rsid w:val="50937924"/>
    <w:rsid w:val="50951ED7"/>
    <w:rsid w:val="5098764B"/>
    <w:rsid w:val="50A74961"/>
    <w:rsid w:val="50B25B0C"/>
    <w:rsid w:val="50B763D2"/>
    <w:rsid w:val="50EE6309"/>
    <w:rsid w:val="51305B64"/>
    <w:rsid w:val="51363145"/>
    <w:rsid w:val="51364B45"/>
    <w:rsid w:val="513804B0"/>
    <w:rsid w:val="51420392"/>
    <w:rsid w:val="515B5D3D"/>
    <w:rsid w:val="51675CB9"/>
    <w:rsid w:val="516F0997"/>
    <w:rsid w:val="51757CC4"/>
    <w:rsid w:val="518179A3"/>
    <w:rsid w:val="518F3A1F"/>
    <w:rsid w:val="519258C4"/>
    <w:rsid w:val="51A01C33"/>
    <w:rsid w:val="51B25E64"/>
    <w:rsid w:val="51BD6854"/>
    <w:rsid w:val="51E2767F"/>
    <w:rsid w:val="52135A0F"/>
    <w:rsid w:val="522A0935"/>
    <w:rsid w:val="52366B1F"/>
    <w:rsid w:val="524F1927"/>
    <w:rsid w:val="525D1EC2"/>
    <w:rsid w:val="525D7FA8"/>
    <w:rsid w:val="52697CCD"/>
    <w:rsid w:val="52953C39"/>
    <w:rsid w:val="52B04E98"/>
    <w:rsid w:val="52B64DFF"/>
    <w:rsid w:val="52DC3345"/>
    <w:rsid w:val="52E27DCF"/>
    <w:rsid w:val="52E97652"/>
    <w:rsid w:val="52F23592"/>
    <w:rsid w:val="5300077F"/>
    <w:rsid w:val="53113EFB"/>
    <w:rsid w:val="5312301D"/>
    <w:rsid w:val="533A7589"/>
    <w:rsid w:val="53480209"/>
    <w:rsid w:val="53502E43"/>
    <w:rsid w:val="5353555B"/>
    <w:rsid w:val="53716AEB"/>
    <w:rsid w:val="537D4290"/>
    <w:rsid w:val="53AD7131"/>
    <w:rsid w:val="53B60DEC"/>
    <w:rsid w:val="53BB1246"/>
    <w:rsid w:val="53BD6067"/>
    <w:rsid w:val="53D01C8A"/>
    <w:rsid w:val="54241F3C"/>
    <w:rsid w:val="543C1569"/>
    <w:rsid w:val="543E20F7"/>
    <w:rsid w:val="5442718D"/>
    <w:rsid w:val="54453C44"/>
    <w:rsid w:val="54543EF4"/>
    <w:rsid w:val="545B0FD9"/>
    <w:rsid w:val="54752D97"/>
    <w:rsid w:val="547855CD"/>
    <w:rsid w:val="548C2954"/>
    <w:rsid w:val="549C6272"/>
    <w:rsid w:val="54A43D02"/>
    <w:rsid w:val="54A45E24"/>
    <w:rsid w:val="54A96DDF"/>
    <w:rsid w:val="54B53F9C"/>
    <w:rsid w:val="54C14569"/>
    <w:rsid w:val="54C8265A"/>
    <w:rsid w:val="54CE69D4"/>
    <w:rsid w:val="54DB34A2"/>
    <w:rsid w:val="54F07FFB"/>
    <w:rsid w:val="54FC0BC8"/>
    <w:rsid w:val="550602E1"/>
    <w:rsid w:val="55174D2D"/>
    <w:rsid w:val="551B525E"/>
    <w:rsid w:val="552B03EF"/>
    <w:rsid w:val="55630439"/>
    <w:rsid w:val="55744596"/>
    <w:rsid w:val="55807275"/>
    <w:rsid w:val="55871F53"/>
    <w:rsid w:val="558A6F36"/>
    <w:rsid w:val="559978BB"/>
    <w:rsid w:val="55A533EE"/>
    <w:rsid w:val="55AF50AF"/>
    <w:rsid w:val="55B044BB"/>
    <w:rsid w:val="55BA57FD"/>
    <w:rsid w:val="55DE77BB"/>
    <w:rsid w:val="55F4709E"/>
    <w:rsid w:val="55FB1C65"/>
    <w:rsid w:val="56036150"/>
    <w:rsid w:val="560B5264"/>
    <w:rsid w:val="561026D5"/>
    <w:rsid w:val="563866D6"/>
    <w:rsid w:val="563B15F3"/>
    <w:rsid w:val="5648333A"/>
    <w:rsid w:val="56793BB2"/>
    <w:rsid w:val="567E0EB9"/>
    <w:rsid w:val="569F0FE1"/>
    <w:rsid w:val="56AB3715"/>
    <w:rsid w:val="56B513DD"/>
    <w:rsid w:val="56BC5F51"/>
    <w:rsid w:val="56C85458"/>
    <w:rsid w:val="56EF0A9B"/>
    <w:rsid w:val="56F30185"/>
    <w:rsid w:val="570918D1"/>
    <w:rsid w:val="570A6552"/>
    <w:rsid w:val="57227D29"/>
    <w:rsid w:val="5741264F"/>
    <w:rsid w:val="575609BA"/>
    <w:rsid w:val="575F1D20"/>
    <w:rsid w:val="576212E9"/>
    <w:rsid w:val="577A1F92"/>
    <w:rsid w:val="57902C70"/>
    <w:rsid w:val="57A00B40"/>
    <w:rsid w:val="57CB3ED5"/>
    <w:rsid w:val="57CD598A"/>
    <w:rsid w:val="57D90137"/>
    <w:rsid w:val="57DC6C57"/>
    <w:rsid w:val="58080004"/>
    <w:rsid w:val="580A7915"/>
    <w:rsid w:val="580C68EE"/>
    <w:rsid w:val="584E33DD"/>
    <w:rsid w:val="58553C97"/>
    <w:rsid w:val="58700EFC"/>
    <w:rsid w:val="58B9363C"/>
    <w:rsid w:val="58C53A92"/>
    <w:rsid w:val="59097B86"/>
    <w:rsid w:val="592C069B"/>
    <w:rsid w:val="59356314"/>
    <w:rsid w:val="59453D0E"/>
    <w:rsid w:val="59505E53"/>
    <w:rsid w:val="596C35AE"/>
    <w:rsid w:val="598D0DDA"/>
    <w:rsid w:val="59B97285"/>
    <w:rsid w:val="59C211EA"/>
    <w:rsid w:val="59F70B63"/>
    <w:rsid w:val="5A050EB6"/>
    <w:rsid w:val="5A084AA9"/>
    <w:rsid w:val="5A263F84"/>
    <w:rsid w:val="5A3263D9"/>
    <w:rsid w:val="5A3953F8"/>
    <w:rsid w:val="5A40448A"/>
    <w:rsid w:val="5A58035D"/>
    <w:rsid w:val="5A601441"/>
    <w:rsid w:val="5A7714DA"/>
    <w:rsid w:val="5AA47384"/>
    <w:rsid w:val="5AAB5BBE"/>
    <w:rsid w:val="5AEE1EC9"/>
    <w:rsid w:val="5AF07354"/>
    <w:rsid w:val="5B2055A9"/>
    <w:rsid w:val="5B335A49"/>
    <w:rsid w:val="5B4950FE"/>
    <w:rsid w:val="5B58131B"/>
    <w:rsid w:val="5B5F4FC2"/>
    <w:rsid w:val="5B67281F"/>
    <w:rsid w:val="5B6A1BFC"/>
    <w:rsid w:val="5B773DB6"/>
    <w:rsid w:val="5B855E65"/>
    <w:rsid w:val="5BCD5C92"/>
    <w:rsid w:val="5BDF0770"/>
    <w:rsid w:val="5C230851"/>
    <w:rsid w:val="5C2B3DCC"/>
    <w:rsid w:val="5C395F7B"/>
    <w:rsid w:val="5C3C4E83"/>
    <w:rsid w:val="5C44055D"/>
    <w:rsid w:val="5C5364E1"/>
    <w:rsid w:val="5C65146B"/>
    <w:rsid w:val="5C9A7351"/>
    <w:rsid w:val="5C9C2DDB"/>
    <w:rsid w:val="5C9E5D68"/>
    <w:rsid w:val="5CB34E48"/>
    <w:rsid w:val="5CBE1A7F"/>
    <w:rsid w:val="5CC832A5"/>
    <w:rsid w:val="5CE26CE0"/>
    <w:rsid w:val="5CED348F"/>
    <w:rsid w:val="5CEE68A9"/>
    <w:rsid w:val="5D037947"/>
    <w:rsid w:val="5D4E2515"/>
    <w:rsid w:val="5D5F2F27"/>
    <w:rsid w:val="5D644CA1"/>
    <w:rsid w:val="5D6C075C"/>
    <w:rsid w:val="5D8358C7"/>
    <w:rsid w:val="5D9A4683"/>
    <w:rsid w:val="5DD61F9B"/>
    <w:rsid w:val="5DDB7916"/>
    <w:rsid w:val="5DDC0C41"/>
    <w:rsid w:val="5E05004B"/>
    <w:rsid w:val="5E062FC6"/>
    <w:rsid w:val="5E166EFF"/>
    <w:rsid w:val="5E276E6A"/>
    <w:rsid w:val="5E58100F"/>
    <w:rsid w:val="5E855766"/>
    <w:rsid w:val="5E8E741B"/>
    <w:rsid w:val="5E974F6B"/>
    <w:rsid w:val="5EBB38AB"/>
    <w:rsid w:val="5EF11F74"/>
    <w:rsid w:val="5EF81E94"/>
    <w:rsid w:val="5F062F5E"/>
    <w:rsid w:val="5F1462DF"/>
    <w:rsid w:val="5F1C1D90"/>
    <w:rsid w:val="5F1D0B0D"/>
    <w:rsid w:val="5F2B0FB6"/>
    <w:rsid w:val="5F3262C5"/>
    <w:rsid w:val="5F374589"/>
    <w:rsid w:val="5F3B4806"/>
    <w:rsid w:val="5F404890"/>
    <w:rsid w:val="5F6B0F7F"/>
    <w:rsid w:val="5F9A0A84"/>
    <w:rsid w:val="5F9F4848"/>
    <w:rsid w:val="5FAC3394"/>
    <w:rsid w:val="5FB30E43"/>
    <w:rsid w:val="5FB62A4F"/>
    <w:rsid w:val="5FBD3214"/>
    <w:rsid w:val="5FCE0268"/>
    <w:rsid w:val="5FCE20D4"/>
    <w:rsid w:val="5FDB0365"/>
    <w:rsid w:val="5FED1084"/>
    <w:rsid w:val="60134255"/>
    <w:rsid w:val="60207068"/>
    <w:rsid w:val="602F7F51"/>
    <w:rsid w:val="603D45EF"/>
    <w:rsid w:val="60606AC6"/>
    <w:rsid w:val="606906B9"/>
    <w:rsid w:val="607E37C4"/>
    <w:rsid w:val="60875D74"/>
    <w:rsid w:val="608D5636"/>
    <w:rsid w:val="60B546A3"/>
    <w:rsid w:val="60BA5A54"/>
    <w:rsid w:val="60C42370"/>
    <w:rsid w:val="60CC584A"/>
    <w:rsid w:val="60E4680D"/>
    <w:rsid w:val="60EB3F57"/>
    <w:rsid w:val="60F012BB"/>
    <w:rsid w:val="60F113CB"/>
    <w:rsid w:val="61214E6E"/>
    <w:rsid w:val="61235F39"/>
    <w:rsid w:val="613237B6"/>
    <w:rsid w:val="613A14D1"/>
    <w:rsid w:val="6140463C"/>
    <w:rsid w:val="61470973"/>
    <w:rsid w:val="617F343A"/>
    <w:rsid w:val="6181447E"/>
    <w:rsid w:val="618A050C"/>
    <w:rsid w:val="61A121C3"/>
    <w:rsid w:val="61A45431"/>
    <w:rsid w:val="61A7377B"/>
    <w:rsid w:val="61AC3AD8"/>
    <w:rsid w:val="61C37A46"/>
    <w:rsid w:val="61D44EEC"/>
    <w:rsid w:val="61D74AFD"/>
    <w:rsid w:val="61F60396"/>
    <w:rsid w:val="6205507F"/>
    <w:rsid w:val="620B15C6"/>
    <w:rsid w:val="6225323D"/>
    <w:rsid w:val="623B02EC"/>
    <w:rsid w:val="624B13C2"/>
    <w:rsid w:val="624B2183"/>
    <w:rsid w:val="625851B9"/>
    <w:rsid w:val="625D2B7A"/>
    <w:rsid w:val="62676743"/>
    <w:rsid w:val="626B6261"/>
    <w:rsid w:val="62BB36AA"/>
    <w:rsid w:val="62CB6B8A"/>
    <w:rsid w:val="62CC2F46"/>
    <w:rsid w:val="62D0579B"/>
    <w:rsid w:val="62D43241"/>
    <w:rsid w:val="62E93A5C"/>
    <w:rsid w:val="62EC2C27"/>
    <w:rsid w:val="62EF2BCF"/>
    <w:rsid w:val="63080BD9"/>
    <w:rsid w:val="63266416"/>
    <w:rsid w:val="632E74FD"/>
    <w:rsid w:val="633F7FC1"/>
    <w:rsid w:val="634A0B7C"/>
    <w:rsid w:val="63537070"/>
    <w:rsid w:val="635964ED"/>
    <w:rsid w:val="63776B88"/>
    <w:rsid w:val="63965B62"/>
    <w:rsid w:val="639A4F75"/>
    <w:rsid w:val="63B9111E"/>
    <w:rsid w:val="63C71BB0"/>
    <w:rsid w:val="63F034B5"/>
    <w:rsid w:val="640D20D5"/>
    <w:rsid w:val="641A179E"/>
    <w:rsid w:val="64252FB3"/>
    <w:rsid w:val="642B6066"/>
    <w:rsid w:val="643D0BD1"/>
    <w:rsid w:val="64650C52"/>
    <w:rsid w:val="648E48EE"/>
    <w:rsid w:val="64D31600"/>
    <w:rsid w:val="64E21D4B"/>
    <w:rsid w:val="650F7A2A"/>
    <w:rsid w:val="651B585B"/>
    <w:rsid w:val="65432B19"/>
    <w:rsid w:val="654459EA"/>
    <w:rsid w:val="654F0BA6"/>
    <w:rsid w:val="655349D4"/>
    <w:rsid w:val="656C5174"/>
    <w:rsid w:val="657A7B80"/>
    <w:rsid w:val="65A74F03"/>
    <w:rsid w:val="65B41E2C"/>
    <w:rsid w:val="65CA48FE"/>
    <w:rsid w:val="65D67A7A"/>
    <w:rsid w:val="65E0550D"/>
    <w:rsid w:val="65EB046D"/>
    <w:rsid w:val="65F24B11"/>
    <w:rsid w:val="664A7B69"/>
    <w:rsid w:val="6652597B"/>
    <w:rsid w:val="667F64D5"/>
    <w:rsid w:val="668B7656"/>
    <w:rsid w:val="66A07F3B"/>
    <w:rsid w:val="66A842E3"/>
    <w:rsid w:val="66BD3E8F"/>
    <w:rsid w:val="66D81B15"/>
    <w:rsid w:val="66EA4B23"/>
    <w:rsid w:val="66EB68C4"/>
    <w:rsid w:val="66FD16F4"/>
    <w:rsid w:val="67106FEA"/>
    <w:rsid w:val="6711663F"/>
    <w:rsid w:val="67145DBC"/>
    <w:rsid w:val="67161777"/>
    <w:rsid w:val="672A1997"/>
    <w:rsid w:val="67415EAF"/>
    <w:rsid w:val="675804B5"/>
    <w:rsid w:val="676A3CE7"/>
    <w:rsid w:val="676E729D"/>
    <w:rsid w:val="677D135A"/>
    <w:rsid w:val="678B609D"/>
    <w:rsid w:val="678E1DBC"/>
    <w:rsid w:val="67973A66"/>
    <w:rsid w:val="679B218A"/>
    <w:rsid w:val="67A10F95"/>
    <w:rsid w:val="67F94A94"/>
    <w:rsid w:val="6809610A"/>
    <w:rsid w:val="681921DD"/>
    <w:rsid w:val="681A636D"/>
    <w:rsid w:val="682E568A"/>
    <w:rsid w:val="68634720"/>
    <w:rsid w:val="686A6778"/>
    <w:rsid w:val="68920999"/>
    <w:rsid w:val="689D3589"/>
    <w:rsid w:val="689D463F"/>
    <w:rsid w:val="68A15519"/>
    <w:rsid w:val="68B5600F"/>
    <w:rsid w:val="68E52393"/>
    <w:rsid w:val="691969A0"/>
    <w:rsid w:val="691E0EBC"/>
    <w:rsid w:val="69330183"/>
    <w:rsid w:val="695D1DEC"/>
    <w:rsid w:val="696634E1"/>
    <w:rsid w:val="698A14CB"/>
    <w:rsid w:val="69A240B6"/>
    <w:rsid w:val="69A42344"/>
    <w:rsid w:val="69AC0D74"/>
    <w:rsid w:val="69B7615C"/>
    <w:rsid w:val="69B81092"/>
    <w:rsid w:val="69BE2A40"/>
    <w:rsid w:val="69C32E83"/>
    <w:rsid w:val="69C93791"/>
    <w:rsid w:val="69F32DFD"/>
    <w:rsid w:val="6A1A05C8"/>
    <w:rsid w:val="6A222986"/>
    <w:rsid w:val="6A262872"/>
    <w:rsid w:val="6A263191"/>
    <w:rsid w:val="6A3404E6"/>
    <w:rsid w:val="6A405CA3"/>
    <w:rsid w:val="6A45104F"/>
    <w:rsid w:val="6A550EA2"/>
    <w:rsid w:val="6A7210A5"/>
    <w:rsid w:val="6A7E3A91"/>
    <w:rsid w:val="6A8A7E04"/>
    <w:rsid w:val="6A8D4310"/>
    <w:rsid w:val="6A8F169A"/>
    <w:rsid w:val="6A925CAB"/>
    <w:rsid w:val="6A9514A9"/>
    <w:rsid w:val="6AAB5ADD"/>
    <w:rsid w:val="6ACC37C6"/>
    <w:rsid w:val="6AE36802"/>
    <w:rsid w:val="6AE82EE2"/>
    <w:rsid w:val="6AEE6EA0"/>
    <w:rsid w:val="6AF5529A"/>
    <w:rsid w:val="6AF84851"/>
    <w:rsid w:val="6B1835DD"/>
    <w:rsid w:val="6B196336"/>
    <w:rsid w:val="6B4E4AA0"/>
    <w:rsid w:val="6B56664B"/>
    <w:rsid w:val="6B63008F"/>
    <w:rsid w:val="6B725708"/>
    <w:rsid w:val="6B78180E"/>
    <w:rsid w:val="6B8A6B27"/>
    <w:rsid w:val="6B8F4B23"/>
    <w:rsid w:val="6B920CC0"/>
    <w:rsid w:val="6BBB2506"/>
    <w:rsid w:val="6C0C0425"/>
    <w:rsid w:val="6C1C7209"/>
    <w:rsid w:val="6C232D04"/>
    <w:rsid w:val="6C3127B1"/>
    <w:rsid w:val="6C56181C"/>
    <w:rsid w:val="6CAB2D2C"/>
    <w:rsid w:val="6CAC041E"/>
    <w:rsid w:val="6CB241AE"/>
    <w:rsid w:val="6CC81CAC"/>
    <w:rsid w:val="6CCA01E7"/>
    <w:rsid w:val="6CE314D5"/>
    <w:rsid w:val="6D164508"/>
    <w:rsid w:val="6D1745A7"/>
    <w:rsid w:val="6D3248B5"/>
    <w:rsid w:val="6D3F35C5"/>
    <w:rsid w:val="6D621566"/>
    <w:rsid w:val="6D6426EB"/>
    <w:rsid w:val="6D6E70BE"/>
    <w:rsid w:val="6D8A6D78"/>
    <w:rsid w:val="6D8E27DD"/>
    <w:rsid w:val="6D9060D1"/>
    <w:rsid w:val="6DBC5278"/>
    <w:rsid w:val="6DC6675B"/>
    <w:rsid w:val="6E1C4108"/>
    <w:rsid w:val="6E1F3DA0"/>
    <w:rsid w:val="6E666383"/>
    <w:rsid w:val="6E750AE2"/>
    <w:rsid w:val="6E7709B6"/>
    <w:rsid w:val="6E804183"/>
    <w:rsid w:val="6E8401B7"/>
    <w:rsid w:val="6E860B80"/>
    <w:rsid w:val="6E8F6ACF"/>
    <w:rsid w:val="6EB631D8"/>
    <w:rsid w:val="6EBD78F0"/>
    <w:rsid w:val="6ED116EC"/>
    <w:rsid w:val="6ED737BE"/>
    <w:rsid w:val="6EE85C42"/>
    <w:rsid w:val="6F102F1F"/>
    <w:rsid w:val="6F284A0D"/>
    <w:rsid w:val="6F444471"/>
    <w:rsid w:val="6F542E07"/>
    <w:rsid w:val="6F6349FB"/>
    <w:rsid w:val="6F6C78AB"/>
    <w:rsid w:val="6F82194C"/>
    <w:rsid w:val="6F841F18"/>
    <w:rsid w:val="6F8664A3"/>
    <w:rsid w:val="6F8A1954"/>
    <w:rsid w:val="6F940E09"/>
    <w:rsid w:val="6F944F0F"/>
    <w:rsid w:val="6FBF410E"/>
    <w:rsid w:val="6FC139BA"/>
    <w:rsid w:val="6FD50FBC"/>
    <w:rsid w:val="6FF130C8"/>
    <w:rsid w:val="70062CAF"/>
    <w:rsid w:val="7014394B"/>
    <w:rsid w:val="7031075B"/>
    <w:rsid w:val="7057311B"/>
    <w:rsid w:val="708D153B"/>
    <w:rsid w:val="70917F5F"/>
    <w:rsid w:val="70A8234D"/>
    <w:rsid w:val="70B00B1C"/>
    <w:rsid w:val="70B33AF1"/>
    <w:rsid w:val="70BA5B9E"/>
    <w:rsid w:val="70C137A9"/>
    <w:rsid w:val="70C318A6"/>
    <w:rsid w:val="70C649E5"/>
    <w:rsid w:val="70D35FF0"/>
    <w:rsid w:val="70EF38FA"/>
    <w:rsid w:val="70F2453D"/>
    <w:rsid w:val="70F907D3"/>
    <w:rsid w:val="710E4E1A"/>
    <w:rsid w:val="71145896"/>
    <w:rsid w:val="71184D93"/>
    <w:rsid w:val="713C109E"/>
    <w:rsid w:val="71445893"/>
    <w:rsid w:val="715C4F58"/>
    <w:rsid w:val="715F4C3F"/>
    <w:rsid w:val="716A720A"/>
    <w:rsid w:val="71711557"/>
    <w:rsid w:val="71787C6C"/>
    <w:rsid w:val="719C3ACB"/>
    <w:rsid w:val="719E46CB"/>
    <w:rsid w:val="71A96665"/>
    <w:rsid w:val="71BC7F43"/>
    <w:rsid w:val="71BF639A"/>
    <w:rsid w:val="71C93ECA"/>
    <w:rsid w:val="71D447B0"/>
    <w:rsid w:val="71F649AC"/>
    <w:rsid w:val="71F832B6"/>
    <w:rsid w:val="72095505"/>
    <w:rsid w:val="721D6804"/>
    <w:rsid w:val="721E009D"/>
    <w:rsid w:val="72317EC5"/>
    <w:rsid w:val="723C7CFC"/>
    <w:rsid w:val="72553641"/>
    <w:rsid w:val="729A4AEC"/>
    <w:rsid w:val="729A56BD"/>
    <w:rsid w:val="72C87369"/>
    <w:rsid w:val="72D141A7"/>
    <w:rsid w:val="73283238"/>
    <w:rsid w:val="73296914"/>
    <w:rsid w:val="73393EA7"/>
    <w:rsid w:val="73877A4D"/>
    <w:rsid w:val="739577FB"/>
    <w:rsid w:val="73B56088"/>
    <w:rsid w:val="73BC517E"/>
    <w:rsid w:val="73C623AA"/>
    <w:rsid w:val="73C71A0D"/>
    <w:rsid w:val="73CD286B"/>
    <w:rsid w:val="73ED583E"/>
    <w:rsid w:val="74173CA1"/>
    <w:rsid w:val="742D2D8A"/>
    <w:rsid w:val="7441476E"/>
    <w:rsid w:val="74705AED"/>
    <w:rsid w:val="74747B5A"/>
    <w:rsid w:val="74791964"/>
    <w:rsid w:val="748407E1"/>
    <w:rsid w:val="748872A7"/>
    <w:rsid w:val="749A5F10"/>
    <w:rsid w:val="74A64982"/>
    <w:rsid w:val="74C17C40"/>
    <w:rsid w:val="74DD1620"/>
    <w:rsid w:val="74E60540"/>
    <w:rsid w:val="750C68DE"/>
    <w:rsid w:val="752E15C1"/>
    <w:rsid w:val="75361F3E"/>
    <w:rsid w:val="753A2248"/>
    <w:rsid w:val="754D63EE"/>
    <w:rsid w:val="754E24F4"/>
    <w:rsid w:val="75500180"/>
    <w:rsid w:val="75503295"/>
    <w:rsid w:val="75585E6F"/>
    <w:rsid w:val="756C6B66"/>
    <w:rsid w:val="75790777"/>
    <w:rsid w:val="758B1638"/>
    <w:rsid w:val="75A3139C"/>
    <w:rsid w:val="75CA4425"/>
    <w:rsid w:val="75CD5D71"/>
    <w:rsid w:val="75F2431A"/>
    <w:rsid w:val="75F27F47"/>
    <w:rsid w:val="762060B9"/>
    <w:rsid w:val="762B1C8A"/>
    <w:rsid w:val="76405B76"/>
    <w:rsid w:val="76445F0F"/>
    <w:rsid w:val="76655B27"/>
    <w:rsid w:val="766B13DC"/>
    <w:rsid w:val="766C763F"/>
    <w:rsid w:val="766E1211"/>
    <w:rsid w:val="7671148D"/>
    <w:rsid w:val="7675556E"/>
    <w:rsid w:val="767A37A0"/>
    <w:rsid w:val="767C7353"/>
    <w:rsid w:val="76AD7243"/>
    <w:rsid w:val="76BD36FB"/>
    <w:rsid w:val="76E07829"/>
    <w:rsid w:val="76E5594C"/>
    <w:rsid w:val="76FA043A"/>
    <w:rsid w:val="7713468E"/>
    <w:rsid w:val="772E5E61"/>
    <w:rsid w:val="77336153"/>
    <w:rsid w:val="77366682"/>
    <w:rsid w:val="774E066F"/>
    <w:rsid w:val="775719EE"/>
    <w:rsid w:val="776C4D2A"/>
    <w:rsid w:val="77791A2E"/>
    <w:rsid w:val="77AB228C"/>
    <w:rsid w:val="77B3444B"/>
    <w:rsid w:val="77B81FFB"/>
    <w:rsid w:val="77B84632"/>
    <w:rsid w:val="77C34A7F"/>
    <w:rsid w:val="77DE5445"/>
    <w:rsid w:val="77EC6238"/>
    <w:rsid w:val="78044947"/>
    <w:rsid w:val="78196801"/>
    <w:rsid w:val="781F62EA"/>
    <w:rsid w:val="78246EFD"/>
    <w:rsid w:val="78521C3D"/>
    <w:rsid w:val="785317C6"/>
    <w:rsid w:val="78626C9A"/>
    <w:rsid w:val="78726914"/>
    <w:rsid w:val="787333DA"/>
    <w:rsid w:val="787D5991"/>
    <w:rsid w:val="78874278"/>
    <w:rsid w:val="788E1111"/>
    <w:rsid w:val="78B453A5"/>
    <w:rsid w:val="78CF6535"/>
    <w:rsid w:val="78D41D6B"/>
    <w:rsid w:val="78E20EF4"/>
    <w:rsid w:val="78E346F3"/>
    <w:rsid w:val="78F11710"/>
    <w:rsid w:val="791A66D3"/>
    <w:rsid w:val="795419FB"/>
    <w:rsid w:val="79640421"/>
    <w:rsid w:val="79872007"/>
    <w:rsid w:val="79875610"/>
    <w:rsid w:val="799232BF"/>
    <w:rsid w:val="79A05AFA"/>
    <w:rsid w:val="79A324AF"/>
    <w:rsid w:val="79E4167C"/>
    <w:rsid w:val="7A077708"/>
    <w:rsid w:val="7A1C60D4"/>
    <w:rsid w:val="7A291DCC"/>
    <w:rsid w:val="7A580B08"/>
    <w:rsid w:val="7A741260"/>
    <w:rsid w:val="7A8D78C2"/>
    <w:rsid w:val="7A8E6613"/>
    <w:rsid w:val="7AB7322E"/>
    <w:rsid w:val="7AB76442"/>
    <w:rsid w:val="7AC242BF"/>
    <w:rsid w:val="7AC84976"/>
    <w:rsid w:val="7AD7293D"/>
    <w:rsid w:val="7AE74601"/>
    <w:rsid w:val="7B022A4A"/>
    <w:rsid w:val="7B0A756E"/>
    <w:rsid w:val="7B3615D6"/>
    <w:rsid w:val="7B3952AF"/>
    <w:rsid w:val="7B463D1E"/>
    <w:rsid w:val="7B4C641F"/>
    <w:rsid w:val="7B642BC2"/>
    <w:rsid w:val="7BA304B7"/>
    <w:rsid w:val="7BA9397D"/>
    <w:rsid w:val="7BBF0531"/>
    <w:rsid w:val="7BCE2FAB"/>
    <w:rsid w:val="7BD618A0"/>
    <w:rsid w:val="7BDB65A0"/>
    <w:rsid w:val="7BF85DBB"/>
    <w:rsid w:val="7C04418D"/>
    <w:rsid w:val="7C04603C"/>
    <w:rsid w:val="7C2468DB"/>
    <w:rsid w:val="7C4A1446"/>
    <w:rsid w:val="7C5277F5"/>
    <w:rsid w:val="7C976006"/>
    <w:rsid w:val="7CA333EE"/>
    <w:rsid w:val="7CB25ADC"/>
    <w:rsid w:val="7CC96C2D"/>
    <w:rsid w:val="7CDE41E2"/>
    <w:rsid w:val="7D193C74"/>
    <w:rsid w:val="7D1E0E25"/>
    <w:rsid w:val="7D2A4D27"/>
    <w:rsid w:val="7D362777"/>
    <w:rsid w:val="7D3E2F93"/>
    <w:rsid w:val="7D577456"/>
    <w:rsid w:val="7D7175E1"/>
    <w:rsid w:val="7DA809E6"/>
    <w:rsid w:val="7DBA1506"/>
    <w:rsid w:val="7DCA4D0A"/>
    <w:rsid w:val="7DCE79C9"/>
    <w:rsid w:val="7DF471BA"/>
    <w:rsid w:val="7DFF1CC0"/>
    <w:rsid w:val="7E0D3267"/>
    <w:rsid w:val="7E134542"/>
    <w:rsid w:val="7E1C7887"/>
    <w:rsid w:val="7E1F68B4"/>
    <w:rsid w:val="7E2A7797"/>
    <w:rsid w:val="7E60215B"/>
    <w:rsid w:val="7E755F9F"/>
    <w:rsid w:val="7E8C092D"/>
    <w:rsid w:val="7E956113"/>
    <w:rsid w:val="7E97468C"/>
    <w:rsid w:val="7EAE7B67"/>
    <w:rsid w:val="7EB04FAB"/>
    <w:rsid w:val="7EDD5BD7"/>
    <w:rsid w:val="7EE0422E"/>
    <w:rsid w:val="7EF504B8"/>
    <w:rsid w:val="7F0157AC"/>
    <w:rsid w:val="7F065FCC"/>
    <w:rsid w:val="7F0C1230"/>
    <w:rsid w:val="7F3C304D"/>
    <w:rsid w:val="7F4129C2"/>
    <w:rsid w:val="7F41592B"/>
    <w:rsid w:val="7F486E35"/>
    <w:rsid w:val="7F644DF7"/>
    <w:rsid w:val="7F707777"/>
    <w:rsid w:val="7F8538EC"/>
    <w:rsid w:val="7F880E8E"/>
    <w:rsid w:val="7F9F6885"/>
    <w:rsid w:val="7FB14D04"/>
    <w:rsid w:val="7FB170F2"/>
    <w:rsid w:val="7FB849B9"/>
    <w:rsid w:val="7FD06A84"/>
    <w:rsid w:val="7FE328C1"/>
    <w:rsid w:val="7FF6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5"/>
    <w:link w:val="27"/>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6">
    <w:name w:val="Document Map"/>
    <w:basedOn w:val="1"/>
    <w:link w:val="38"/>
    <w:semiHidden/>
    <w:qFormat/>
    <w:uiPriority w:val="0"/>
    <w:pPr>
      <w:shd w:val="clear" w:color="auto" w:fill="000080"/>
    </w:pPr>
    <w:rPr>
      <w:rFonts w:ascii="Times New Roman" w:hAnsi="Times New Roman" w:eastAsia="宋体" w:cs="Times New Roman"/>
      <w:kern w:val="0"/>
      <w:sz w:val="24"/>
      <w:szCs w:val="24"/>
    </w:rPr>
  </w:style>
  <w:style w:type="paragraph" w:styleId="7">
    <w:name w:val="annotation text"/>
    <w:basedOn w:val="1"/>
    <w:link w:val="54"/>
    <w:semiHidden/>
    <w:unhideWhenUsed/>
    <w:qFormat/>
    <w:uiPriority w:val="99"/>
    <w:pPr>
      <w:jc w:val="left"/>
    </w:pPr>
  </w:style>
  <w:style w:type="paragraph" w:styleId="8">
    <w:name w:val="Body Text"/>
    <w:basedOn w:val="1"/>
    <w:link w:val="33"/>
    <w:qFormat/>
    <w:uiPriority w:val="0"/>
    <w:rPr>
      <w:rFonts w:ascii="Times New Roman" w:hAnsi="Times New Roman" w:eastAsia="宋体" w:cs="Times New Roman"/>
      <w:kern w:val="0"/>
      <w:szCs w:val="24"/>
    </w:rPr>
  </w:style>
  <w:style w:type="paragraph" w:styleId="9">
    <w:name w:val="Body Text Indent"/>
    <w:basedOn w:val="1"/>
    <w:link w:val="32"/>
    <w:qFormat/>
    <w:uiPriority w:val="0"/>
    <w:pPr>
      <w:ind w:firstLine="555"/>
    </w:pPr>
    <w:rPr>
      <w:rFonts w:ascii="Times New Roman" w:hAnsi="Times New Roman" w:eastAsia="宋体" w:cs="Times New Roman"/>
      <w:kern w:val="0"/>
      <w:sz w:val="24"/>
      <w:szCs w:val="24"/>
    </w:rPr>
  </w:style>
  <w:style w:type="paragraph" w:styleId="10">
    <w:name w:val="Plain Text"/>
    <w:basedOn w:val="1"/>
    <w:link w:val="39"/>
    <w:qFormat/>
    <w:uiPriority w:val="0"/>
    <w:rPr>
      <w:rFonts w:ascii="宋体" w:hAnsi="Courier New" w:eastAsia="宋体" w:cs="Courier New"/>
      <w:sz w:val="24"/>
      <w:szCs w:val="21"/>
    </w:rPr>
  </w:style>
  <w:style w:type="paragraph" w:styleId="11">
    <w:name w:val="Body Text Indent 2"/>
    <w:basedOn w:val="1"/>
    <w:link w:val="31"/>
    <w:qFormat/>
    <w:uiPriority w:val="0"/>
    <w:pPr>
      <w:spacing w:line="540" w:lineRule="exact"/>
      <w:ind w:firstLine="630"/>
    </w:pPr>
    <w:rPr>
      <w:rFonts w:ascii="Times New Roman" w:hAnsi="Times New Roman" w:eastAsia="宋体" w:cs="Times New Roman"/>
      <w:kern w:val="0"/>
      <w:sz w:val="24"/>
      <w:szCs w:val="24"/>
    </w:rPr>
  </w:style>
  <w:style w:type="paragraph" w:styleId="12">
    <w:name w:val="Balloon Text"/>
    <w:basedOn w:val="1"/>
    <w:link w:val="40"/>
    <w:semiHidden/>
    <w:qFormat/>
    <w:uiPriority w:val="0"/>
    <w:rPr>
      <w:rFonts w:ascii="Times New Roman" w:hAnsi="Times New Roman" w:eastAsia="宋体" w:cs="Times New Roman"/>
      <w:kern w:val="0"/>
      <w:sz w:val="18"/>
      <w:szCs w:val="18"/>
    </w:rPr>
  </w:style>
  <w:style w:type="paragraph" w:styleId="13">
    <w:name w:val="footer"/>
    <w:basedOn w:val="1"/>
    <w:link w:val="2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6">
    <w:name w:val="toc 2"/>
    <w:basedOn w:val="1"/>
    <w:next w:val="1"/>
    <w:unhideWhenUsed/>
    <w:qFormat/>
    <w:uiPriority w:val="39"/>
    <w:pPr>
      <w:ind w:left="420" w:leftChars="200"/>
    </w:pPr>
  </w:style>
  <w:style w:type="paragraph" w:styleId="17">
    <w:name w:val="Body Text 2"/>
    <w:basedOn w:val="1"/>
    <w:link w:val="34"/>
    <w:qFormat/>
    <w:uiPriority w:val="0"/>
    <w:pPr>
      <w:jc w:val="center"/>
    </w:pPr>
    <w:rPr>
      <w:rFonts w:ascii="Times New Roman" w:hAnsi="Times New Roman" w:eastAsia="宋体" w:cs="Times New Roman"/>
      <w:kern w:val="0"/>
      <w:szCs w:val="24"/>
    </w:rPr>
  </w:style>
  <w:style w:type="paragraph" w:styleId="18">
    <w:name w:val="index 1"/>
    <w:basedOn w:val="1"/>
    <w:next w:val="1"/>
    <w:semiHidden/>
    <w:qFormat/>
    <w:uiPriority w:val="0"/>
    <w:rPr>
      <w:rFonts w:ascii="Times New Roman" w:hAnsi="Times New Roman" w:eastAsia="宋体" w:cs="Times New Roman"/>
      <w:kern w:val="0"/>
      <w:sz w:val="24"/>
      <w:szCs w:val="24"/>
    </w:rPr>
  </w:style>
  <w:style w:type="paragraph" w:styleId="19">
    <w:name w:val="annotation subject"/>
    <w:basedOn w:val="7"/>
    <w:next w:val="7"/>
    <w:link w:val="55"/>
    <w:semiHidden/>
    <w:unhideWhenUsed/>
    <w:qFormat/>
    <w:uiPriority w:val="99"/>
    <w:rPr>
      <w:b/>
      <w:bCs/>
    </w:rPr>
  </w:style>
  <w:style w:type="table" w:styleId="21">
    <w:name w:val="Table Grid"/>
    <w:basedOn w:val="2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rPr>
      <w:rFonts w:cs="Times New Roman"/>
    </w:rPr>
  </w:style>
  <w:style w:type="character" w:styleId="24">
    <w:name w:val="Hyperlink"/>
    <w:basedOn w:val="22"/>
    <w:qFormat/>
    <w:uiPriority w:val="99"/>
    <w:rPr>
      <w:rFonts w:cs="Times New Roman"/>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标题 1 Char"/>
    <w:basedOn w:val="22"/>
    <w:link w:val="3"/>
    <w:qFormat/>
    <w:uiPriority w:val="0"/>
    <w:rPr>
      <w:rFonts w:ascii="Times New Roman" w:hAnsi="Times New Roman" w:eastAsia="宋体" w:cs="Times New Roman"/>
      <w:b/>
      <w:bCs/>
      <w:kern w:val="44"/>
      <w:sz w:val="44"/>
      <w:szCs w:val="44"/>
    </w:rPr>
  </w:style>
  <w:style w:type="character" w:customStyle="1" w:styleId="27">
    <w:name w:val="标题 2 Char"/>
    <w:basedOn w:val="22"/>
    <w:link w:val="4"/>
    <w:qFormat/>
    <w:uiPriority w:val="0"/>
    <w:rPr>
      <w:rFonts w:ascii="Arial" w:hAnsi="Arial" w:eastAsia="黑体" w:cs="Times New Roman"/>
      <w:b/>
      <w:kern w:val="0"/>
      <w:sz w:val="32"/>
      <w:szCs w:val="20"/>
    </w:rPr>
  </w:style>
  <w:style w:type="character" w:customStyle="1" w:styleId="28">
    <w:name w:val="页眉 Char"/>
    <w:basedOn w:val="22"/>
    <w:link w:val="14"/>
    <w:qFormat/>
    <w:uiPriority w:val="0"/>
    <w:rPr>
      <w:rFonts w:ascii="Times New Roman" w:hAnsi="Times New Roman" w:eastAsia="宋体" w:cs="Times New Roman"/>
      <w:kern w:val="0"/>
      <w:sz w:val="18"/>
      <w:szCs w:val="18"/>
    </w:rPr>
  </w:style>
  <w:style w:type="character" w:customStyle="1" w:styleId="29">
    <w:name w:val="页脚 Char"/>
    <w:basedOn w:val="22"/>
    <w:link w:val="13"/>
    <w:qFormat/>
    <w:uiPriority w:val="0"/>
    <w:rPr>
      <w:rFonts w:ascii="Times New Roman" w:hAnsi="Times New Roman" w:eastAsia="宋体" w:cs="Times New Roman"/>
      <w:kern w:val="0"/>
      <w:sz w:val="18"/>
      <w:szCs w:val="18"/>
    </w:rPr>
  </w:style>
  <w:style w:type="paragraph" w:customStyle="1" w:styleId="30">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31">
    <w:name w:val="正文文本缩进 2 Char"/>
    <w:basedOn w:val="22"/>
    <w:link w:val="11"/>
    <w:qFormat/>
    <w:uiPriority w:val="0"/>
    <w:rPr>
      <w:rFonts w:ascii="Times New Roman" w:hAnsi="Times New Roman" w:eastAsia="宋体" w:cs="Times New Roman"/>
      <w:kern w:val="0"/>
      <w:sz w:val="24"/>
      <w:szCs w:val="24"/>
    </w:rPr>
  </w:style>
  <w:style w:type="character" w:customStyle="1" w:styleId="32">
    <w:name w:val="正文文本缩进 Char"/>
    <w:basedOn w:val="22"/>
    <w:link w:val="9"/>
    <w:qFormat/>
    <w:uiPriority w:val="0"/>
    <w:rPr>
      <w:rFonts w:ascii="Times New Roman" w:hAnsi="Times New Roman" w:eastAsia="宋体" w:cs="Times New Roman"/>
      <w:kern w:val="0"/>
      <w:sz w:val="24"/>
      <w:szCs w:val="24"/>
    </w:rPr>
  </w:style>
  <w:style w:type="character" w:customStyle="1" w:styleId="33">
    <w:name w:val="正文文本 Char"/>
    <w:basedOn w:val="22"/>
    <w:link w:val="8"/>
    <w:qFormat/>
    <w:uiPriority w:val="0"/>
    <w:rPr>
      <w:rFonts w:ascii="Times New Roman" w:hAnsi="Times New Roman" w:eastAsia="宋体" w:cs="Times New Roman"/>
      <w:kern w:val="0"/>
      <w:szCs w:val="24"/>
    </w:rPr>
  </w:style>
  <w:style w:type="character" w:customStyle="1" w:styleId="34">
    <w:name w:val="正文文本 2 Char"/>
    <w:basedOn w:val="22"/>
    <w:link w:val="17"/>
    <w:qFormat/>
    <w:uiPriority w:val="0"/>
    <w:rPr>
      <w:rFonts w:ascii="Times New Roman" w:hAnsi="Times New Roman" w:eastAsia="宋体" w:cs="Times New Roman"/>
      <w:kern w:val="0"/>
      <w:szCs w:val="24"/>
    </w:rPr>
  </w:style>
  <w:style w:type="paragraph" w:customStyle="1" w:styleId="35">
    <w:name w:val="样式1"/>
    <w:basedOn w:val="3"/>
    <w:qFormat/>
    <w:uiPriority w:val="0"/>
    <w:pPr>
      <w:spacing w:line="640" w:lineRule="exact"/>
      <w:jc w:val="center"/>
    </w:pPr>
    <w:rPr>
      <w:rFonts w:ascii="方正小标宋简体" w:hAnsi="华文中宋" w:eastAsia="方正小标宋简体"/>
      <w:b w:val="0"/>
    </w:rPr>
  </w:style>
  <w:style w:type="paragraph" w:customStyle="1" w:styleId="36">
    <w:name w:val="样式2"/>
    <w:basedOn w:val="3"/>
    <w:qFormat/>
    <w:uiPriority w:val="0"/>
    <w:pPr>
      <w:spacing w:line="640" w:lineRule="exact"/>
      <w:jc w:val="center"/>
    </w:pPr>
    <w:rPr>
      <w:rFonts w:ascii="方正小标宋简体" w:hAnsi="华文中宋" w:eastAsia="方正小标宋简体"/>
      <w:b w:val="0"/>
    </w:rPr>
  </w:style>
  <w:style w:type="paragraph" w:customStyle="1" w:styleId="37">
    <w:name w:val="样式3"/>
    <w:basedOn w:val="3"/>
    <w:qFormat/>
    <w:uiPriority w:val="0"/>
    <w:pPr>
      <w:spacing w:line="640" w:lineRule="exact"/>
      <w:jc w:val="center"/>
    </w:pPr>
    <w:rPr>
      <w:rFonts w:ascii="方正小标宋简体" w:hAnsi="华文中宋" w:eastAsia="方正小标宋简体"/>
      <w:b w:val="0"/>
    </w:rPr>
  </w:style>
  <w:style w:type="character" w:customStyle="1" w:styleId="38">
    <w:name w:val="文档结构图 Char"/>
    <w:basedOn w:val="22"/>
    <w:link w:val="6"/>
    <w:semiHidden/>
    <w:qFormat/>
    <w:uiPriority w:val="0"/>
    <w:rPr>
      <w:rFonts w:ascii="Times New Roman" w:hAnsi="Times New Roman" w:eastAsia="宋体" w:cs="Times New Roman"/>
      <w:kern w:val="0"/>
      <w:sz w:val="24"/>
      <w:szCs w:val="24"/>
      <w:shd w:val="clear" w:color="auto" w:fill="000080"/>
    </w:rPr>
  </w:style>
  <w:style w:type="character" w:customStyle="1" w:styleId="39">
    <w:name w:val="纯文本 Char"/>
    <w:basedOn w:val="22"/>
    <w:link w:val="10"/>
    <w:qFormat/>
    <w:uiPriority w:val="0"/>
    <w:rPr>
      <w:rFonts w:ascii="宋体" w:hAnsi="Courier New" w:eastAsia="宋体" w:cs="Courier New"/>
      <w:sz w:val="24"/>
      <w:szCs w:val="21"/>
    </w:rPr>
  </w:style>
  <w:style w:type="character" w:customStyle="1" w:styleId="40">
    <w:name w:val="批注框文本 Char"/>
    <w:basedOn w:val="22"/>
    <w:link w:val="12"/>
    <w:semiHidden/>
    <w:qFormat/>
    <w:uiPriority w:val="0"/>
    <w:rPr>
      <w:rFonts w:ascii="Times New Roman" w:hAnsi="Times New Roman" w:eastAsia="宋体" w:cs="Times New Roman"/>
      <w:kern w:val="0"/>
      <w:sz w:val="18"/>
      <w:szCs w:val="18"/>
    </w:rPr>
  </w:style>
  <w:style w:type="paragraph" w:customStyle="1" w:styleId="41">
    <w:name w:val="列出段落1"/>
    <w:basedOn w:val="1"/>
    <w:link w:val="45"/>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42">
    <w:name w:val="1111111199999"/>
    <w:basedOn w:val="1"/>
    <w:link w:val="43"/>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3">
    <w:name w:val="1111111199999 Char"/>
    <w:link w:val="42"/>
    <w:qFormat/>
    <w:locked/>
    <w:uiPriority w:val="0"/>
    <w:rPr>
      <w:rFonts w:ascii="Times New Roman" w:hAnsi="Times New Roman" w:eastAsia="宋体" w:cs="Times New Roman"/>
      <w:kern w:val="0"/>
      <w:szCs w:val="20"/>
    </w:rPr>
  </w:style>
  <w:style w:type="character" w:customStyle="1" w:styleId="44">
    <w:name w:val="apple-style-span"/>
    <w:qFormat/>
    <w:uiPriority w:val="0"/>
  </w:style>
  <w:style w:type="character" w:customStyle="1" w:styleId="45">
    <w:name w:val="List Paragraph Char"/>
    <w:link w:val="41"/>
    <w:qFormat/>
    <w:locked/>
    <w:uiPriority w:val="0"/>
    <w:rPr>
      <w:rFonts w:ascii="Calibri" w:hAnsi="Calibri" w:eastAsia="宋体" w:cs="Times New Roman"/>
      <w:kern w:val="0"/>
      <w:sz w:val="22"/>
      <w:szCs w:val="20"/>
      <w:lang w:eastAsia="en-US"/>
    </w:rPr>
  </w:style>
  <w:style w:type="paragraph" w:customStyle="1" w:styleId="46">
    <w:name w:val="Char Char Char Char"/>
    <w:basedOn w:val="1"/>
    <w:qFormat/>
    <w:uiPriority w:val="0"/>
    <w:rPr>
      <w:rFonts w:ascii="Times New Roman" w:hAnsi="Times New Roman" w:eastAsia="宋体" w:cs="Times New Roman"/>
      <w:sz w:val="24"/>
      <w:szCs w:val="36"/>
    </w:rPr>
  </w:style>
  <w:style w:type="character" w:customStyle="1" w:styleId="47">
    <w:name w:val="Char Char4"/>
    <w:qFormat/>
    <w:locked/>
    <w:uiPriority w:val="0"/>
    <w:rPr>
      <w:rFonts w:ascii="宋体" w:hAnsi="Courier New" w:eastAsia="宋体"/>
      <w:kern w:val="2"/>
      <w:sz w:val="21"/>
      <w:lang w:bidi="ar-SA"/>
    </w:rPr>
  </w:style>
  <w:style w:type="character" w:customStyle="1" w:styleId="48">
    <w:name w:val="样式 (中文) 仿宋_GB2312 三号"/>
    <w:basedOn w:val="22"/>
    <w:qFormat/>
    <w:uiPriority w:val="0"/>
    <w:rPr>
      <w:rFonts w:hint="eastAsia" w:ascii="仿宋_GB2312" w:eastAsia="仿宋_GB2312"/>
      <w:sz w:val="32"/>
    </w:rPr>
  </w:style>
  <w:style w:type="character" w:customStyle="1" w:styleId="49">
    <w:name w:val="Char Char3"/>
    <w:basedOn w:val="22"/>
    <w:qFormat/>
    <w:locked/>
    <w:uiPriority w:val="0"/>
    <w:rPr>
      <w:rFonts w:ascii="宋体" w:hAnsi="宋体" w:eastAsia="宋体"/>
      <w:sz w:val="18"/>
      <w:szCs w:val="18"/>
      <w:lang w:val="en-US" w:eastAsia="zh-CN" w:bidi="ar-SA"/>
    </w:rPr>
  </w:style>
  <w:style w:type="paragraph" w:styleId="50">
    <w:name w:val="List Paragraph"/>
    <w:basedOn w:val="1"/>
    <w:qFormat/>
    <w:uiPriority w:val="34"/>
    <w:pPr>
      <w:ind w:firstLine="420" w:firstLineChars="200"/>
    </w:pPr>
    <w:rPr>
      <w:rFonts w:ascii="等线" w:hAnsi="等线" w:eastAsia="等线" w:cs="Times New Roman"/>
    </w:rPr>
  </w:style>
  <w:style w:type="paragraph" w:customStyle="1" w:styleId="51">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52">
    <w:name w:val="font21"/>
    <w:qFormat/>
    <w:uiPriority w:val="0"/>
    <w:rPr>
      <w:rFonts w:hint="eastAsia" w:ascii="宋体" w:hAnsi="宋体" w:eastAsia="宋体" w:cs="宋体"/>
      <w:color w:val="000000"/>
      <w:sz w:val="24"/>
      <w:szCs w:val="24"/>
      <w:u w:val="none"/>
    </w:rPr>
  </w:style>
  <w:style w:type="paragraph" w:customStyle="1" w:styleId="53">
    <w:name w:val="样式 首行缩进:  2 字符"/>
    <w:basedOn w:val="1"/>
    <w:qFormat/>
    <w:uiPriority w:val="0"/>
    <w:pPr>
      <w:spacing w:line="400" w:lineRule="exact"/>
      <w:ind w:firstLine="200" w:firstLineChars="200"/>
    </w:pPr>
    <w:rPr>
      <w:rFonts w:cs="宋体"/>
    </w:rPr>
  </w:style>
  <w:style w:type="character" w:customStyle="1" w:styleId="54">
    <w:name w:val="批注文字 Char"/>
    <w:basedOn w:val="22"/>
    <w:link w:val="7"/>
    <w:semiHidden/>
    <w:qFormat/>
    <w:uiPriority w:val="99"/>
    <w:rPr>
      <w:rFonts w:eastAsiaTheme="minorEastAsia"/>
      <w:kern w:val="2"/>
      <w:sz w:val="21"/>
      <w:szCs w:val="22"/>
    </w:rPr>
  </w:style>
  <w:style w:type="character" w:customStyle="1" w:styleId="55">
    <w:name w:val="批注主题 Char"/>
    <w:basedOn w:val="54"/>
    <w:link w:val="1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84A1F-F19F-4800-AE8A-4CF03B400DD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4280</Words>
  <Characters>24396</Characters>
  <Lines>203</Lines>
  <Paragraphs>57</Paragraphs>
  <TotalTime>8</TotalTime>
  <ScaleCrop>false</ScaleCrop>
  <LinksUpToDate>false</LinksUpToDate>
  <CharactersWithSpaces>28619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2020-10-19T00:45:00Z</cp:lastPrinted>
  <dcterms:modified xsi:type="dcterms:W3CDTF">2020-10-26T03:12:30Z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