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双头梯度PCR</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2021-JL13(03)-W30024</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双头梯度PCR</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2021-JL13(03)-W30024</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双头梯度PCR</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2021-JL13(03)-W30024</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双头梯度PCR</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9</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20</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26</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20</w:t>
      </w:r>
      <w:bookmarkStart w:id="26" w:name="_GoBack"/>
      <w:bookmarkEnd w:id="26"/>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435540979"/>
      <w:bookmarkStart w:id="5" w:name="_Toc390713967"/>
      <w:bookmarkStart w:id="6" w:name="_Toc285612594"/>
      <w:bookmarkStart w:id="7" w:name="_Toc3778028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双头梯度PCR</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7780285"/>
      <w:bookmarkStart w:id="10" w:name="_Toc240432230"/>
      <w:bookmarkStart w:id="11" w:name="_Toc435540980"/>
      <w:bookmarkStart w:id="12" w:name="_Toc285612601"/>
      <w:bookmarkStart w:id="13" w:name="_Toc390713968"/>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90713969"/>
      <w:bookmarkStart w:id="16" w:name="_Toc285612603"/>
      <w:bookmarkStart w:id="17" w:name="_Toc37780286"/>
      <w:bookmarkStart w:id="18" w:name="_Toc37172690"/>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7172691"/>
      <w:bookmarkStart w:id="20" w:name="_Toc240432233"/>
      <w:bookmarkStart w:id="21" w:name="_Toc390713970"/>
      <w:bookmarkStart w:id="22" w:name="_Toc285612604"/>
      <w:bookmarkStart w:id="23" w:name="_Toc37780287"/>
      <w:bookmarkStart w:id="24" w:name="_Toc435540982"/>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adjustRightInd w:val="0"/>
        <w:snapToGrid w:val="0"/>
        <w:spacing w:before="156" w:beforeLines="50" w:line="240" w:lineRule="atLeast"/>
        <w:jc w:val="center"/>
        <w:rPr>
          <w:rFonts w:hint="eastAsia" w:ascii="方正小标宋简体" w:eastAsia="方正小标宋简体" w:cs="Times New Roman"/>
          <w:bCs/>
          <w:kern w:val="0"/>
          <w:sz w:val="40"/>
          <w:szCs w:val="44"/>
        </w:rPr>
      </w:pPr>
      <w:r>
        <w:rPr>
          <w:rFonts w:hint="eastAsia" w:ascii="方正小标宋简体" w:hAnsi="宋体" w:eastAsia="方正小标宋简体" w:cs="Times New Roman"/>
          <w:bCs/>
          <w:kern w:val="0"/>
          <w:sz w:val="40"/>
          <w:szCs w:val="44"/>
        </w:rPr>
        <w:t>双头梯度PCR技术参数确认表</w:t>
      </w:r>
    </w:p>
    <w:tbl>
      <w:tblPr>
        <w:tblStyle w:val="17"/>
        <w:tblW w:w="9050" w:type="dxa"/>
        <w:jc w:val="center"/>
        <w:tblLayout w:type="autofit"/>
        <w:tblCellMar>
          <w:top w:w="0" w:type="dxa"/>
          <w:left w:w="0" w:type="dxa"/>
          <w:bottom w:w="0" w:type="dxa"/>
          <w:right w:w="0" w:type="dxa"/>
        </w:tblCellMar>
      </w:tblPr>
      <w:tblGrid>
        <w:gridCol w:w="765"/>
        <w:gridCol w:w="1940"/>
        <w:gridCol w:w="4995"/>
        <w:gridCol w:w="1350"/>
      </w:tblGrid>
      <w:tr>
        <w:tblPrEx>
          <w:tblCellMar>
            <w:top w:w="0" w:type="dxa"/>
            <w:left w:w="0" w:type="dxa"/>
            <w:bottom w:w="0" w:type="dxa"/>
            <w:right w:w="0" w:type="dxa"/>
          </w:tblCellMar>
        </w:tblPrEx>
        <w:trPr>
          <w:trHeight w:val="660" w:hRule="atLeast"/>
          <w:tblHeader/>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序号</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hint="eastAsia" w:cs="宋体" w:asciiTheme="minorEastAsia" w:hAnsiTheme="minorEastAsia"/>
                <w:b/>
                <w:color w:val="000000"/>
                <w:kern w:val="0"/>
                <w:szCs w:val="21"/>
              </w:rPr>
            </w:pPr>
            <w:r>
              <w:rPr>
                <w:rFonts w:hint="eastAsia" w:cs="宋体" w:asciiTheme="minorEastAsia" w:hAnsiTheme="minorEastAsia"/>
                <w:b/>
                <w:color w:val="000000"/>
                <w:kern w:val="0"/>
                <w:szCs w:val="21"/>
              </w:rPr>
              <w:t>技术和性能参数</w:t>
            </w:r>
          </w:p>
          <w:p>
            <w:pPr>
              <w:widowControl/>
              <w:spacing w:line="300" w:lineRule="exact"/>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名称</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技术参数和性能要求</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备注</w:t>
            </w:r>
          </w:p>
        </w:tc>
      </w:tr>
      <w:tr>
        <w:tblPrEx>
          <w:tblCellMar>
            <w:top w:w="0" w:type="dxa"/>
            <w:left w:w="0" w:type="dxa"/>
            <w:bottom w:w="0" w:type="dxa"/>
            <w:right w:w="0"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1</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设备使用需求</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center"/>
              <w:rPr>
                <w:rFonts w:cs="宋体" w:asciiTheme="minorEastAsia" w:hAnsiTheme="minorEastAsia"/>
                <w:b/>
                <w:color w:val="000000"/>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1.1</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设备用途</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用于基因扩增</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1.2</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实验对象</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核酸样品</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1.3</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特殊功能需求</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双头均具有温度梯度功能，可同时独立运行两个程序</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2</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主要技术参数</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center"/>
              <w:rPr>
                <w:rFonts w:cs="宋体" w:asciiTheme="minorEastAsia" w:hAnsiTheme="minorEastAsia"/>
                <w:color w:val="000000"/>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5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2.2</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★参数1</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60" w:lineRule="exac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配置双48×0.2ml快速反应模块，可独立设定反应程序。</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85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2.2</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★参数2</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60" w:lineRule="exac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双槽均具有动态温度梯度功能，所有样品均在同一时间达到设定温度。</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85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2.3</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★参数3</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60" w:lineRule="exac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温度范围：2-100℃；温度精确度：≤±0.2℃；温度均一性：≤±0.4℃。</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85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2.4</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▲参数4</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60" w:lineRule="exac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最大升降温速度：≥4℃/秒。</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85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2.5</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▲参数5</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60" w:lineRule="exac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温度梯度范围：30-100℃；温度梯度温差范围：1-24℃。</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85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2.6</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▲参数6</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60" w:lineRule="exac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能储存大于800个程序，并可以通过USB无限扩展。</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85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2.7</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参数7</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60" w:lineRule="exac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配备高度可任意调节热盖。</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85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2.8</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参数8</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60" w:lineRule="exac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内置引物Tm值计算软件，输入引物序列自动计算Tm值。</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85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2.9</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参数9</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60" w:lineRule="exac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USB接口数：不少于5。</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1293"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2.10 </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参数10</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60" w:lineRule="exac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模块化设计，有3种不同规格的反应模块可以更换或选配，包括96孔快速梯度模块，双48孔快速梯度模块，384孔模块，更换模块简单，用户可自行更换。</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3</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配置需求</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3.1</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配置1</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双槽梯度PCR1台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4</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售后服务</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center"/>
              <w:rPr>
                <w:rFonts w:cs="宋体" w:asciiTheme="minorEastAsia" w:hAnsiTheme="minorEastAsia"/>
                <w:b/>
                <w:color w:val="000000"/>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4.1</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保修年限</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rPr>
                <w:rFonts w:cs="宋体" w:asciiTheme="minorEastAsia" w:hAnsiTheme="minorEastAsia"/>
                <w:b/>
                <w:bCs/>
                <w:kern w:val="0"/>
                <w:szCs w:val="21"/>
              </w:rPr>
            </w:pPr>
            <w:r>
              <w:rPr>
                <w:rFonts w:hint="eastAsia" w:cs="宋体" w:asciiTheme="minorEastAsia" w:hAnsiTheme="minorEastAsia"/>
                <w:kern w:val="0"/>
                <w:szCs w:val="21"/>
              </w:rPr>
              <w:t>≥3年</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844"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4.2</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出现故障回应时间</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rPr>
                <w:rFonts w:cs="宋体" w:asciiTheme="minorEastAsia" w:hAnsiTheme="minorEastAsia"/>
                <w:kern w:val="0"/>
                <w:szCs w:val="21"/>
              </w:rPr>
            </w:pPr>
            <w:r>
              <w:rPr>
                <w:rFonts w:hint="eastAsia" w:cs="宋体" w:asciiTheme="minorEastAsia" w:hAnsiTheme="minorEastAsia"/>
                <w:kern w:val="0"/>
                <w:szCs w:val="21"/>
              </w:rPr>
              <w:t>维修到达现场时间≤ 6小时（本地）</w:t>
            </w:r>
            <w:r>
              <w:rPr>
                <w:rFonts w:hint="eastAsia" w:cs="宋体" w:asciiTheme="minorEastAsia" w:hAnsiTheme="minorEastAsia"/>
                <w:kern w:val="0"/>
                <w:szCs w:val="21"/>
              </w:rPr>
              <w:br w:type="textWrapping"/>
            </w:r>
            <w:r>
              <w:rPr>
                <w:rFonts w:hint="eastAsia" w:cs="宋体" w:asciiTheme="minorEastAsia" w:hAnsiTheme="minorEastAsia"/>
                <w:kern w:val="0"/>
                <w:szCs w:val="21"/>
              </w:rPr>
              <w:t>维修到达现场时间≤24小时（外地）</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4.3</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维修支持</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rPr>
                <w:rFonts w:cs="宋体" w:asciiTheme="minorEastAsia" w:hAnsiTheme="minorEastAsia"/>
                <w:kern w:val="0"/>
                <w:szCs w:val="21"/>
              </w:rPr>
            </w:pPr>
            <w:r>
              <w:rPr>
                <w:rFonts w:hint="eastAsia" w:cs="宋体" w:asciiTheme="minorEastAsia" w:hAnsiTheme="minorEastAsia"/>
                <w:kern w:val="0"/>
                <w:szCs w:val="21"/>
              </w:rPr>
              <w:t>配件供应时间≥10年</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4.4</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耗材及零配件</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rPr>
                <w:rFonts w:cs="宋体" w:asciiTheme="minorEastAsia" w:hAnsiTheme="minorEastAsia"/>
                <w:kern w:val="0"/>
                <w:szCs w:val="21"/>
              </w:rPr>
            </w:pPr>
            <w:r>
              <w:rPr>
                <w:rFonts w:hint="eastAsia" w:cs="宋体" w:asciiTheme="minorEastAsia" w:hAnsiTheme="minorEastAsia"/>
                <w:kern w:val="0"/>
                <w:szCs w:val="21"/>
              </w:rPr>
              <w:t>提供耗材及主要零配件目录（含报价）</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4.5</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维修资料</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rPr>
                <w:rFonts w:cs="宋体" w:asciiTheme="minorEastAsia" w:hAnsiTheme="minorEastAsia"/>
                <w:kern w:val="0"/>
                <w:szCs w:val="21"/>
              </w:rPr>
            </w:pPr>
            <w:r>
              <w:rPr>
                <w:rFonts w:hint="eastAsia" w:cs="宋体" w:asciiTheme="minorEastAsia" w:hAnsiTheme="minorEastAsia"/>
                <w:kern w:val="0"/>
                <w:szCs w:val="21"/>
              </w:rPr>
              <w:t>提供详细操作手册、维修保养手册、安装手册等</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4.6</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维修工具</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rPr>
                <w:rFonts w:cs="宋体" w:asciiTheme="minorEastAsia" w:hAnsiTheme="minorEastAsia"/>
                <w:kern w:val="0"/>
                <w:szCs w:val="21"/>
              </w:rPr>
            </w:pPr>
            <w:r>
              <w:rPr>
                <w:rFonts w:hint="eastAsia" w:cs="宋体" w:asciiTheme="minorEastAsia" w:hAnsiTheme="minorEastAsia"/>
                <w:kern w:val="0"/>
                <w:szCs w:val="21"/>
              </w:rPr>
              <w:t>提供维修专用工具1套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4.7</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预防性维修</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/定期维护保养</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rPr>
                <w:rFonts w:cs="宋体" w:asciiTheme="minorEastAsia" w:hAnsiTheme="minorEastAsia"/>
                <w:kern w:val="0"/>
                <w:szCs w:val="21"/>
              </w:rPr>
            </w:pPr>
            <w:r>
              <w:rPr>
                <w:rFonts w:hint="eastAsia" w:cs="宋体" w:asciiTheme="minorEastAsia" w:hAnsiTheme="minorEastAsia"/>
                <w:kern w:val="0"/>
                <w:szCs w:val="21"/>
              </w:rPr>
              <w:t>保修期内提供定期维护保养服务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4.8</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维修密码支持</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rPr>
                <w:rFonts w:cs="宋体" w:asciiTheme="minorEastAsia" w:hAnsiTheme="minorEastAsia"/>
                <w:kern w:val="0"/>
                <w:szCs w:val="21"/>
              </w:rPr>
            </w:pPr>
            <w:r>
              <w:rPr>
                <w:rFonts w:hint="eastAsia" w:cs="宋体" w:asciiTheme="minorEastAsia" w:hAnsiTheme="minorEastAsia"/>
                <w:kern w:val="0"/>
                <w:szCs w:val="21"/>
              </w:rPr>
              <w:t>开放</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4.9</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升级</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rPr>
                <w:rFonts w:cs="宋体" w:asciiTheme="minorEastAsia" w:hAnsiTheme="minorEastAsia"/>
                <w:kern w:val="0"/>
                <w:szCs w:val="21"/>
              </w:rPr>
            </w:pPr>
            <w:r>
              <w:rPr>
                <w:rFonts w:hint="eastAsia" w:cs="宋体" w:asciiTheme="minorEastAsia" w:hAnsiTheme="minorEastAsia"/>
                <w:kern w:val="0"/>
                <w:szCs w:val="21"/>
              </w:rPr>
              <w:t>终身免费软件升级</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4.1</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使用培训</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rPr>
                <w:rFonts w:cs="宋体" w:asciiTheme="minorEastAsia" w:hAnsiTheme="minorEastAsia"/>
                <w:kern w:val="0"/>
                <w:szCs w:val="21"/>
              </w:rPr>
            </w:pPr>
            <w:r>
              <w:rPr>
                <w:rFonts w:hint="eastAsia" w:cs="宋体" w:asciiTheme="minorEastAsia" w:hAnsiTheme="minorEastAsia"/>
                <w:kern w:val="0"/>
                <w:szCs w:val="21"/>
              </w:rPr>
              <w:t>支持</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4.11</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工程师培训</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300" w:lineRule="exact"/>
              <w:jc w:val="center"/>
              <w:rPr>
                <w:rFonts w:cs="宋体" w:asciiTheme="minorEastAsia" w:hAnsiTheme="minorEastAsia"/>
                <w:kern w:val="0"/>
                <w:szCs w:val="21"/>
              </w:rPr>
            </w:pPr>
            <w:r>
              <w:rPr>
                <w:rFonts w:hint="eastAsia" w:cs="宋体" w:asciiTheme="minorEastAsia" w:hAnsiTheme="minorEastAsia"/>
                <w:kern w:val="0"/>
                <w:szCs w:val="21"/>
              </w:rPr>
              <w:t>支持</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spacing w:line="300" w:lineRule="exact"/>
              <w:jc w:val="left"/>
              <w:rPr>
                <w:rFonts w:cs="宋体" w:asciiTheme="minorEastAsia" w:hAnsiTheme="minorEastAsia"/>
                <w:color w:val="000000"/>
                <w:szCs w:val="21"/>
              </w:rPr>
            </w:pPr>
          </w:p>
        </w:tc>
      </w:tr>
    </w:tbl>
    <w:p>
      <w:pPr>
        <w:keepNext w:val="0"/>
        <w:keepLines w:val="0"/>
        <w:pageBreakBefore w:val="0"/>
        <w:kinsoku/>
        <w:wordWrap/>
        <w:overflowPunct/>
        <w:topLinePunct w:val="0"/>
        <w:autoSpaceDE/>
        <w:autoSpaceDN/>
        <w:bidi w:val="0"/>
        <w:spacing w:line="240" w:lineRule="atLeast"/>
        <w:jc w:val="center"/>
        <w:textAlignment w:val="auto"/>
        <w:rPr>
          <w:sz w:val="20"/>
          <w:szCs w:val="21"/>
        </w:rP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31</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8D1"/>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0116"/>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1900088"/>
    <w:rsid w:val="16771E6C"/>
    <w:rsid w:val="1F1C3038"/>
    <w:rsid w:val="48ED6FEB"/>
    <w:rsid w:val="54F61C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23258</Words>
  <Characters>4548</Characters>
  <Lines>37</Lines>
  <Paragraphs>55</Paragraphs>
  <TotalTime>2</TotalTime>
  <ScaleCrop>false</ScaleCrop>
  <LinksUpToDate>false</LinksUpToDate>
  <CharactersWithSpaces>27751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2021-02-08T11:03:00Z</dcterms:created>
  <dc:creator>Administrator</dc:creator>
  <cp:lastModifiedBy>150----7325</cp:lastModifiedBy>
  <cp:lastPrinted>2020-10-12T06:44:00Z</cp:lastPrinted>
  <dcterms:modified xsi:type="dcterms:W3CDTF">2021-02-20T03:31:44Z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