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生物安全建设设备（02）</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 xml:space="preserve"> </w:t>
      </w:r>
      <w:r>
        <w:rPr>
          <w:rFonts w:hint="eastAsia" w:ascii="宋体" w:hAnsi="宋体" w:eastAsia="宋体" w:cs="Times New Roman"/>
          <w:kern w:val="0"/>
          <w:sz w:val="36"/>
          <w:szCs w:val="36"/>
          <w:u w:val="single"/>
        </w:rPr>
        <w:t xml:space="preserve">2020-XNYY-YQ-177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bookmarkStart w:id="26" w:name="_GoBack"/>
      <w:bookmarkEnd w:id="26"/>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27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30</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关于生物安全建设设备（02）的采购</w:t>
      </w:r>
      <w:r>
        <w:rPr>
          <w:rFonts w:ascii="Tahoma" w:hAnsi="Tahoma" w:cs="Tahoma"/>
          <w:b/>
          <w:bCs/>
          <w:kern w:val="0"/>
          <w:sz w:val="28"/>
          <w:szCs w:val="28"/>
        </w:rPr>
        <w:t>公告</w:t>
      </w:r>
      <w:r>
        <w:rPr>
          <w:rFonts w:hint="eastAsia" w:ascii="Tahoma" w:hAnsi="Tahoma" w:cs="Tahoma"/>
          <w:kern w:val="0"/>
          <w:sz w:val="28"/>
          <w:szCs w:val="28"/>
        </w:rPr>
        <w:t>2020-XNYY-YQ-1</w:t>
      </w:r>
      <w:r>
        <w:rPr>
          <w:rFonts w:hint="eastAsia" w:ascii="Tahoma" w:hAnsi="Tahoma" w:cs="Tahoma"/>
          <w:kern w:val="0"/>
          <w:sz w:val="28"/>
          <w:szCs w:val="28"/>
          <w:lang w:val="en-US" w:eastAsia="zh-CN"/>
        </w:rPr>
        <w:t>77</w:t>
      </w:r>
      <w:r>
        <w:rPr>
          <w:rFonts w:hint="eastAsia" w:ascii="Tahoma" w:hAnsi="Tahoma" w:cs="Tahoma"/>
          <w:b/>
          <w:bCs/>
          <w:kern w:val="0"/>
          <w:sz w:val="28"/>
          <w:szCs w:val="28"/>
          <w:lang w:eastAsia="zh-CN"/>
        </w:rPr>
        <w:t>（第二轮）</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生物安全建设设备（02）</w:t>
      </w:r>
    </w:p>
    <w:p>
      <w:pPr>
        <w:tabs>
          <w:tab w:val="left" w:pos="0"/>
          <w:tab w:val="left" w:pos="1122"/>
        </w:tabs>
        <w:spacing w:line="440" w:lineRule="exact"/>
        <w:ind w:firstLine="462"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2020-XNYY-YQ-177</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细菌培养箱</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2</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震荡金属浴</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lang w:eastAsia="zh-CN"/>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3</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旋转混匀仪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lang w:eastAsia="zh-CN"/>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报价应包括物资供应、运输、安装、培训、售后服务等价格。</w:t>
            </w:r>
          </w:p>
          <w:p>
            <w:pPr>
              <w:adjustRightInd w:val="0"/>
              <w:snapToGrid w:val="0"/>
              <w:spacing w:line="360" w:lineRule="atLeast"/>
              <w:rPr>
                <w:rFonts w:cs="Times New Roman" w:asciiTheme="minorEastAsia" w:hAnsiTheme="minorEastAsia"/>
                <w:szCs w:val="21"/>
              </w:rPr>
            </w:pPr>
            <w:r>
              <w:rPr>
                <w:rFonts w:hint="eastAsia" w:asciiTheme="minorEastAsia" w:hAnsiTheme="minorEastAsia"/>
                <w:szCs w:val="21"/>
              </w:rPr>
              <w:t>2.</w:t>
            </w:r>
            <w:r>
              <w:rPr>
                <w:rFonts w:hint="eastAsia" w:asciiTheme="minorEastAsia" w:hAnsiTheme="minorEastAsia"/>
                <w:color w:val="FF0000"/>
                <w:szCs w:val="21"/>
              </w:rPr>
              <w:t>以上物资可单独报名。</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3</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5.廉洁诚信承诺书</w:t>
      </w:r>
    </w:p>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rPr>
        <w:t>6.相关声明书（包含但不限于以下内容）：①非外资企业或外资控股企业的书面声明；②参加本次采购活动前3年内在经营活动中没有重大违法记录的书面声明；</w:t>
      </w:r>
      <w:r>
        <w:rPr>
          <w:rFonts w:hint="eastAsia" w:ascii="宋体" w:hAnsi="宋体" w:eastAsia="宋体" w:cs="Times New Roman"/>
          <w:kern w:val="0"/>
          <w:sz w:val="24"/>
          <w:szCs w:val="24"/>
        </w:rPr>
        <w:t>③具有独立承担民事责任的能力；④具有良好的商业信誉和健全的财务会计制度；⑤具有履行合同所必需的设备和专业技术能力；⑥有依法缴纳税收和社会保障资金的良好记录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7</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8</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w:t>
      </w:r>
      <w:r>
        <w:rPr>
          <w:rFonts w:hint="eastAsia" w:cs="Times New Roman" w:asciiTheme="minorEastAsia" w:hAnsiTheme="minorEastAsia"/>
          <w:kern w:val="0"/>
          <w:sz w:val="24"/>
          <w:szCs w:val="24"/>
          <w:u w:val="single"/>
          <w:lang w:eastAsia="zh-CN"/>
        </w:rPr>
        <w:t>、谭老师</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w:t>
      </w:r>
      <w:r>
        <w:rPr>
          <w:rFonts w:hint="eastAsia" w:ascii="宋体" w:hAnsi="宋体" w:eastAsia="宋体" w:cs="Times New Roman"/>
          <w:kern w:val="0"/>
          <w:sz w:val="24"/>
          <w:szCs w:val="24"/>
          <w:lang w:val="en-US" w:eastAsia="zh-CN"/>
        </w:rPr>
        <w:t>12</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390713967"/>
      <w:bookmarkStart w:id="5" w:name="_Toc285612594"/>
      <w:bookmarkStart w:id="6" w:name="_Toc3778028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细菌培养箱</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2</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震荡金属浴</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heme="minorEastAsia" w:hAnsiTheme="minorEastAsia"/>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3</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旋转混匀仪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heme="minorEastAsia" w:hAnsiTheme="minorEastAsia"/>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年（报价供应商可提供更优免费保修年限）。</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9.若此次谈判设备需配套使用耗材（试剂），耗材（试剂）需要一并进行报价，视情纳入计算经济分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435540980"/>
      <w:bookmarkStart w:id="10" w:name="_Toc240432230"/>
      <w:bookmarkStart w:id="11" w:name="_Toc37780285"/>
      <w:bookmarkStart w:id="12" w:name="_Toc285612601"/>
      <w:bookmarkStart w:id="13" w:name="_Toc390713968"/>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附件13</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付款条件原则上为</w:t>
      </w:r>
      <w:r>
        <w:rPr>
          <w:rFonts w:hint="eastAsia" w:cs="Times New Roman" w:asciiTheme="minorEastAsia" w:hAnsiTheme="minorEastAsia"/>
          <w:kern w:val="0"/>
          <w:sz w:val="24"/>
          <w:szCs w:val="24"/>
          <w:u w:val="single"/>
        </w:rPr>
        <w:t xml:space="preserve"> 合同总金额5万元以下验收合格后付100%；合同总金额5万元（含）以上验收合格后付95%，验收合格满1年付5%  </w:t>
      </w:r>
      <w:r>
        <w:rPr>
          <w:rFonts w:hint="eastAsia" w:cs="Times New Roman" w:asciiTheme="minorEastAsia" w:hAnsiTheme="minorEastAsia"/>
          <w:kern w:val="0"/>
          <w:sz w:val="24"/>
          <w:szCs w:val="24"/>
        </w:rPr>
        <w:t>。报价供应商也可列出更优惠的付款方式</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339" w:firstLineChars="147"/>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xml:space="preserve"> (4)主要技术性能参数表（附件4）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(5)技术指标参数响应偏离表（附件5）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(6)主要商务条款响应偏离表（附件6）</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(7)交货清单（附件7）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w:t>
      </w:r>
      <w:r>
        <w:rPr>
          <w:rFonts w:hint="eastAsia" w:ascii="宋体" w:hAnsi="宋体" w:eastAsia="宋体" w:cs="Times New Roman"/>
          <w:kern w:val="0"/>
          <w:sz w:val="24"/>
          <w:szCs w:val="24"/>
        </w:rPr>
        <w:t>易损易耗件清单（附件8）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专机配套耗材（试剂）明细表（附件9）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spacing w:line="440" w:lineRule="exact"/>
        <w:ind w:firstLine="339" w:firstLineChars="147"/>
        <w:rPr>
          <w:rFonts w:cs="Times New Roman" w:asciiTheme="minorEastAsia" w:hAnsiTheme="minorEastAsia"/>
          <w:kern w:val="0"/>
          <w:sz w:val="24"/>
          <w:szCs w:val="24"/>
        </w:rPr>
      </w:pPr>
      <w:r>
        <w:rPr>
          <w:rFonts w:hint="eastAsia" w:ascii="宋体" w:hAnsi="宋体" w:eastAsia="宋体" w:cs="Times New Roman"/>
          <w:kern w:val="0"/>
          <w:sz w:val="24"/>
          <w:szCs w:val="24"/>
        </w:rPr>
        <w:t xml:space="preserve"> (12)</w:t>
      </w:r>
      <w:r>
        <w:rPr>
          <w:rFonts w:hint="eastAsia" w:cs="Times New Roman" w:asciiTheme="minorEastAsia" w:hAnsiTheme="minorEastAsia"/>
          <w:kern w:val="0"/>
          <w:sz w:val="24"/>
          <w:szCs w:val="24"/>
        </w:rPr>
        <w:t>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(13)法定代表人资格证明书（含法定代表人身份证复印件）（原件，附件12）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(14)法定代表人授权书（含被授权人身份证复印件）（原件，如法定代表人未到现场需提供，附件13）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(15)保密承诺书（附件14）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6</w:t>
      </w:r>
      <w:r>
        <w:rPr>
          <w:rFonts w:hint="eastAsia" w:cs="Times New Roman" w:asciiTheme="minorEastAsia" w:hAnsiTheme="minorEastAsia"/>
          <w:kern w:val="0"/>
          <w:sz w:val="24"/>
          <w:szCs w:val="24"/>
        </w:rPr>
        <w:t>)</w:t>
      </w:r>
      <w:r>
        <w:rPr>
          <w:rFonts w:hint="eastAsia" w:cs="Times New Roman" w:asciiTheme="minorEastAsia" w:hAnsiTheme="minorEastAsia"/>
          <w:snapToGrid w:val="0"/>
          <w:kern w:val="0"/>
          <w:sz w:val="24"/>
          <w:szCs w:val="24"/>
          <w:lang w:val="zh-CN"/>
        </w:rPr>
        <w:t>廉洁诚信承诺书</w:t>
      </w:r>
      <w:r>
        <w:rPr>
          <w:rFonts w:hint="eastAsia" w:cs="Times New Roman" w:asciiTheme="minorEastAsia" w:hAnsiTheme="minorEastAsia"/>
          <w:kern w:val="0"/>
          <w:sz w:val="24"/>
          <w:szCs w:val="24"/>
        </w:rPr>
        <w:t>（附件15）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lang w:val="zh-CN"/>
        </w:rPr>
        <w:t>(17)</w:t>
      </w:r>
      <w:r>
        <w:rPr>
          <w:rFonts w:hint="eastAsia" w:cs="Times New Roman" w:asciiTheme="minorEastAsia" w:hAnsiTheme="minorEastAsia"/>
          <w:kern w:val="0"/>
          <w:sz w:val="24"/>
          <w:szCs w:val="24"/>
        </w:rPr>
        <w:t>相关声明书（包含但不限于以下内容）：①非外资企业或外资控股企业的书面声明；②参加本次采购活动前3年内在经营活动中没有重大违法记录的书面声明；</w:t>
      </w:r>
      <w:r>
        <w:rPr>
          <w:rFonts w:hint="eastAsia" w:ascii="宋体" w:hAnsi="宋体" w:eastAsia="宋体" w:cs="Times New Roman"/>
          <w:kern w:val="0"/>
          <w:sz w:val="24"/>
          <w:szCs w:val="24"/>
        </w:rPr>
        <w:t>③具有独立承担民事责任的能力；④具有良好的商业信誉和健全的财务会计制度；⑤具有履行合同所必需的设备和专业技术能力；⑥有依法缴纳税收和社会保障资金的良好记录</w:t>
      </w:r>
      <w:r>
        <w:rPr>
          <w:rFonts w:hint="eastAsia" w:cs="Times New Roman" w:asciiTheme="minorEastAsia" w:hAnsiTheme="minorEastAsia"/>
          <w:kern w:val="0"/>
          <w:sz w:val="24"/>
          <w:szCs w:val="24"/>
        </w:rPr>
        <w:t>。（附件16）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8</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19</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0</w:t>
      </w:r>
      <w:r>
        <w:rPr>
          <w:rFonts w:hint="eastAsia" w:cs="Times New Roman" w:asciiTheme="minorEastAsia" w:hAnsiTheme="minorEastAsia"/>
          <w:kern w:val="0"/>
          <w:sz w:val="24"/>
          <w:szCs w:val="24"/>
        </w:rPr>
        <w:t>)报价方认为需要加以说明的其他内容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w:t>
      </w:r>
      <w:r>
        <w:rPr>
          <w:rFonts w:hint="eastAsia" w:ascii="宋体" w:hAnsi="宋体" w:eastAsia="宋体" w:cs="Times New Roman"/>
          <w:kern w:val="0"/>
          <w:sz w:val="24"/>
          <w:szCs w:val="24"/>
        </w:rPr>
        <w:t>报价方</w:t>
      </w:r>
      <w:r>
        <w:rPr>
          <w:rFonts w:hint="eastAsia" w:cs="Times New Roman" w:asciiTheme="minorEastAsia" w:hAnsiTheme="minorEastAsia"/>
          <w:kern w:val="0"/>
          <w:sz w:val="24"/>
          <w:szCs w:val="24"/>
        </w:rPr>
        <w:t>可以选择性提供其他材料，包括但不限于产品相关检测报告、质量管理制度、质量检测机构、质量检测设备（提供设备清单和图片），以及第三方质量检测报告等与质量控制相关的证明材料及报价方拟用于履行本项目所必需的设施设备（提供图片、说明和购置发票或租赁协议）、专业技术能力、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等相关证明材料，仅作为商务、技术评审依据，不作为资格性和符合性审查要素</w:t>
      </w:r>
    </w:p>
    <w:p>
      <w:pPr>
        <w:spacing w:line="440" w:lineRule="exact"/>
        <w:ind w:firstLine="339" w:firstLineChars="147"/>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份。在每一份文件上要注明 “正本”或“副本”字样。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7"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97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rPr>
              <w:t xml:space="preserve"> 相关声明书：</w:t>
            </w:r>
            <w:r>
              <w:rPr>
                <w:rFonts w:hint="eastAsia" w:ascii="宋体" w:hAnsi="宋体" w:eastAsia="宋体" w:cs="宋体"/>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 xml:space="preserve">表2                </w:t>
      </w:r>
      <w:r>
        <w:rPr>
          <w:rFonts w:hint="eastAsia" w:ascii="方正小标宋简体" w:hAnsi="Times New Roman" w:eastAsia="方正小标宋简体" w:cs="Times New Roman"/>
          <w:kern w:val="0"/>
          <w:sz w:val="36"/>
          <w:szCs w:val="36"/>
        </w:rPr>
        <w:t>评审标准表</w:t>
      </w:r>
    </w:p>
    <w:tbl>
      <w:tblPr>
        <w:tblStyle w:val="17"/>
        <w:tblW w:w="9782" w:type="dxa"/>
        <w:tblInd w:w="-176" w:type="dxa"/>
        <w:tblLayout w:type="fixed"/>
        <w:tblCellMar>
          <w:top w:w="0" w:type="dxa"/>
          <w:left w:w="108" w:type="dxa"/>
          <w:bottom w:w="0" w:type="dxa"/>
          <w:right w:w="108" w:type="dxa"/>
        </w:tblCellMar>
      </w:tblPr>
      <w:tblGrid>
        <w:gridCol w:w="520"/>
        <w:gridCol w:w="1040"/>
        <w:gridCol w:w="851"/>
        <w:gridCol w:w="7371"/>
      </w:tblGrid>
      <w:tr>
        <w:tblPrEx>
          <w:tblCellMar>
            <w:top w:w="0" w:type="dxa"/>
            <w:left w:w="108" w:type="dxa"/>
            <w:bottom w:w="0" w:type="dxa"/>
            <w:right w:w="108" w:type="dxa"/>
          </w:tblCellMar>
        </w:tblPrEx>
        <w:trPr>
          <w:trHeight w:val="570"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10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评分因素及权重</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初始</w:t>
            </w:r>
          </w:p>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分值</w:t>
            </w:r>
          </w:p>
        </w:tc>
        <w:tc>
          <w:tcPr>
            <w:tcW w:w="737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评分标准</w:t>
            </w:r>
          </w:p>
        </w:tc>
      </w:tr>
      <w:tr>
        <w:tblPrEx>
          <w:tblCellMar>
            <w:top w:w="0" w:type="dxa"/>
            <w:left w:w="108" w:type="dxa"/>
            <w:bottom w:w="0" w:type="dxa"/>
            <w:right w:w="108" w:type="dxa"/>
          </w:tblCellMar>
        </w:tblPrEx>
        <w:trPr>
          <w:trHeight w:val="693"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040"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经济30%</w:t>
            </w:r>
          </w:p>
        </w:tc>
        <w:tc>
          <w:tcPr>
            <w:tcW w:w="85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kern w:val="0"/>
                <w:szCs w:val="21"/>
              </w:rPr>
              <w:t>报价最低者为基准价并计为满分；然后以基准价为基点计算报价供应商的经济得分，推算公式：投标商经济得分</w:t>
            </w:r>
            <w:r>
              <w:rPr>
                <w:rFonts w:hint="eastAsia" w:ascii="宋体" w:hAnsi="宋体" w:eastAsia="宋体" w:cs="Times New Roman"/>
                <w:b/>
                <w:bCs/>
                <w:kern w:val="0"/>
                <w:szCs w:val="21"/>
              </w:rPr>
              <w:t>=</w:t>
            </w:r>
            <w:r>
              <w:rPr>
                <w:rFonts w:hint="eastAsia" w:ascii="宋体" w:hAnsi="宋体" w:eastAsia="宋体" w:cs="Times New Roman"/>
                <w:kern w:val="0"/>
                <w:szCs w:val="21"/>
              </w:rPr>
              <w:t>基准价</w:t>
            </w:r>
            <w:r>
              <w:rPr>
                <w:rFonts w:hint="eastAsia" w:ascii="宋体" w:hAnsi="宋体" w:eastAsia="宋体" w:cs="Times New Roman"/>
                <w:b/>
                <w:bCs/>
                <w:kern w:val="0"/>
                <w:szCs w:val="21"/>
              </w:rPr>
              <w:t>÷</w:t>
            </w:r>
            <w:r>
              <w:rPr>
                <w:rFonts w:hint="eastAsia" w:ascii="宋体" w:hAnsi="宋体" w:eastAsia="宋体" w:cs="Times New Roman"/>
                <w:kern w:val="0"/>
                <w:szCs w:val="21"/>
              </w:rPr>
              <w:t>投标商的最终报价</w:t>
            </w:r>
            <w:r>
              <w:rPr>
                <w:rFonts w:hint="eastAsia" w:ascii="宋体" w:hAnsi="宋体" w:eastAsia="宋体" w:cs="Times New Roman"/>
                <w:b/>
                <w:bCs/>
                <w:kern w:val="0"/>
                <w:szCs w:val="21"/>
              </w:rPr>
              <w:t>×</w:t>
            </w:r>
            <w:r>
              <w:rPr>
                <w:rFonts w:hint="eastAsia" w:ascii="宋体" w:hAnsi="宋体" w:eastAsia="宋体" w:cs="Times New Roman"/>
                <w:kern w:val="0"/>
                <w:szCs w:val="21"/>
              </w:rPr>
              <w:t>权重。</w:t>
            </w:r>
          </w:p>
        </w:tc>
      </w:tr>
      <w:tr>
        <w:tblPrEx>
          <w:tblCellMar>
            <w:top w:w="0" w:type="dxa"/>
            <w:left w:w="108" w:type="dxa"/>
            <w:bottom w:w="0" w:type="dxa"/>
            <w:right w:w="108" w:type="dxa"/>
          </w:tblCellMar>
        </w:tblPrEx>
        <w:trPr>
          <w:trHeight w:val="3976" w:hRule="atLeast"/>
        </w:trPr>
        <w:tc>
          <w:tcPr>
            <w:tcW w:w="520" w:type="dxa"/>
            <w:tcBorders>
              <w:top w:val="nil"/>
              <w:left w:val="single" w:color="auto" w:sz="4" w:space="0"/>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040" w:type="dxa"/>
            <w:tcBorders>
              <w:top w:val="nil"/>
              <w:left w:val="nil"/>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技术指标和配置60%</w:t>
            </w:r>
          </w:p>
        </w:tc>
        <w:tc>
          <w:tcPr>
            <w:tcW w:w="851" w:type="dxa"/>
            <w:tcBorders>
              <w:top w:val="nil"/>
              <w:left w:val="nil"/>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b/>
                <w:bCs/>
                <w:kern w:val="0"/>
                <w:szCs w:val="21"/>
              </w:rPr>
            </w:pP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1.基础分（50分）：</w:t>
            </w:r>
            <w:r>
              <w:rPr>
                <w:rFonts w:hint="eastAsia" w:ascii="宋体" w:hAnsi="宋体" w:eastAsia="宋体" w:cs="Times New Roman"/>
                <w:kern w:val="0"/>
                <w:szCs w:val="21"/>
              </w:rPr>
              <w:t>完全符合采购文件要求没有实质性负偏离得基础分50分。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2.</w:t>
            </w:r>
            <w:r>
              <w:rPr>
                <w:rFonts w:hint="eastAsia" w:ascii="宋体" w:hAnsi="宋体" w:eastAsia="宋体" w:cs="Times New Roman"/>
                <w:b/>
                <w:bCs/>
                <w:kern w:val="0"/>
                <w:szCs w:val="21"/>
              </w:rPr>
              <w:t>加分项（最多加50分）</w:t>
            </w:r>
            <w:r>
              <w:rPr>
                <w:rFonts w:hint="eastAsia" w:ascii="宋体" w:hAnsi="宋体" w:eastAsia="宋体" w:cs="Times New Roman"/>
                <w:kern w:val="0"/>
                <w:szCs w:val="21"/>
              </w:rPr>
              <w:t>：</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①技术指标和配置高于采购要求并体现出产品的质量更优的，每项加5-10分，最多加20分。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②投标产品技术的先进性：可加5-10分，最多加10分。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③投标产品性能的安全性：可加5-10分，最多加10分。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④投标产品性能稳定性：可加5-10分，最多加10分。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3.扣分项（最多扣50分）</w:t>
            </w:r>
            <w:r>
              <w:rPr>
                <w:rFonts w:hint="eastAsia" w:ascii="宋体" w:hAnsi="宋体" w:eastAsia="宋体" w:cs="Times New Roman"/>
                <w:kern w:val="0"/>
                <w:szCs w:val="21"/>
              </w:rPr>
              <w:t>：</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①与采购要求有非实质性负偏离的，一项扣5-10分，最多扣30分；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②有严重负偏离，每项扣分10-15分，直至扣完为止。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4.有下列情况之一者，技术得零分：基本配置有遗漏（含不全）或故意分开作为其他配件（含耗材）或设置陷阱等。</w:t>
            </w:r>
          </w:p>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b/>
                <w:bCs/>
                <w:kern w:val="0"/>
                <w:szCs w:val="21"/>
              </w:rPr>
              <w:t>5.技术项目带“*”条款不满足，按无效报价处理。</w:t>
            </w:r>
          </w:p>
        </w:tc>
      </w:tr>
      <w:tr>
        <w:tblPrEx>
          <w:tblCellMar>
            <w:top w:w="0" w:type="dxa"/>
            <w:left w:w="108" w:type="dxa"/>
            <w:bottom w:w="0" w:type="dxa"/>
            <w:right w:w="108" w:type="dxa"/>
          </w:tblCellMar>
        </w:tblPrEx>
        <w:trPr>
          <w:trHeight w:val="5933"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10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商务10%</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b/>
                <w:bCs/>
                <w:kern w:val="0"/>
                <w:szCs w:val="21"/>
              </w:rPr>
              <w:t xml:space="preserve">  1.得分条件：</w:t>
            </w:r>
            <w:r>
              <w:rPr>
                <w:rFonts w:hint="eastAsia" w:ascii="宋体" w:hAnsi="宋体" w:eastAsia="宋体" w:cs="Times New Roman"/>
                <w:kern w:val="0"/>
                <w:szCs w:val="21"/>
              </w:rPr>
              <w:t>有下列情况者，予以得分：</w:t>
            </w:r>
            <w:r>
              <w:rPr>
                <w:rFonts w:hint="eastAsia" w:ascii="宋体" w:hAnsi="宋体" w:eastAsia="宋体" w:cs="Times New Roman"/>
                <w:b/>
                <w:bCs/>
                <w:kern w:val="0"/>
                <w:szCs w:val="21"/>
              </w:rPr>
              <w:br w:type="textWrapping"/>
            </w:r>
            <w:r>
              <w:rPr>
                <w:rFonts w:hint="eastAsia" w:ascii="宋体" w:hAnsi="宋体" w:eastAsia="宋体" w:cs="Times New Roman"/>
                <w:b/>
                <w:bCs/>
                <w:kern w:val="0"/>
                <w:szCs w:val="21"/>
              </w:rPr>
              <w:t xml:space="preserve">  </w:t>
            </w:r>
            <w:r>
              <w:rPr>
                <w:rFonts w:hint="eastAsia" w:ascii="宋体" w:hAnsi="宋体" w:eastAsia="宋体" w:cs="Times New Roman"/>
                <w:kern w:val="0"/>
                <w:szCs w:val="21"/>
              </w:rPr>
              <w:t>①</w:t>
            </w:r>
            <w:r>
              <w:rPr>
                <w:rFonts w:hint="eastAsia" w:ascii="宋体" w:hAnsi="宋体" w:eastAsia="宋体" w:cs="Times New Roman"/>
                <w:b/>
                <w:bCs/>
                <w:kern w:val="0"/>
                <w:szCs w:val="21"/>
              </w:rPr>
              <w:t>免费质保期：</w:t>
            </w:r>
            <w:r>
              <w:rPr>
                <w:rFonts w:hint="eastAsia" w:ascii="宋体" w:hAnsi="宋体" w:eastAsia="宋体" w:cs="Times New Roman"/>
                <w:kern w:val="0"/>
                <w:szCs w:val="21"/>
              </w:rPr>
              <w:t>≥5年的得20分，≥4年的得18分，达到三年的得15分。不足三年扣分（见下述）。</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w:t>
            </w:r>
            <w:r>
              <w:rPr>
                <w:rFonts w:hint="eastAsia" w:ascii="宋体" w:hAnsi="宋体" w:eastAsia="宋体" w:cs="Times New Roman"/>
                <w:b/>
                <w:bCs/>
                <w:kern w:val="0"/>
                <w:szCs w:val="21"/>
              </w:rPr>
              <w:t>质保期满后的承诺：</w:t>
            </w:r>
            <w:r>
              <w:rPr>
                <w:rFonts w:hint="eastAsia" w:ascii="宋体" w:hAnsi="宋体" w:eastAsia="宋体" w:cs="Times New Roman"/>
                <w:kern w:val="0"/>
                <w:szCs w:val="21"/>
              </w:rPr>
              <w:t>影像诊断类、实验诊断类以及使用频率高的科研与医疗设备，全保费用最低得15-20分；较低得8-14分；其他得0-7分。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③</w:t>
            </w:r>
            <w:r>
              <w:rPr>
                <w:rFonts w:hint="eastAsia" w:ascii="宋体" w:hAnsi="宋体" w:eastAsia="宋体" w:cs="Times New Roman"/>
                <w:b/>
                <w:bCs/>
                <w:kern w:val="0"/>
                <w:szCs w:val="21"/>
              </w:rPr>
              <w:t>零配件及耗品综合报价：</w:t>
            </w:r>
            <w:r>
              <w:rPr>
                <w:rFonts w:hint="eastAsia" w:ascii="宋体" w:hAnsi="宋体" w:eastAsia="宋体" w:cs="Times New Roman"/>
                <w:kern w:val="0"/>
                <w:szCs w:val="21"/>
              </w:rPr>
              <w:t>最低得20分，较低得15分，其他得0-10分。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④</w:t>
            </w:r>
            <w:r>
              <w:rPr>
                <w:rFonts w:hint="eastAsia" w:ascii="宋体" w:hAnsi="宋体" w:eastAsia="宋体" w:cs="Times New Roman"/>
                <w:b/>
                <w:bCs/>
                <w:kern w:val="0"/>
                <w:szCs w:val="21"/>
              </w:rPr>
              <w:t>既往维修保障信誉：</w:t>
            </w:r>
            <w:r>
              <w:rPr>
                <w:rFonts w:hint="eastAsia" w:ascii="宋体" w:hAnsi="宋体" w:eastAsia="宋体" w:cs="Times New Roman"/>
                <w:kern w:val="0"/>
                <w:szCs w:val="21"/>
              </w:rPr>
              <w:t>既往</w:t>
            </w:r>
            <w:r>
              <w:rPr>
                <w:rFonts w:hint="eastAsia" w:ascii="宋体" w:hAnsi="宋体" w:eastAsia="宋体" w:cs="Times New Roman"/>
                <w:bCs/>
                <w:kern w:val="0"/>
                <w:szCs w:val="21"/>
              </w:rPr>
              <w:t>（不论对我院还是其他同级别大型单位）</w:t>
            </w:r>
            <w:r>
              <w:rPr>
                <w:rFonts w:hint="eastAsia" w:ascii="宋体" w:hAnsi="宋体" w:eastAsia="宋体" w:cs="Times New Roman"/>
                <w:kern w:val="0"/>
                <w:szCs w:val="21"/>
              </w:rPr>
              <w:t>维修保障及时、配件充足的得8-10分，较好得5-7分，无不良记录的得0-4分。有不良记录的扣分（见下述）。</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⑤</w:t>
            </w:r>
            <w:r>
              <w:rPr>
                <w:rFonts w:hint="eastAsia" w:ascii="宋体" w:hAnsi="宋体" w:eastAsia="宋体" w:cs="Times New Roman"/>
                <w:b/>
                <w:bCs/>
                <w:kern w:val="0"/>
                <w:szCs w:val="21"/>
              </w:rPr>
              <w:t>维修保障措施：</w:t>
            </w:r>
            <w:r>
              <w:rPr>
                <w:rFonts w:hint="eastAsia" w:ascii="宋体" w:hAnsi="宋体" w:eastAsia="宋体" w:cs="Times New Roman"/>
                <w:kern w:val="0"/>
                <w:szCs w:val="21"/>
              </w:rPr>
              <w:t>在重庆有维修站的(或≥3名常驻工程师)得8-10分；有1-2名常驻工程师得5-7分；无常驻工程师但承诺能维修及时响应的得1-4分；无常驻工程师且承诺模糊的不得分。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⑥</w:t>
            </w:r>
            <w:r>
              <w:rPr>
                <w:rFonts w:hint="eastAsia" w:ascii="宋体" w:hAnsi="宋体" w:eastAsia="宋体" w:cs="Times New Roman"/>
                <w:b/>
                <w:bCs/>
                <w:kern w:val="0"/>
                <w:szCs w:val="21"/>
              </w:rPr>
              <w:t>销售业绩：</w:t>
            </w:r>
            <w:r>
              <w:rPr>
                <w:rFonts w:hint="eastAsia" w:ascii="宋体" w:hAnsi="宋体" w:eastAsia="宋体" w:cs="Times New Roman"/>
                <w:kern w:val="0"/>
                <w:szCs w:val="21"/>
              </w:rPr>
              <w:t>最高10分，根据报价产品具体情况打分。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⑦</w:t>
            </w:r>
            <w:r>
              <w:rPr>
                <w:rFonts w:hint="eastAsia" w:ascii="宋体" w:hAnsi="宋体" w:eastAsia="宋体" w:cs="Times New Roman"/>
                <w:b/>
                <w:bCs/>
                <w:kern w:val="0"/>
                <w:szCs w:val="21"/>
              </w:rPr>
              <w:t>培训：</w:t>
            </w:r>
            <w:r>
              <w:rPr>
                <w:rFonts w:hint="eastAsia" w:ascii="宋体" w:hAnsi="宋体" w:eastAsia="宋体" w:cs="Times New Roman"/>
                <w:kern w:val="0"/>
                <w:szCs w:val="21"/>
              </w:rPr>
              <w:t>提供国外和国内培训的得8-10分，提供国内培训的得5-7分，来院现场培训的1-4分，没有培训的不得分。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2.扣分条件：</w:t>
            </w:r>
            <w:r>
              <w:rPr>
                <w:rFonts w:hint="eastAsia" w:ascii="宋体" w:hAnsi="宋体" w:eastAsia="宋体" w:cs="Times New Roman"/>
                <w:b/>
                <w:bCs/>
                <w:kern w:val="0"/>
                <w:szCs w:val="21"/>
              </w:rPr>
              <w:br w:type="textWrapping"/>
            </w:r>
            <w:r>
              <w:rPr>
                <w:rFonts w:hint="eastAsia" w:ascii="宋体" w:hAnsi="宋体" w:eastAsia="宋体" w:cs="Times New Roman"/>
                <w:b/>
                <w:bCs/>
                <w:kern w:val="0"/>
                <w:szCs w:val="21"/>
              </w:rPr>
              <w:t xml:space="preserve">  </w:t>
            </w:r>
            <w:r>
              <w:rPr>
                <w:rFonts w:hint="eastAsia" w:ascii="宋体" w:hAnsi="宋体" w:eastAsia="宋体" w:cs="Times New Roman"/>
                <w:kern w:val="0"/>
                <w:szCs w:val="21"/>
              </w:rPr>
              <w:t>①质保年限只有2年的扣30分，一年的扣50分。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②近五年既往维修保障信誉（不论对我院还是其他同级别大型单位）有以下不良记录的扣分为：≥3次的商务分为零，1-2次者扣分30-50分。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3.服务项目带“*”</w:t>
            </w:r>
            <w:r>
              <w:rPr>
                <w:rFonts w:hint="eastAsia" w:ascii="宋体" w:hAnsi="宋体" w:eastAsia="宋体" w:cs="Times New Roman"/>
                <w:bCs/>
                <w:kern w:val="0"/>
                <w:szCs w:val="21"/>
              </w:rPr>
              <w:t>条款不满足采购文件要求，按无效报价处理。</w:t>
            </w:r>
          </w:p>
        </w:tc>
      </w:tr>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w:t>
      </w:r>
      <w:r>
        <w:rPr>
          <w:rFonts w:hint="eastAsia" w:cs="Times New Roman" w:asciiTheme="minorEastAsia" w:hAnsiTheme="minorEastAsia"/>
          <w:kern w:val="0"/>
          <w:sz w:val="24"/>
          <w:szCs w:val="24"/>
          <w:u w:val="single"/>
          <w:lang w:eastAsia="zh-CN"/>
        </w:rPr>
        <w:t>、谭老师</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7780286"/>
      <w:bookmarkStart w:id="15" w:name="_Toc37172690"/>
      <w:bookmarkStart w:id="16" w:name="_Toc435540981"/>
      <w:bookmarkStart w:id="17" w:name="_Toc285612603"/>
      <w:bookmarkStart w:id="18"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799"/>
        <w:gridCol w:w="2335"/>
        <w:gridCol w:w="2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335"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335"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335"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37780287"/>
      <w:bookmarkStart w:id="20" w:name="_Toc37172691"/>
      <w:bookmarkStart w:id="21" w:name="_Toc435540982"/>
      <w:bookmarkStart w:id="22" w:name="_Toc390713970"/>
      <w:bookmarkStart w:id="23" w:name="_Toc285612604"/>
      <w:bookmarkStart w:id="24" w:name="_Toc240432233"/>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附件17：生产企业对代理公司参与报价的授权书</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bookmarkEnd w:id="25"/>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附件12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1312;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3360;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autoSpaceDE w:val="0"/>
        <w:autoSpaceDN w:val="0"/>
        <w:adjustRightInd w:val="0"/>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③具有独立承担民事责任的能力；</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④具有良好的商业信誉和健全的财务会计制度；</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⑤具有履行合同所必需的设备和专业技术能力；</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⑥有依法缴纳税收和社会保障资金的良好记录。</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附件19             技术指标参数要求明细</w:t>
      </w:r>
    </w:p>
    <w:p>
      <w:pPr>
        <w:spacing w:line="520" w:lineRule="exact"/>
        <w:jc w:val="center"/>
        <w:rPr>
          <w:rFonts w:asciiTheme="minorEastAsia" w:hAnsiTheme="minorEastAsia"/>
          <w:b/>
          <w:bCs/>
          <w:kern w:val="0"/>
          <w:sz w:val="28"/>
          <w:szCs w:val="32"/>
        </w:rPr>
      </w:pPr>
      <w:r>
        <w:rPr>
          <w:rFonts w:hint="eastAsia" w:cs="Times New Roman" w:asciiTheme="minorEastAsia" w:hAnsiTheme="minorEastAsia"/>
          <w:b/>
          <w:bCs/>
          <w:sz w:val="28"/>
          <w:szCs w:val="28"/>
        </w:rPr>
        <w:t xml:space="preserve">   </w:t>
      </w:r>
      <w:r>
        <w:rPr>
          <w:rFonts w:asciiTheme="minorEastAsia" w:hAnsiTheme="minorEastAsia"/>
          <w:b/>
          <w:bCs/>
          <w:kern w:val="0"/>
          <w:sz w:val="40"/>
          <w:szCs w:val="44"/>
        </w:rPr>
        <w:t>细菌培养箱技术</w:t>
      </w:r>
      <w:r>
        <w:rPr>
          <w:rFonts w:hint="eastAsia" w:asciiTheme="minorEastAsia" w:hAnsiTheme="minorEastAsia"/>
          <w:b/>
          <w:bCs/>
          <w:kern w:val="0"/>
          <w:sz w:val="40"/>
          <w:szCs w:val="44"/>
        </w:rPr>
        <w:t>要求</w:t>
      </w:r>
    </w:p>
    <w:tbl>
      <w:tblPr>
        <w:tblStyle w:val="17"/>
        <w:tblW w:w="9090" w:type="dxa"/>
        <w:jc w:val="center"/>
        <w:tblLayout w:type="fixed"/>
        <w:tblCellMar>
          <w:top w:w="0" w:type="dxa"/>
          <w:left w:w="108" w:type="dxa"/>
          <w:bottom w:w="0" w:type="dxa"/>
          <w:right w:w="108" w:type="dxa"/>
        </w:tblCellMar>
      </w:tblPr>
      <w:tblGrid>
        <w:gridCol w:w="1176"/>
        <w:gridCol w:w="2251"/>
        <w:gridCol w:w="3987"/>
        <w:gridCol w:w="1676"/>
      </w:tblGrid>
      <w:tr>
        <w:tblPrEx>
          <w:tblCellMar>
            <w:top w:w="0" w:type="dxa"/>
            <w:left w:w="108" w:type="dxa"/>
            <w:bottom w:w="0" w:type="dxa"/>
            <w:right w:w="108" w:type="dxa"/>
          </w:tblCellMar>
        </w:tblPrEx>
        <w:trPr>
          <w:trHeight w:val="824" w:hRule="atLeast"/>
          <w:tblHeader/>
          <w:jc w:val="center"/>
        </w:trPr>
        <w:tc>
          <w:tcPr>
            <w:tcW w:w="117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序号</w:t>
            </w:r>
          </w:p>
        </w:tc>
        <w:tc>
          <w:tcPr>
            <w:tcW w:w="2251"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技术和性能参数名称</w:t>
            </w:r>
          </w:p>
        </w:tc>
        <w:tc>
          <w:tcPr>
            <w:tcW w:w="3987"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技术参数和性能要求</w:t>
            </w:r>
          </w:p>
        </w:tc>
        <w:tc>
          <w:tcPr>
            <w:tcW w:w="1676"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eastAsia="幼圆"/>
                <w:b/>
                <w:bCs/>
                <w:kern w:val="0"/>
                <w:sz w:val="24"/>
                <w:szCs w:val="24"/>
              </w:rPr>
            </w:pPr>
            <w:r>
              <w:rPr>
                <w:rFonts w:ascii="Times New Roman" w:hAnsi="Times New Roman"/>
                <w:b/>
                <w:bCs/>
                <w:kern w:val="0"/>
              </w:rPr>
              <w:t>备注</w:t>
            </w:r>
          </w:p>
        </w:tc>
      </w:tr>
      <w:tr>
        <w:tblPrEx>
          <w:tblCellMar>
            <w:top w:w="0" w:type="dxa"/>
            <w:left w:w="108" w:type="dxa"/>
            <w:bottom w:w="0" w:type="dxa"/>
            <w:right w:w="108" w:type="dxa"/>
          </w:tblCellMar>
        </w:tblPrEx>
        <w:trPr>
          <w:trHeight w:val="844"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1</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设备使用需求</w:t>
            </w:r>
          </w:p>
        </w:tc>
        <w:tc>
          <w:tcPr>
            <w:tcW w:w="3987" w:type="dxa"/>
            <w:tcBorders>
              <w:top w:val="nil"/>
              <w:left w:val="nil"/>
              <w:bottom w:val="single" w:color="auto" w:sz="4" w:space="0"/>
              <w:right w:val="single" w:color="auto" w:sz="4" w:space="0"/>
            </w:tcBorders>
            <w:vAlign w:val="center"/>
          </w:tcPr>
          <w:p>
            <w:pPr>
              <w:widowControl/>
              <w:rPr>
                <w:rFonts w:ascii="Times New Roman" w:hAnsi="Times New Roman"/>
                <w:b/>
                <w:bCs/>
                <w:kern w:val="0"/>
                <w:sz w:val="24"/>
                <w:szCs w:val="24"/>
              </w:rPr>
            </w:pP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 w:val="24"/>
                <w:szCs w:val="24"/>
              </w:rPr>
            </w:pPr>
          </w:p>
        </w:tc>
      </w:tr>
      <w:tr>
        <w:tblPrEx>
          <w:tblCellMar>
            <w:top w:w="0" w:type="dxa"/>
            <w:left w:w="108" w:type="dxa"/>
            <w:bottom w:w="0" w:type="dxa"/>
            <w:right w:w="108" w:type="dxa"/>
          </w:tblCellMar>
        </w:tblPrEx>
        <w:trPr>
          <w:trHeight w:val="85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1.1</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设备用途</w:t>
            </w:r>
          </w:p>
        </w:tc>
        <w:tc>
          <w:tcPr>
            <w:tcW w:w="398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rPr>
              <w:t>为细菌培养、各种恒温实验操作所需</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850"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1.2</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rPr>
              <w:t>实验对象</w:t>
            </w:r>
          </w:p>
        </w:tc>
        <w:tc>
          <w:tcPr>
            <w:tcW w:w="398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rPr>
              <w:t>细菌、实验样品</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85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Cs/>
                <w:kern w:val="0"/>
                <w:sz w:val="24"/>
                <w:szCs w:val="24"/>
              </w:rPr>
            </w:pPr>
            <w:r>
              <w:rPr>
                <w:rFonts w:ascii="Times New Roman" w:hAnsi="Times New Roman"/>
                <w:bCs/>
                <w:kern w:val="0"/>
              </w:rPr>
              <w:t>1.3</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bCs/>
                <w:kern w:val="0"/>
                <w:sz w:val="24"/>
                <w:szCs w:val="24"/>
              </w:rPr>
            </w:pPr>
            <w:r>
              <w:rPr>
                <w:rFonts w:ascii="Times New Roman" w:hAnsi="Times New Roman"/>
                <w:bCs/>
                <w:kern w:val="0"/>
              </w:rPr>
              <w:t>特殊功能需求</w:t>
            </w:r>
          </w:p>
        </w:tc>
        <w:tc>
          <w:tcPr>
            <w:tcW w:w="3987"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 w:val="24"/>
                <w:szCs w:val="24"/>
              </w:rPr>
            </w:pP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 w:val="24"/>
                <w:szCs w:val="24"/>
              </w:rPr>
            </w:pPr>
          </w:p>
        </w:tc>
      </w:tr>
      <w:tr>
        <w:tblPrEx>
          <w:tblCellMar>
            <w:top w:w="0" w:type="dxa"/>
            <w:left w:w="108" w:type="dxa"/>
            <w:bottom w:w="0" w:type="dxa"/>
            <w:right w:w="108" w:type="dxa"/>
          </w:tblCellMar>
        </w:tblPrEx>
        <w:trPr>
          <w:trHeight w:val="99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2</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主要技术参数</w:t>
            </w:r>
            <w:r>
              <w:rPr>
                <w:rFonts w:ascii="Times New Roman" w:hAnsi="Times New Roman"/>
                <w:b/>
                <w:bCs/>
                <w:kern w:val="0"/>
              </w:rPr>
              <w:br w:type="textWrapping"/>
            </w:r>
            <w:r>
              <w:rPr>
                <w:rFonts w:ascii="Times New Roman" w:hAnsi="Times New Roman"/>
                <w:b/>
                <w:bCs/>
                <w:kern w:val="0"/>
              </w:rPr>
              <w:t>（一行只写一个参数）</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73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2.1</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参数1</w:t>
            </w:r>
          </w:p>
        </w:tc>
        <w:tc>
          <w:tcPr>
            <w:tcW w:w="3987" w:type="dxa"/>
            <w:tcBorders>
              <w:top w:val="nil"/>
              <w:left w:val="nil"/>
              <w:bottom w:val="single" w:color="auto" w:sz="4" w:space="0"/>
              <w:right w:val="single" w:color="auto" w:sz="4" w:space="0"/>
            </w:tcBorders>
            <w:vAlign w:val="center"/>
          </w:tcPr>
          <w:p>
            <w:pPr>
              <w:pStyle w:val="46"/>
              <w:spacing w:line="276" w:lineRule="auto"/>
              <w:ind w:firstLine="0" w:firstLineChars="0"/>
              <w:rPr>
                <w:rFonts w:ascii="Times New Roman" w:hAnsi="Times New Roman" w:eastAsia="宋体"/>
                <w:kern w:val="2"/>
                <w:sz w:val="24"/>
                <w:szCs w:val="24"/>
                <w:lang w:val="en-US" w:eastAsia="zh-CN"/>
              </w:rPr>
            </w:pPr>
            <w:r>
              <w:rPr>
                <w:rFonts w:ascii="Times New Roman" w:hAnsi="Times New Roman" w:eastAsia="宋体"/>
                <w:kern w:val="2"/>
                <w:sz w:val="24"/>
                <w:szCs w:val="24"/>
                <w:lang w:val="en-US" w:eastAsia="zh-CN"/>
              </w:rPr>
              <w:t>微电脑智能控温仪，具有设定、测定温度双数字显示和PID自整定</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2.2</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参数2</w:t>
            </w:r>
          </w:p>
        </w:tc>
        <w:tc>
          <w:tcPr>
            <w:tcW w:w="3987" w:type="dxa"/>
            <w:tcBorders>
              <w:top w:val="nil"/>
              <w:left w:val="nil"/>
              <w:bottom w:val="single" w:color="auto" w:sz="4" w:space="0"/>
              <w:right w:val="single" w:color="auto" w:sz="4" w:space="0"/>
            </w:tcBorders>
            <w:vAlign w:val="center"/>
          </w:tcPr>
          <w:p>
            <w:pPr>
              <w:spacing w:line="360" w:lineRule="auto"/>
              <w:rPr>
                <w:rFonts w:ascii="Times New Roman" w:hAnsi="Times New Roman"/>
                <w:color w:val="000000"/>
                <w:sz w:val="24"/>
                <w:szCs w:val="24"/>
              </w:rPr>
            </w:pPr>
            <w:r>
              <w:rPr>
                <w:rFonts w:ascii="Times New Roman" w:hAnsi="Times New Roman"/>
                <w:color w:val="000000"/>
              </w:rPr>
              <w:t xml:space="preserve">采用外加热式，强制对流通风式结构， </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2.3</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参数3</w:t>
            </w:r>
          </w:p>
        </w:tc>
        <w:tc>
          <w:tcPr>
            <w:tcW w:w="3987" w:type="dxa"/>
            <w:tcBorders>
              <w:top w:val="nil"/>
              <w:left w:val="nil"/>
              <w:bottom w:val="single" w:color="auto" w:sz="4" w:space="0"/>
              <w:right w:val="single" w:color="auto" w:sz="4" w:space="0"/>
            </w:tcBorders>
            <w:vAlign w:val="center"/>
          </w:tcPr>
          <w:p>
            <w:pPr>
              <w:widowControl/>
              <w:spacing w:line="440" w:lineRule="exact"/>
              <w:rPr>
                <w:rFonts w:ascii="Times New Roman" w:hAnsi="Times New Roman"/>
                <w:sz w:val="24"/>
                <w:szCs w:val="24"/>
              </w:rPr>
            </w:pPr>
            <w:r>
              <w:rPr>
                <w:rFonts w:ascii="Times New Roman" w:hAnsi="Times New Roman"/>
              </w:rPr>
              <w:t>内外双重门结构，温度波动小。外门采用全透明观察窗型，内部物品一目了然</w:t>
            </w:r>
          </w:p>
        </w:tc>
        <w:tc>
          <w:tcPr>
            <w:tcW w:w="1676" w:type="dxa"/>
            <w:tcBorders>
              <w:top w:val="nil"/>
              <w:left w:val="nil"/>
              <w:bottom w:val="single" w:color="auto" w:sz="4" w:space="0"/>
              <w:right w:val="single" w:color="auto" w:sz="8" w:space="0"/>
            </w:tcBorders>
            <w:vAlign w:val="center"/>
          </w:tcPr>
          <w:p>
            <w:pPr>
              <w:widowControl/>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2.4</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参数4</w:t>
            </w:r>
          </w:p>
        </w:tc>
        <w:tc>
          <w:tcPr>
            <w:tcW w:w="3987" w:type="dxa"/>
            <w:tcBorders>
              <w:top w:val="single" w:color="auto" w:sz="4" w:space="0"/>
              <w:left w:val="nil"/>
              <w:bottom w:val="single" w:color="auto" w:sz="4" w:space="0"/>
              <w:right w:val="single" w:color="auto" w:sz="4" w:space="0"/>
            </w:tcBorders>
            <w:vAlign w:val="center"/>
          </w:tcPr>
          <w:p>
            <w:pPr>
              <w:spacing w:line="360" w:lineRule="auto"/>
              <w:rPr>
                <w:rFonts w:ascii="Times New Roman" w:hAnsi="Times New Roman"/>
                <w:bCs/>
                <w:sz w:val="24"/>
                <w:szCs w:val="24"/>
              </w:rPr>
            </w:pPr>
            <w:r>
              <w:rPr>
                <w:rFonts w:ascii="Times New Roman" w:hAnsi="Times New Roman"/>
                <w:bCs/>
              </w:rPr>
              <w:t>内部容积≥50升</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737"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2.5</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参数5</w:t>
            </w:r>
          </w:p>
        </w:tc>
        <w:tc>
          <w:tcPr>
            <w:tcW w:w="3987" w:type="dxa"/>
            <w:tcBorders>
              <w:top w:val="single" w:color="auto" w:sz="4" w:space="0"/>
              <w:left w:val="nil"/>
              <w:bottom w:val="single" w:color="auto" w:sz="4" w:space="0"/>
              <w:right w:val="single" w:color="auto" w:sz="4" w:space="0"/>
            </w:tcBorders>
            <w:vAlign w:val="center"/>
          </w:tcPr>
          <w:p>
            <w:pPr>
              <w:spacing w:line="360" w:lineRule="auto"/>
              <w:rPr>
                <w:rFonts w:ascii="Times New Roman" w:hAnsi="Times New Roman"/>
                <w:bCs/>
                <w:sz w:val="24"/>
                <w:szCs w:val="24"/>
              </w:rPr>
            </w:pPr>
            <w:r>
              <w:rPr>
                <w:rFonts w:ascii="Times New Roman" w:hAnsi="Times New Roman"/>
                <w:bCs/>
              </w:rPr>
              <w:t>温度分辨率≤</w:t>
            </w:r>
            <w:r>
              <w:rPr>
                <w:rFonts w:ascii="Times New Roman" w:hAnsi="Times New Roman" w:eastAsia="微软雅黑"/>
                <w:color w:val="444444"/>
                <w:szCs w:val="21"/>
              </w:rPr>
              <w:t>±1</w:t>
            </w:r>
            <w:r>
              <w:rPr>
                <w:rFonts w:hint="eastAsia" w:ascii="宋体" w:hAnsi="宋体" w:cs="宋体"/>
                <w:color w:val="444444"/>
                <w:szCs w:val="21"/>
              </w:rPr>
              <w:t>℃</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65"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2.6</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参数6</w:t>
            </w:r>
          </w:p>
        </w:tc>
        <w:tc>
          <w:tcPr>
            <w:tcW w:w="398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bCs/>
                <w:sz w:val="24"/>
                <w:szCs w:val="24"/>
              </w:rPr>
            </w:pPr>
            <w:r>
              <w:rPr>
                <w:rFonts w:ascii="Times New Roman" w:hAnsi="Times New Roman"/>
                <w:bCs/>
              </w:rPr>
              <w:t>控温范围室温+5-65</w:t>
            </w:r>
            <w:r>
              <w:rPr>
                <w:rFonts w:hint="eastAsia" w:ascii="宋体" w:hAnsi="宋体" w:cs="宋体"/>
                <w:bCs/>
              </w:rPr>
              <w:t>℃</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1"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2.7</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参数7</w:t>
            </w:r>
          </w:p>
        </w:tc>
        <w:tc>
          <w:tcPr>
            <w:tcW w:w="398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sz w:val="24"/>
                <w:szCs w:val="24"/>
              </w:rPr>
            </w:pPr>
            <w:r>
              <w:rPr>
                <w:rFonts w:ascii="Times New Roman" w:hAnsi="Times New Roman"/>
              </w:rPr>
              <w:t>温度波动度</w:t>
            </w:r>
            <w:r>
              <w:rPr>
                <w:rFonts w:ascii="Times New Roman" w:hAnsi="Times New Roman"/>
                <w:bCs/>
              </w:rPr>
              <w:t>≤</w:t>
            </w:r>
            <w:r>
              <w:rPr>
                <w:rFonts w:ascii="Times New Roman" w:hAnsi="Times New Roman"/>
              </w:rPr>
              <w:t>±0.5</w:t>
            </w:r>
            <w:r>
              <w:rPr>
                <w:rFonts w:hint="eastAsia" w:ascii="宋体" w:hAnsi="宋体" w:cs="宋体"/>
              </w:rPr>
              <w:t>℃</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2.8</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参数8</w:t>
            </w:r>
          </w:p>
        </w:tc>
        <w:tc>
          <w:tcPr>
            <w:tcW w:w="3987" w:type="dxa"/>
            <w:tcBorders>
              <w:top w:val="nil"/>
              <w:left w:val="nil"/>
              <w:bottom w:val="single" w:color="auto" w:sz="4" w:space="0"/>
              <w:right w:val="single" w:color="auto" w:sz="4" w:space="0"/>
            </w:tcBorders>
            <w:vAlign w:val="center"/>
          </w:tcPr>
          <w:p>
            <w:pPr>
              <w:pStyle w:val="46"/>
              <w:spacing w:line="276" w:lineRule="auto"/>
              <w:ind w:firstLine="0" w:firstLineChars="0"/>
              <w:rPr>
                <w:rFonts w:ascii="Times New Roman" w:hAnsi="Times New Roman" w:eastAsia="宋体"/>
                <w:color w:val="000000"/>
                <w:kern w:val="2"/>
                <w:sz w:val="24"/>
                <w:szCs w:val="24"/>
                <w:lang w:val="en-US" w:eastAsia="zh-CN"/>
              </w:rPr>
            </w:pPr>
            <w:r>
              <w:rPr>
                <w:rFonts w:ascii="Times New Roman" w:hAnsi="Times New Roman" w:eastAsia="宋体"/>
                <w:color w:val="000000"/>
                <w:kern w:val="2"/>
                <w:sz w:val="24"/>
                <w:szCs w:val="24"/>
                <w:lang w:val="en-US" w:eastAsia="zh-CN"/>
              </w:rPr>
              <w:t>工作室材料采用优质不锈钢板制成</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810"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3</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配置需求</w:t>
            </w:r>
            <w:r>
              <w:rPr>
                <w:rFonts w:ascii="Times New Roman" w:hAnsi="Times New Roman"/>
                <w:b/>
                <w:bCs/>
                <w:kern w:val="0"/>
              </w:rPr>
              <w:br w:type="textWrapping"/>
            </w:r>
            <w:r>
              <w:rPr>
                <w:rFonts w:ascii="Times New Roman" w:hAnsi="Times New Roman"/>
                <w:b/>
                <w:bCs/>
                <w:kern w:val="0"/>
              </w:rPr>
              <w:t>（一行只写一个配置）</w:t>
            </w:r>
          </w:p>
        </w:tc>
        <w:tc>
          <w:tcPr>
            <w:tcW w:w="39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23"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3.1</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配置1</w:t>
            </w:r>
          </w:p>
        </w:tc>
        <w:tc>
          <w:tcPr>
            <w:tcW w:w="39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24"/>
                <w:szCs w:val="24"/>
              </w:rPr>
            </w:pPr>
            <w:r>
              <w:rPr>
                <w:rFonts w:ascii="Times New Roman" w:hAnsi="Times New Roman"/>
              </w:rPr>
              <w:t>培养箱1个</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17"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3.2</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配置2</w:t>
            </w:r>
          </w:p>
        </w:tc>
        <w:tc>
          <w:tcPr>
            <w:tcW w:w="39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Cs/>
                <w:sz w:val="24"/>
                <w:szCs w:val="24"/>
              </w:rPr>
            </w:pPr>
            <w:r>
              <w:rPr>
                <w:rFonts w:ascii="Times New Roman" w:hAnsi="Times New Roman"/>
                <w:bCs/>
              </w:rPr>
              <w:t>载物托架2个</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575"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4</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售后服务</w:t>
            </w:r>
          </w:p>
        </w:tc>
        <w:tc>
          <w:tcPr>
            <w:tcW w:w="39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b/>
                <w:bCs/>
                <w:kern w:val="0"/>
                <w:sz w:val="24"/>
                <w:szCs w:val="24"/>
              </w:rPr>
            </w:pPr>
          </w:p>
        </w:tc>
      </w:tr>
      <w:tr>
        <w:tblPrEx>
          <w:tblCellMar>
            <w:top w:w="0" w:type="dxa"/>
            <w:left w:w="108" w:type="dxa"/>
            <w:bottom w:w="0" w:type="dxa"/>
            <w:right w:w="108" w:type="dxa"/>
          </w:tblCellMar>
        </w:tblPrEx>
        <w:trPr>
          <w:trHeight w:val="692"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保修年限</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≥3年</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107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4.2</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出现故障回应时间</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维修到达现场时间≤ 6小时（本地）</w:t>
            </w:r>
            <w:r>
              <w:rPr>
                <w:rFonts w:ascii="Times New Roman" w:hAnsi="Times New Roman"/>
                <w:kern w:val="0"/>
              </w:rPr>
              <w:br w:type="textWrapping"/>
            </w:r>
            <w:r>
              <w:rPr>
                <w:rFonts w:ascii="Times New Roman" w:hAnsi="Times New Roman"/>
                <w:kern w:val="0"/>
              </w:rPr>
              <w:t>维修到达现场时间≤24小时（外地）</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4.3</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维修支持</w:t>
            </w:r>
          </w:p>
        </w:tc>
        <w:tc>
          <w:tcPr>
            <w:tcW w:w="39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配件供应时间≥10年</w:t>
            </w:r>
          </w:p>
        </w:tc>
        <w:tc>
          <w:tcPr>
            <w:tcW w:w="16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4.4</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耗材及零配件</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提供耗材及主要零配件目录（含报价）</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4.5</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维修资料</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提供详细操作手册、维修保养手册、安装手册等</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4.6</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维修工具</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提供维修专用工具1套</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4.7</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预防性维修</w:t>
            </w:r>
            <w:r>
              <w:rPr>
                <w:rFonts w:ascii="Times New Roman" w:hAnsi="Times New Roman"/>
                <w:kern w:val="0"/>
              </w:rPr>
              <w:br w:type="textWrapping"/>
            </w:r>
            <w:r>
              <w:rPr>
                <w:rFonts w:ascii="Times New Roman" w:hAnsi="Times New Roman"/>
                <w:kern w:val="0"/>
              </w:rPr>
              <w:t>/定期维护保养</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保修期内提供定期维护保养服务</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4.8</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维修密码支持</w:t>
            </w:r>
          </w:p>
        </w:tc>
        <w:tc>
          <w:tcPr>
            <w:tcW w:w="39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开放</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4.9</w:t>
            </w:r>
          </w:p>
        </w:tc>
        <w:tc>
          <w:tcPr>
            <w:tcW w:w="22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升级</w:t>
            </w:r>
          </w:p>
        </w:tc>
        <w:tc>
          <w:tcPr>
            <w:tcW w:w="39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终身免费软件升级</w:t>
            </w:r>
          </w:p>
        </w:tc>
        <w:tc>
          <w:tcPr>
            <w:tcW w:w="1676"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4.10</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使用培训</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支持</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4.11</w:t>
            </w:r>
          </w:p>
        </w:tc>
        <w:tc>
          <w:tcPr>
            <w:tcW w:w="225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工程师培训</w:t>
            </w:r>
          </w:p>
        </w:tc>
        <w:tc>
          <w:tcPr>
            <w:tcW w:w="39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支持</w:t>
            </w:r>
          </w:p>
        </w:tc>
        <w:tc>
          <w:tcPr>
            <w:tcW w:w="1676"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bl>
    <w:p>
      <w:pPr>
        <w:widowControl/>
        <w:jc w:val="center"/>
        <w:rPr>
          <w:rFonts w:asciiTheme="minorEastAsia" w:hAnsiTheme="minorEastAsia"/>
          <w:b/>
          <w:bCs/>
          <w:kern w:val="0"/>
          <w:sz w:val="40"/>
          <w:szCs w:val="44"/>
        </w:rPr>
      </w:pPr>
      <w:r>
        <w:rPr>
          <w:rFonts w:asciiTheme="minorEastAsia" w:hAnsiTheme="minorEastAsia"/>
          <w:b/>
          <w:bCs/>
          <w:kern w:val="0"/>
          <w:sz w:val="40"/>
          <w:szCs w:val="44"/>
        </w:rPr>
        <w:t>震荡金属浴设备技术</w:t>
      </w:r>
      <w:r>
        <w:rPr>
          <w:rFonts w:hint="eastAsia" w:asciiTheme="minorEastAsia" w:hAnsiTheme="minorEastAsia"/>
          <w:b/>
          <w:bCs/>
          <w:kern w:val="0"/>
          <w:sz w:val="40"/>
          <w:szCs w:val="44"/>
        </w:rPr>
        <w:t>要求</w:t>
      </w:r>
    </w:p>
    <w:tbl>
      <w:tblPr>
        <w:tblStyle w:val="17"/>
        <w:tblW w:w="9113" w:type="dxa"/>
        <w:jc w:val="center"/>
        <w:tblLayout w:type="fixed"/>
        <w:tblCellMar>
          <w:top w:w="0" w:type="dxa"/>
          <w:left w:w="108" w:type="dxa"/>
          <w:bottom w:w="0" w:type="dxa"/>
          <w:right w:w="108" w:type="dxa"/>
        </w:tblCellMar>
      </w:tblPr>
      <w:tblGrid>
        <w:gridCol w:w="878"/>
        <w:gridCol w:w="2260"/>
        <w:gridCol w:w="3890"/>
        <w:gridCol w:w="2085"/>
      </w:tblGrid>
      <w:tr>
        <w:tblPrEx>
          <w:tblCellMar>
            <w:top w:w="0" w:type="dxa"/>
            <w:left w:w="108" w:type="dxa"/>
            <w:bottom w:w="0" w:type="dxa"/>
            <w:right w:w="108" w:type="dxa"/>
          </w:tblCellMar>
        </w:tblPrEx>
        <w:trPr>
          <w:trHeight w:val="540" w:hRule="atLeast"/>
          <w:tblHeader/>
          <w:jc w:val="center"/>
        </w:trPr>
        <w:tc>
          <w:tcPr>
            <w:tcW w:w="878"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序号</w:t>
            </w:r>
          </w:p>
        </w:tc>
        <w:tc>
          <w:tcPr>
            <w:tcW w:w="2260"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技术和性能参数名称</w:t>
            </w:r>
          </w:p>
        </w:tc>
        <w:tc>
          <w:tcPr>
            <w:tcW w:w="3890"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技术参数和性能要求</w:t>
            </w:r>
          </w:p>
        </w:tc>
        <w:tc>
          <w:tcPr>
            <w:tcW w:w="2085"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备注</w:t>
            </w: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1</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设备使用需求</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1.1</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设备用途</w:t>
            </w:r>
          </w:p>
        </w:tc>
        <w:tc>
          <w:tcPr>
            <w:tcW w:w="3890" w:type="dxa"/>
            <w:tcBorders>
              <w:top w:val="nil"/>
              <w:left w:val="nil"/>
              <w:bottom w:val="single" w:color="auto" w:sz="4" w:space="0"/>
              <w:right w:val="single" w:color="auto" w:sz="4" w:space="0"/>
            </w:tcBorders>
            <w:vAlign w:val="center"/>
          </w:tcPr>
          <w:p>
            <w:pPr>
              <w:widowControl/>
              <w:jc w:val="left"/>
              <w:rPr>
                <w:rFonts w:ascii="Times New Roman" w:hAnsi="Times New Roman"/>
                <w:b/>
                <w:bCs/>
                <w:color w:val="000000"/>
                <w:szCs w:val="21"/>
              </w:rPr>
            </w:pPr>
            <w:r>
              <w:rPr>
                <w:rFonts w:ascii="Times New Roman" w:hAnsi="Times New Roman"/>
                <w:szCs w:val="21"/>
              </w:rPr>
              <w:t>用于病原微生物感染样本的检测，主要用来做均匀酶反应等</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1.2</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实验对象</w:t>
            </w:r>
          </w:p>
        </w:tc>
        <w:tc>
          <w:tcPr>
            <w:tcW w:w="3890" w:type="dxa"/>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Cs w:val="21"/>
              </w:rPr>
            </w:pPr>
            <w:r>
              <w:rPr>
                <w:rFonts w:ascii="Times New Roman" w:hAnsi="Times New Roman"/>
                <w:kern w:val="0"/>
                <w:szCs w:val="21"/>
              </w:rPr>
              <w:t>疑似病原微生物感染样本</w:t>
            </w:r>
          </w:p>
        </w:tc>
        <w:tc>
          <w:tcPr>
            <w:tcW w:w="208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Cs/>
                <w:kern w:val="0"/>
                <w:szCs w:val="21"/>
              </w:rPr>
            </w:pPr>
            <w:r>
              <w:rPr>
                <w:rFonts w:ascii="Times New Roman" w:hAnsi="Times New Roman"/>
                <w:bCs/>
                <w:kern w:val="0"/>
                <w:szCs w:val="21"/>
              </w:rPr>
              <w:t>1.3</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bCs/>
                <w:kern w:val="0"/>
                <w:szCs w:val="21"/>
              </w:rPr>
            </w:pPr>
            <w:r>
              <w:rPr>
                <w:rFonts w:ascii="Times New Roman" w:hAnsi="Times New Roman"/>
                <w:bCs/>
                <w:kern w:val="0"/>
                <w:szCs w:val="21"/>
              </w:rPr>
              <w:t>特殊功能需求</w:t>
            </w:r>
          </w:p>
        </w:tc>
        <w:tc>
          <w:tcPr>
            <w:tcW w:w="3890" w:type="dxa"/>
            <w:tcBorders>
              <w:top w:val="nil"/>
              <w:left w:val="nil"/>
              <w:bottom w:val="single" w:color="auto" w:sz="4" w:space="0"/>
              <w:right w:val="single" w:color="auto" w:sz="4" w:space="0"/>
            </w:tcBorders>
            <w:vAlign w:val="center"/>
          </w:tcPr>
          <w:p>
            <w:pPr>
              <w:widowControl/>
              <w:rPr>
                <w:rFonts w:ascii="Times New Roman" w:hAnsi="Times New Roman"/>
                <w:b/>
                <w:bCs/>
                <w:kern w:val="0"/>
                <w:szCs w:val="21"/>
              </w:rPr>
            </w:pPr>
            <w:r>
              <w:rPr>
                <w:rFonts w:ascii="Times New Roman" w:hAnsi="Times New Roman"/>
                <w:kern w:val="0"/>
                <w:szCs w:val="21"/>
              </w:rPr>
              <w:t>加热反应和震荡可同时进行，便携</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2</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主要技术参数</w:t>
            </w:r>
            <w:r>
              <w:rPr>
                <w:rFonts w:ascii="Times New Roman" w:hAnsi="Times New Roman"/>
                <w:b/>
                <w:bCs/>
                <w:kern w:val="0"/>
                <w:szCs w:val="21"/>
              </w:rPr>
              <w:br w:type="textWrapping"/>
            </w:r>
            <w:r>
              <w:rPr>
                <w:rFonts w:ascii="Times New Roman" w:hAnsi="Times New Roman"/>
                <w:b/>
                <w:bCs/>
                <w:kern w:val="0"/>
                <w:szCs w:val="21"/>
              </w:rPr>
              <w:t>（一行只写一个参数）</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2.1</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hAnsi="宋体" w:cs="宋体"/>
                <w:kern w:val="0"/>
              </w:rPr>
              <w:t>★</w:t>
            </w:r>
            <w:r>
              <w:rPr>
                <w:rFonts w:ascii="Times New Roman" w:hAnsi="Times New Roman"/>
                <w:kern w:val="0"/>
                <w:szCs w:val="21"/>
              </w:rPr>
              <w:t>参数1</w:t>
            </w:r>
          </w:p>
        </w:tc>
        <w:tc>
          <w:tcPr>
            <w:tcW w:w="3890" w:type="dxa"/>
            <w:tcBorders>
              <w:top w:val="nil"/>
              <w:left w:val="nil"/>
              <w:bottom w:val="single" w:color="auto" w:sz="4" w:space="0"/>
              <w:right w:val="single" w:color="auto" w:sz="4" w:space="0"/>
            </w:tcBorders>
            <w:vAlign w:val="center"/>
          </w:tcPr>
          <w:p>
            <w:pPr>
              <w:spacing w:line="360" w:lineRule="auto"/>
              <w:rPr>
                <w:rFonts w:ascii="Times New Roman" w:hAnsi="Times New Roman"/>
                <w:color w:val="000000"/>
                <w:szCs w:val="21"/>
              </w:rPr>
            </w:pPr>
            <w:r>
              <w:rPr>
                <w:rFonts w:ascii="Times New Roman" w:hAnsi="Times New Roman"/>
                <w:szCs w:val="21"/>
              </w:rPr>
              <w:t>温度范围：高于室温4 °C至100 °C；</w:t>
            </w:r>
          </w:p>
        </w:tc>
        <w:tc>
          <w:tcPr>
            <w:tcW w:w="2085" w:type="dxa"/>
            <w:tcBorders>
              <w:top w:val="nil"/>
              <w:left w:val="nil"/>
              <w:bottom w:val="single" w:color="auto" w:sz="4" w:space="0"/>
              <w:right w:val="single" w:color="auto" w:sz="8" w:space="0"/>
            </w:tcBorders>
            <w:vAlign w:val="center"/>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2.2</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hAnsi="宋体" w:cs="宋体"/>
                <w:kern w:val="0"/>
              </w:rPr>
              <w:t>★</w:t>
            </w:r>
            <w:r>
              <w:rPr>
                <w:rFonts w:ascii="Times New Roman" w:hAnsi="Times New Roman"/>
                <w:kern w:val="0"/>
                <w:szCs w:val="21"/>
              </w:rPr>
              <w:t>参数2</w:t>
            </w:r>
          </w:p>
        </w:tc>
        <w:tc>
          <w:tcPr>
            <w:tcW w:w="3890" w:type="dxa"/>
            <w:tcBorders>
              <w:top w:val="nil"/>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温育准确性：20°C ~ 45°C为±0.5 °C；</w:t>
            </w:r>
          </w:p>
        </w:tc>
        <w:tc>
          <w:tcPr>
            <w:tcW w:w="2085" w:type="dxa"/>
            <w:tcBorders>
              <w:top w:val="nil"/>
              <w:left w:val="nil"/>
              <w:bottom w:val="single" w:color="auto" w:sz="4" w:space="0"/>
              <w:right w:val="single" w:color="auto" w:sz="8" w:space="0"/>
            </w:tcBorders>
            <w:vAlign w:val="center"/>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2.3</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参数3</w:t>
            </w:r>
          </w:p>
        </w:tc>
        <w:tc>
          <w:tcPr>
            <w:tcW w:w="3890" w:type="dxa"/>
            <w:tcBorders>
              <w:top w:val="nil"/>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加热速度：≥10°C/min；</w:t>
            </w:r>
          </w:p>
        </w:tc>
        <w:tc>
          <w:tcPr>
            <w:tcW w:w="2085" w:type="dxa"/>
            <w:tcBorders>
              <w:top w:val="nil"/>
              <w:left w:val="nil"/>
              <w:bottom w:val="single" w:color="auto" w:sz="4" w:space="0"/>
              <w:right w:val="single" w:color="auto" w:sz="8" w:space="0"/>
            </w:tcBorders>
            <w:vAlign w:val="center"/>
          </w:tcPr>
          <w:p>
            <w:pPr>
              <w:widowControl/>
              <w:jc w:val="left"/>
              <w:rPr>
                <w:rFonts w:ascii="Times New Roman" w:hAnsi="Times New Roman"/>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2.4</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参数4</w:t>
            </w:r>
          </w:p>
        </w:tc>
        <w:tc>
          <w:tcPr>
            <w:tcW w:w="3890" w:type="dxa"/>
            <w:tcBorders>
              <w:top w:val="nil"/>
              <w:left w:val="nil"/>
              <w:bottom w:val="single" w:color="auto" w:sz="4" w:space="0"/>
              <w:right w:val="single" w:color="auto" w:sz="4" w:space="0"/>
            </w:tcBorders>
            <w:vAlign w:val="center"/>
          </w:tcPr>
          <w:p>
            <w:pPr>
              <w:spacing w:line="360" w:lineRule="auto"/>
              <w:rPr>
                <w:rFonts w:ascii="Times New Roman" w:hAnsi="Times New Roman"/>
                <w:color w:val="000000"/>
                <w:szCs w:val="21"/>
              </w:rPr>
            </w:pPr>
            <w:r>
              <w:rPr>
                <w:rFonts w:ascii="Times New Roman" w:hAnsi="Times New Roman"/>
                <w:szCs w:val="21"/>
              </w:rPr>
              <w:t>混匀频率：300-1500/分</w:t>
            </w:r>
          </w:p>
        </w:tc>
        <w:tc>
          <w:tcPr>
            <w:tcW w:w="2085" w:type="dxa"/>
            <w:tcBorders>
              <w:top w:val="nil"/>
              <w:left w:val="nil"/>
              <w:bottom w:val="single" w:color="auto" w:sz="4" w:space="0"/>
              <w:right w:val="single" w:color="auto" w:sz="8" w:space="0"/>
            </w:tcBorders>
            <w:vAlign w:val="center"/>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2.5</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参数5</w:t>
            </w:r>
          </w:p>
        </w:tc>
        <w:tc>
          <w:tcPr>
            <w:tcW w:w="3890" w:type="dxa"/>
            <w:tcBorders>
              <w:top w:val="nil"/>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适用于24个1.5ml/2ml离心管同时加热和震荡；</w:t>
            </w:r>
          </w:p>
        </w:tc>
        <w:tc>
          <w:tcPr>
            <w:tcW w:w="2085" w:type="dxa"/>
            <w:tcBorders>
              <w:top w:val="nil"/>
              <w:left w:val="nil"/>
              <w:bottom w:val="single" w:color="auto" w:sz="4" w:space="0"/>
              <w:right w:val="single" w:color="auto" w:sz="8" w:space="0"/>
            </w:tcBorders>
            <w:vAlign w:val="center"/>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3</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配置需求</w:t>
            </w:r>
            <w:r>
              <w:rPr>
                <w:rFonts w:ascii="Times New Roman" w:hAnsi="Times New Roman"/>
                <w:b/>
                <w:bCs/>
                <w:kern w:val="0"/>
                <w:szCs w:val="21"/>
              </w:rPr>
              <w:br w:type="textWrapping"/>
            </w:r>
            <w:r>
              <w:rPr>
                <w:rFonts w:ascii="Times New Roman" w:hAnsi="Times New Roman"/>
                <w:b/>
                <w:bCs/>
                <w:kern w:val="0"/>
                <w:szCs w:val="21"/>
              </w:rPr>
              <w:t>（一行只写一个配置）</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3.1</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配置1</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主机一台</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3.2</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配置2</w:t>
            </w:r>
          </w:p>
        </w:tc>
        <w:tc>
          <w:tcPr>
            <w:tcW w:w="3890" w:type="dxa"/>
            <w:tcBorders>
              <w:top w:val="nil"/>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24x1.5ml加热样品槽</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4</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售后服务</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保修年限</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≥3年</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4.2</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出现故障响应时间</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维修到达现场时间≤ 6小时（本地）</w:t>
            </w:r>
            <w:r>
              <w:rPr>
                <w:rFonts w:ascii="Times New Roman" w:hAnsi="Times New Roman"/>
                <w:kern w:val="0"/>
                <w:szCs w:val="21"/>
              </w:rPr>
              <w:br w:type="textWrapping"/>
            </w:r>
            <w:r>
              <w:rPr>
                <w:rFonts w:ascii="Times New Roman" w:hAnsi="Times New Roman"/>
                <w:kern w:val="0"/>
                <w:szCs w:val="21"/>
              </w:rPr>
              <w:t>维修到达现场时间≤24小时（外地）</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4.3</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维修支持</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配件供应时间≥10年</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4.4</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耗材及零配件</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提供耗材及主要零配件目录（含报价）</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4.5</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维修资料</w:t>
            </w:r>
          </w:p>
        </w:tc>
        <w:tc>
          <w:tcPr>
            <w:tcW w:w="38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提供详细操作手册、维修保养手册、安装手册等</w:t>
            </w:r>
          </w:p>
        </w:tc>
        <w:tc>
          <w:tcPr>
            <w:tcW w:w="208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4.6</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维修工具</w:t>
            </w:r>
          </w:p>
        </w:tc>
        <w:tc>
          <w:tcPr>
            <w:tcW w:w="38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提供维修专用工具1套</w:t>
            </w:r>
          </w:p>
        </w:tc>
        <w:tc>
          <w:tcPr>
            <w:tcW w:w="208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4.7</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预防性维修</w:t>
            </w:r>
            <w:r>
              <w:rPr>
                <w:rFonts w:ascii="Times New Roman" w:hAnsi="Times New Roman"/>
                <w:kern w:val="0"/>
              </w:rPr>
              <w:br w:type="textWrapping"/>
            </w:r>
            <w:r>
              <w:rPr>
                <w:rFonts w:ascii="Times New Roman" w:hAnsi="Times New Roman"/>
                <w:kern w:val="0"/>
              </w:rPr>
              <w:t>/定期维护保养</w:t>
            </w:r>
          </w:p>
        </w:tc>
        <w:tc>
          <w:tcPr>
            <w:tcW w:w="38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保修期内提供定期维护保养服务</w:t>
            </w:r>
          </w:p>
        </w:tc>
        <w:tc>
          <w:tcPr>
            <w:tcW w:w="208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4.8</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维修密码支持</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开放</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4.9</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升级</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终身免费软件升级</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4.10</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使用培训</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支持</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87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4.11</w:t>
            </w:r>
          </w:p>
        </w:tc>
        <w:tc>
          <w:tcPr>
            <w:tcW w:w="22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工程师培训</w:t>
            </w:r>
          </w:p>
        </w:tc>
        <w:tc>
          <w:tcPr>
            <w:tcW w:w="389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支持</w:t>
            </w:r>
          </w:p>
        </w:tc>
        <w:tc>
          <w:tcPr>
            <w:tcW w:w="2085"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bl>
    <w:p>
      <w:pPr>
        <w:spacing w:line="520" w:lineRule="exact"/>
        <w:rPr>
          <w:rFonts w:asciiTheme="minorEastAsia" w:hAnsiTheme="minorEastAsia"/>
          <w:b/>
          <w:bCs/>
          <w:kern w:val="0"/>
          <w:sz w:val="40"/>
          <w:szCs w:val="44"/>
        </w:rPr>
      </w:pPr>
    </w:p>
    <w:p>
      <w:pPr>
        <w:spacing w:line="520" w:lineRule="exact"/>
        <w:jc w:val="center"/>
        <w:rPr>
          <w:rFonts w:asciiTheme="minorEastAsia" w:hAnsiTheme="minorEastAsia"/>
          <w:b/>
          <w:bCs/>
          <w:kern w:val="0"/>
          <w:sz w:val="40"/>
          <w:szCs w:val="44"/>
        </w:rPr>
      </w:pPr>
    </w:p>
    <w:p>
      <w:pPr>
        <w:spacing w:line="520" w:lineRule="exact"/>
        <w:jc w:val="center"/>
        <w:rPr>
          <w:rFonts w:asciiTheme="minorEastAsia" w:hAnsiTheme="minorEastAsia"/>
          <w:b/>
          <w:bCs/>
          <w:kern w:val="0"/>
          <w:sz w:val="40"/>
          <w:szCs w:val="44"/>
        </w:rPr>
      </w:pPr>
    </w:p>
    <w:p>
      <w:pPr>
        <w:spacing w:line="520" w:lineRule="exact"/>
        <w:jc w:val="center"/>
        <w:rPr>
          <w:rFonts w:asciiTheme="minorEastAsia" w:hAnsiTheme="minorEastAsia"/>
          <w:b/>
          <w:bCs/>
          <w:kern w:val="0"/>
          <w:sz w:val="28"/>
          <w:szCs w:val="32"/>
        </w:rPr>
      </w:pPr>
      <w:r>
        <w:rPr>
          <w:rFonts w:asciiTheme="minorEastAsia" w:hAnsiTheme="minorEastAsia"/>
          <w:b/>
          <w:bCs/>
          <w:kern w:val="0"/>
          <w:sz w:val="40"/>
          <w:szCs w:val="44"/>
        </w:rPr>
        <w:t>旋转混匀仪技术</w:t>
      </w:r>
      <w:r>
        <w:rPr>
          <w:rFonts w:hint="eastAsia" w:asciiTheme="minorEastAsia" w:hAnsiTheme="minorEastAsia"/>
          <w:b/>
          <w:bCs/>
          <w:kern w:val="0"/>
          <w:sz w:val="40"/>
          <w:szCs w:val="44"/>
        </w:rPr>
        <w:t>要求</w:t>
      </w:r>
    </w:p>
    <w:tbl>
      <w:tblPr>
        <w:tblStyle w:val="17"/>
        <w:tblW w:w="9090" w:type="dxa"/>
        <w:jc w:val="center"/>
        <w:tblLayout w:type="fixed"/>
        <w:tblCellMar>
          <w:top w:w="0" w:type="dxa"/>
          <w:left w:w="108" w:type="dxa"/>
          <w:bottom w:w="0" w:type="dxa"/>
          <w:right w:w="108" w:type="dxa"/>
        </w:tblCellMar>
      </w:tblPr>
      <w:tblGrid>
        <w:gridCol w:w="1175"/>
        <w:gridCol w:w="2276"/>
        <w:gridCol w:w="4105"/>
        <w:gridCol w:w="1534"/>
      </w:tblGrid>
      <w:tr>
        <w:tblPrEx>
          <w:tblCellMar>
            <w:top w:w="0" w:type="dxa"/>
            <w:left w:w="108" w:type="dxa"/>
            <w:bottom w:w="0" w:type="dxa"/>
            <w:right w:w="108" w:type="dxa"/>
          </w:tblCellMar>
        </w:tblPrEx>
        <w:trPr>
          <w:trHeight w:val="824" w:hRule="atLeast"/>
          <w:tblHeader/>
          <w:jc w:val="center"/>
        </w:trPr>
        <w:tc>
          <w:tcPr>
            <w:tcW w:w="117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序号</w:t>
            </w:r>
          </w:p>
        </w:tc>
        <w:tc>
          <w:tcPr>
            <w:tcW w:w="2276"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技术和性能参数名称</w:t>
            </w:r>
          </w:p>
        </w:tc>
        <w:tc>
          <w:tcPr>
            <w:tcW w:w="4105"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技术参数和性能要求</w:t>
            </w:r>
          </w:p>
        </w:tc>
        <w:tc>
          <w:tcPr>
            <w:tcW w:w="1534"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eastAsia="幼圆"/>
                <w:b/>
                <w:bCs/>
                <w:kern w:val="0"/>
                <w:sz w:val="24"/>
                <w:szCs w:val="24"/>
              </w:rPr>
            </w:pPr>
            <w:r>
              <w:rPr>
                <w:rFonts w:ascii="Times New Roman" w:hAnsi="Times New Roman"/>
                <w:b/>
                <w:bCs/>
                <w:kern w:val="0"/>
              </w:rPr>
              <w:t>备注</w:t>
            </w:r>
          </w:p>
        </w:tc>
      </w:tr>
      <w:tr>
        <w:tblPrEx>
          <w:tblCellMar>
            <w:top w:w="0" w:type="dxa"/>
            <w:left w:w="108" w:type="dxa"/>
            <w:bottom w:w="0" w:type="dxa"/>
            <w:right w:w="108" w:type="dxa"/>
          </w:tblCellMar>
        </w:tblPrEx>
        <w:trPr>
          <w:trHeight w:val="844"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1</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设备使用需求</w:t>
            </w:r>
          </w:p>
        </w:tc>
        <w:tc>
          <w:tcPr>
            <w:tcW w:w="4105" w:type="dxa"/>
            <w:tcBorders>
              <w:top w:val="nil"/>
              <w:left w:val="nil"/>
              <w:bottom w:val="single" w:color="auto" w:sz="4" w:space="0"/>
              <w:right w:val="single" w:color="auto" w:sz="4" w:space="0"/>
            </w:tcBorders>
            <w:vAlign w:val="center"/>
          </w:tcPr>
          <w:p>
            <w:pPr>
              <w:widowControl/>
              <w:rPr>
                <w:rFonts w:ascii="Times New Roman" w:hAnsi="Times New Roman"/>
                <w:b/>
                <w:bCs/>
                <w:kern w:val="0"/>
                <w:szCs w:val="21"/>
              </w:rPr>
            </w:pP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Cs w:val="21"/>
              </w:rPr>
            </w:pPr>
          </w:p>
        </w:tc>
      </w:tr>
      <w:tr>
        <w:tblPrEx>
          <w:tblCellMar>
            <w:top w:w="0" w:type="dxa"/>
            <w:left w:w="108" w:type="dxa"/>
            <w:bottom w:w="0" w:type="dxa"/>
            <w:right w:w="108" w:type="dxa"/>
          </w:tblCellMar>
        </w:tblPrEx>
        <w:trPr>
          <w:trHeight w:val="85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1.1</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设备用途</w:t>
            </w:r>
          </w:p>
        </w:tc>
        <w:tc>
          <w:tcPr>
            <w:tcW w:w="4105"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kern w:val="0"/>
                <w:szCs w:val="21"/>
              </w:rPr>
              <w:t>适用于预防血液凝固、免疫沉淀、核酸酶反应等应用。</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850"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1.2</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rPr>
              <w:t>实验对象</w:t>
            </w:r>
          </w:p>
        </w:tc>
        <w:tc>
          <w:tcPr>
            <w:tcW w:w="410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szCs w:val="21"/>
              </w:rPr>
              <w:t>生物样品</w:t>
            </w: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85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Cs/>
                <w:kern w:val="0"/>
                <w:sz w:val="24"/>
                <w:szCs w:val="24"/>
              </w:rPr>
            </w:pPr>
            <w:r>
              <w:rPr>
                <w:rFonts w:ascii="Times New Roman" w:hAnsi="Times New Roman"/>
                <w:bCs/>
                <w:kern w:val="0"/>
              </w:rPr>
              <w:t>1.3</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bCs/>
                <w:kern w:val="0"/>
                <w:sz w:val="24"/>
                <w:szCs w:val="24"/>
              </w:rPr>
            </w:pPr>
            <w:r>
              <w:rPr>
                <w:rFonts w:ascii="Times New Roman" w:hAnsi="Times New Roman"/>
                <w:bCs/>
                <w:kern w:val="0"/>
              </w:rPr>
              <w:t>特殊功能需求</w:t>
            </w:r>
          </w:p>
        </w:tc>
        <w:tc>
          <w:tcPr>
            <w:tcW w:w="4105" w:type="dxa"/>
            <w:tcBorders>
              <w:top w:val="nil"/>
              <w:left w:val="nil"/>
              <w:bottom w:val="single" w:color="auto" w:sz="4" w:space="0"/>
              <w:right w:val="single" w:color="auto" w:sz="4" w:space="0"/>
            </w:tcBorders>
            <w:vAlign w:val="center"/>
          </w:tcPr>
          <w:p>
            <w:pPr>
              <w:widowControl/>
              <w:jc w:val="left"/>
              <w:rPr>
                <w:rFonts w:ascii="Times New Roman" w:hAnsi="Times New Roman"/>
                <w:b/>
                <w:bCs/>
                <w:kern w:val="0"/>
                <w:szCs w:val="21"/>
              </w:rPr>
            </w:pPr>
            <w:r>
              <w:rPr>
                <w:rFonts w:ascii="Times New Roman" w:hAnsi="Times New Roman"/>
                <w:szCs w:val="21"/>
              </w:rPr>
              <w:t>旋转速度可调，可实现生物样品的温和的混合，便携（体积小）</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Cs w:val="21"/>
              </w:rPr>
            </w:pPr>
          </w:p>
        </w:tc>
      </w:tr>
      <w:tr>
        <w:tblPrEx>
          <w:tblCellMar>
            <w:top w:w="0" w:type="dxa"/>
            <w:left w:w="108" w:type="dxa"/>
            <w:bottom w:w="0" w:type="dxa"/>
            <w:right w:w="108" w:type="dxa"/>
          </w:tblCellMar>
        </w:tblPrEx>
        <w:trPr>
          <w:trHeight w:val="99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2</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主要技术参数</w:t>
            </w:r>
            <w:r>
              <w:rPr>
                <w:rFonts w:ascii="Times New Roman" w:hAnsi="Times New Roman"/>
                <w:b/>
                <w:bCs/>
                <w:kern w:val="0"/>
              </w:rPr>
              <w:br w:type="textWrapping"/>
            </w:r>
            <w:r>
              <w:rPr>
                <w:rFonts w:ascii="Times New Roman" w:hAnsi="Times New Roman"/>
                <w:b/>
                <w:bCs/>
                <w:kern w:val="0"/>
              </w:rPr>
              <w:t>（一行只写一个参数）</w:t>
            </w:r>
          </w:p>
        </w:tc>
        <w:tc>
          <w:tcPr>
            <w:tcW w:w="41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582"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2.1</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参数1</w:t>
            </w:r>
          </w:p>
        </w:tc>
        <w:tc>
          <w:tcPr>
            <w:tcW w:w="4105" w:type="dxa"/>
            <w:tcBorders>
              <w:top w:val="nil"/>
              <w:left w:val="nil"/>
              <w:bottom w:val="single" w:color="auto" w:sz="4" w:space="0"/>
              <w:right w:val="single" w:color="auto" w:sz="4" w:space="0"/>
            </w:tcBorders>
            <w:vAlign w:val="center"/>
          </w:tcPr>
          <w:p>
            <w:pPr>
              <w:widowControl/>
              <w:jc w:val="left"/>
              <w:rPr>
                <w:rFonts w:ascii="Times New Roman" w:hAnsi="Times New Roman"/>
                <w:szCs w:val="21"/>
              </w:rPr>
            </w:pPr>
            <w:r>
              <w:rPr>
                <w:rFonts w:ascii="Times New Roman" w:hAnsi="Times New Roman"/>
                <w:szCs w:val="21"/>
              </w:rPr>
              <w:t>适用于1.5ml-50ml容量的离心管</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737"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2.2</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参数2</w:t>
            </w:r>
          </w:p>
        </w:tc>
        <w:tc>
          <w:tcPr>
            <w:tcW w:w="4105"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szCs w:val="21"/>
              </w:rPr>
            </w:pPr>
            <w:r>
              <w:rPr>
                <w:rFonts w:ascii="Times New Roman" w:hAnsi="Times New Roman"/>
                <w:szCs w:val="21"/>
              </w:rPr>
              <w:t>可调的速度范围为10到80 rpm </w:t>
            </w:r>
            <w:r>
              <w:rPr>
                <w:rFonts w:ascii="Times New Roman" w:hAnsi="Times New Roman"/>
                <w:szCs w:val="21"/>
              </w:rPr>
              <w:br w:type="textWrapping"/>
            </w:r>
            <w:r>
              <w:rPr>
                <w:rFonts w:ascii="Times New Roman" w:hAnsi="Times New Roman"/>
                <w:szCs w:val="21"/>
              </w:rPr>
              <w:t>转子容量：</w:t>
            </w:r>
            <w:r>
              <w:rPr>
                <w:rFonts w:ascii="Times New Roman" w:hAnsi="Times New Roman"/>
                <w:szCs w:val="21"/>
              </w:rPr>
              <w:br w:type="textWrapping"/>
            </w:r>
            <w:r>
              <w:rPr>
                <w:rFonts w:ascii="Times New Roman" w:hAnsi="Times New Roman"/>
                <w:szCs w:val="21"/>
              </w:rPr>
              <w:t>1.5ml X 36</w:t>
            </w:r>
            <w:r>
              <w:rPr>
                <w:rFonts w:ascii="Times New Roman" w:hAnsi="Times New Roman"/>
                <w:szCs w:val="21"/>
              </w:rPr>
              <w:br w:type="textWrapping"/>
            </w:r>
            <w:r>
              <w:rPr>
                <w:rFonts w:ascii="Times New Roman" w:hAnsi="Times New Roman"/>
                <w:szCs w:val="21"/>
              </w:rPr>
              <w:t>15ml X 12</w:t>
            </w:r>
            <w:r>
              <w:rPr>
                <w:rFonts w:ascii="Times New Roman" w:hAnsi="Times New Roman"/>
                <w:szCs w:val="21"/>
              </w:rPr>
              <w:br w:type="textWrapping"/>
            </w:r>
            <w:r>
              <w:rPr>
                <w:rFonts w:ascii="Times New Roman" w:hAnsi="Times New Roman"/>
                <w:szCs w:val="21"/>
              </w:rPr>
              <w:t>50ml X 12.</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737"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2.3</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参数3</w:t>
            </w:r>
          </w:p>
        </w:tc>
        <w:tc>
          <w:tcPr>
            <w:tcW w:w="4105" w:type="dxa"/>
            <w:tcBorders>
              <w:top w:val="nil"/>
              <w:left w:val="nil"/>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hAnsi="Times New Roman"/>
                <w:szCs w:val="21"/>
              </w:rPr>
              <w:t>可放置于温度范围为5-40 度的小反应箱中</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737"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2.4</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参数4</w:t>
            </w:r>
          </w:p>
        </w:tc>
        <w:tc>
          <w:tcPr>
            <w:tcW w:w="4105" w:type="dxa"/>
            <w:tcBorders>
              <w:top w:val="single" w:color="auto" w:sz="4" w:space="0"/>
              <w:left w:val="nil"/>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hAnsi="Times New Roman"/>
                <w:szCs w:val="21"/>
              </w:rPr>
              <w:t>可放置于湿度高达80％ 的环境中</w:t>
            </w: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810"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3</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配置需求</w:t>
            </w:r>
            <w:r>
              <w:rPr>
                <w:rFonts w:ascii="Times New Roman" w:hAnsi="Times New Roman"/>
                <w:b/>
                <w:bCs/>
                <w:kern w:val="0"/>
              </w:rPr>
              <w:br w:type="textWrapping"/>
            </w:r>
            <w:r>
              <w:rPr>
                <w:rFonts w:ascii="Times New Roman" w:hAnsi="Times New Roman"/>
                <w:b/>
                <w:bCs/>
                <w:kern w:val="0"/>
              </w:rPr>
              <w:t>（一行只写一个配置）</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23"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3.1</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配置1</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转子1台</w:t>
            </w: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17"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3.2</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配置2</w:t>
            </w:r>
          </w:p>
        </w:tc>
        <w:tc>
          <w:tcPr>
            <w:tcW w:w="4105" w:type="dxa"/>
            <w:tcBorders>
              <w:top w:val="nil"/>
              <w:left w:val="nil"/>
              <w:bottom w:val="single" w:color="auto" w:sz="4" w:space="0"/>
              <w:right w:val="single" w:color="auto" w:sz="4" w:space="0"/>
            </w:tcBorders>
            <w:vAlign w:val="center"/>
          </w:tcPr>
          <w:p>
            <w:pPr>
              <w:widowControl/>
              <w:jc w:val="center"/>
              <w:rPr>
                <w:rFonts w:ascii="Times New Roman" w:hAnsi="Times New Roman"/>
                <w:bCs/>
                <w:szCs w:val="21"/>
              </w:rPr>
            </w:pPr>
            <w:r>
              <w:rPr>
                <w:rFonts w:ascii="Times New Roman" w:hAnsi="Times New Roman"/>
                <w:bCs/>
                <w:szCs w:val="21"/>
              </w:rPr>
              <w:t>适配器1台</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575"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4</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售后服务</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b/>
                <w:bCs/>
                <w:kern w:val="0"/>
                <w:szCs w:val="21"/>
              </w:rPr>
            </w:pPr>
          </w:p>
        </w:tc>
      </w:tr>
      <w:tr>
        <w:tblPrEx>
          <w:tblCellMar>
            <w:top w:w="0" w:type="dxa"/>
            <w:left w:w="108" w:type="dxa"/>
            <w:bottom w:w="0" w:type="dxa"/>
            <w:right w:w="108" w:type="dxa"/>
          </w:tblCellMar>
        </w:tblPrEx>
        <w:trPr>
          <w:trHeight w:val="692"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保修年限</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≥3年</w:t>
            </w: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1077"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4.2</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出现故障回应时间</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维修到达现场时间≤ 6小时（本地）</w:t>
            </w:r>
            <w:r>
              <w:rPr>
                <w:rFonts w:ascii="Times New Roman" w:hAnsi="Times New Roman"/>
                <w:kern w:val="0"/>
                <w:szCs w:val="21"/>
              </w:rPr>
              <w:br w:type="textWrapping"/>
            </w:r>
            <w:r>
              <w:rPr>
                <w:rFonts w:ascii="Times New Roman" w:hAnsi="Times New Roman"/>
                <w:kern w:val="0"/>
                <w:szCs w:val="21"/>
              </w:rPr>
              <w:t>维修到达现场时间≤24小时（外地）</w:t>
            </w: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4.3</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维修支持</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配件供应时间≥10年</w:t>
            </w:r>
          </w:p>
        </w:tc>
        <w:tc>
          <w:tcPr>
            <w:tcW w:w="15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FF0000"/>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4.4</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耗材及零配件</w:t>
            </w:r>
          </w:p>
        </w:tc>
        <w:tc>
          <w:tcPr>
            <w:tcW w:w="41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提供耗材及主要零配件目录（含报价）</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4.5</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维修资料</w:t>
            </w:r>
          </w:p>
        </w:tc>
        <w:tc>
          <w:tcPr>
            <w:tcW w:w="41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提供详细操作手册、维修保养手册、安装手册等</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4.6</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维修工具</w:t>
            </w:r>
          </w:p>
        </w:tc>
        <w:tc>
          <w:tcPr>
            <w:tcW w:w="41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提供维修专用工具1套</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color w:val="FF0000"/>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4.7</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预防性维修</w:t>
            </w:r>
            <w:r>
              <w:rPr>
                <w:rFonts w:ascii="Times New Roman" w:hAnsi="Times New Roman"/>
                <w:kern w:val="0"/>
              </w:rPr>
              <w:br w:type="textWrapping"/>
            </w:r>
            <w:r>
              <w:rPr>
                <w:rFonts w:ascii="Times New Roman" w:hAnsi="Times New Roman"/>
                <w:kern w:val="0"/>
              </w:rPr>
              <w:t>/定期维护保养</w:t>
            </w:r>
          </w:p>
        </w:tc>
        <w:tc>
          <w:tcPr>
            <w:tcW w:w="41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保修期内提供定期维护保养服务</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color w:val="FF0000"/>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4.8</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维修密码支持</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开放</w:t>
            </w: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color w:val="FF0000"/>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4.9</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升级</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终身免费软件升级</w:t>
            </w:r>
          </w:p>
        </w:tc>
        <w:tc>
          <w:tcPr>
            <w:tcW w:w="1534"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color w:val="FF0000"/>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4.10</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使用培训</w:t>
            </w:r>
          </w:p>
        </w:tc>
        <w:tc>
          <w:tcPr>
            <w:tcW w:w="41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支持</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color w:val="FF0000"/>
                <w:kern w:val="0"/>
                <w:szCs w:val="21"/>
              </w:rPr>
            </w:pPr>
          </w:p>
        </w:tc>
      </w:tr>
      <w:tr>
        <w:tblPrEx>
          <w:tblCellMar>
            <w:top w:w="0" w:type="dxa"/>
            <w:left w:w="108" w:type="dxa"/>
            <w:bottom w:w="0" w:type="dxa"/>
            <w:right w:w="108" w:type="dxa"/>
          </w:tblCellMar>
        </w:tblPrEx>
        <w:trPr>
          <w:trHeight w:val="630" w:hRule="atLeast"/>
          <w:jc w:val="center"/>
        </w:trPr>
        <w:tc>
          <w:tcPr>
            <w:tcW w:w="117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4.11</w:t>
            </w:r>
          </w:p>
        </w:tc>
        <w:tc>
          <w:tcPr>
            <w:tcW w:w="2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工程师培训</w:t>
            </w:r>
          </w:p>
        </w:tc>
        <w:tc>
          <w:tcPr>
            <w:tcW w:w="41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支持</w:t>
            </w:r>
          </w:p>
        </w:tc>
        <w:tc>
          <w:tcPr>
            <w:tcW w:w="1534" w:type="dxa"/>
            <w:tcBorders>
              <w:top w:val="nil"/>
              <w:left w:val="nil"/>
              <w:bottom w:val="single" w:color="auto" w:sz="4" w:space="0"/>
              <w:right w:val="single" w:color="auto" w:sz="8" w:space="0"/>
            </w:tcBorders>
            <w:vAlign w:val="center"/>
          </w:tcPr>
          <w:p>
            <w:pPr>
              <w:widowControl/>
              <w:jc w:val="center"/>
              <w:rPr>
                <w:rFonts w:ascii="Times New Roman" w:hAnsi="Times New Roman"/>
                <w:kern w:val="0"/>
                <w:szCs w:val="21"/>
              </w:rPr>
            </w:pPr>
          </w:p>
        </w:tc>
      </w:tr>
    </w:tbl>
    <w:p>
      <w:pPr>
        <w:spacing w:line="420" w:lineRule="exact"/>
        <w:ind w:right="539"/>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26</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29</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30FD"/>
    <w:rsid w:val="0002753B"/>
    <w:rsid w:val="00027CF2"/>
    <w:rsid w:val="00037330"/>
    <w:rsid w:val="000404BD"/>
    <w:rsid w:val="00040F12"/>
    <w:rsid w:val="000532D8"/>
    <w:rsid w:val="00054C92"/>
    <w:rsid w:val="00057277"/>
    <w:rsid w:val="00057ADC"/>
    <w:rsid w:val="00064303"/>
    <w:rsid w:val="00071DFE"/>
    <w:rsid w:val="00082A64"/>
    <w:rsid w:val="0009494E"/>
    <w:rsid w:val="00094D66"/>
    <w:rsid w:val="0009631F"/>
    <w:rsid w:val="000978CB"/>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56C6"/>
    <w:rsid w:val="001175A3"/>
    <w:rsid w:val="00126E2A"/>
    <w:rsid w:val="00140433"/>
    <w:rsid w:val="00141DF3"/>
    <w:rsid w:val="00144AC9"/>
    <w:rsid w:val="00146B8C"/>
    <w:rsid w:val="00151352"/>
    <w:rsid w:val="00153547"/>
    <w:rsid w:val="00154A37"/>
    <w:rsid w:val="00156746"/>
    <w:rsid w:val="001628C4"/>
    <w:rsid w:val="00162BA1"/>
    <w:rsid w:val="00165CC1"/>
    <w:rsid w:val="00167E17"/>
    <w:rsid w:val="00172231"/>
    <w:rsid w:val="00174EC9"/>
    <w:rsid w:val="00180B18"/>
    <w:rsid w:val="001811A8"/>
    <w:rsid w:val="00187475"/>
    <w:rsid w:val="00187861"/>
    <w:rsid w:val="001A083F"/>
    <w:rsid w:val="001A14C3"/>
    <w:rsid w:val="001A4FD9"/>
    <w:rsid w:val="001B14E3"/>
    <w:rsid w:val="001B7705"/>
    <w:rsid w:val="001D0023"/>
    <w:rsid w:val="001D1B14"/>
    <w:rsid w:val="001E3296"/>
    <w:rsid w:val="001E34F3"/>
    <w:rsid w:val="001E460B"/>
    <w:rsid w:val="001F4869"/>
    <w:rsid w:val="00214820"/>
    <w:rsid w:val="00224E5F"/>
    <w:rsid w:val="00226556"/>
    <w:rsid w:val="002336F5"/>
    <w:rsid w:val="0023780A"/>
    <w:rsid w:val="002425C9"/>
    <w:rsid w:val="002474B3"/>
    <w:rsid w:val="002609CE"/>
    <w:rsid w:val="00262C6B"/>
    <w:rsid w:val="00265A44"/>
    <w:rsid w:val="00282E06"/>
    <w:rsid w:val="002867DC"/>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D5240"/>
    <w:rsid w:val="002E3D9F"/>
    <w:rsid w:val="002E5B90"/>
    <w:rsid w:val="002F06B1"/>
    <w:rsid w:val="002F1927"/>
    <w:rsid w:val="003027C7"/>
    <w:rsid w:val="00303E33"/>
    <w:rsid w:val="003060AC"/>
    <w:rsid w:val="003222A0"/>
    <w:rsid w:val="003403F2"/>
    <w:rsid w:val="003407DF"/>
    <w:rsid w:val="00344422"/>
    <w:rsid w:val="00346BB9"/>
    <w:rsid w:val="003470EC"/>
    <w:rsid w:val="00353342"/>
    <w:rsid w:val="00354E1F"/>
    <w:rsid w:val="00375151"/>
    <w:rsid w:val="003813C8"/>
    <w:rsid w:val="0038362B"/>
    <w:rsid w:val="00384C3A"/>
    <w:rsid w:val="00387C50"/>
    <w:rsid w:val="0039032C"/>
    <w:rsid w:val="003A0065"/>
    <w:rsid w:val="003A0B24"/>
    <w:rsid w:val="003A5637"/>
    <w:rsid w:val="003B09EC"/>
    <w:rsid w:val="003B09F3"/>
    <w:rsid w:val="003B214E"/>
    <w:rsid w:val="003B3BD0"/>
    <w:rsid w:val="003C0056"/>
    <w:rsid w:val="003C64FC"/>
    <w:rsid w:val="003C7F91"/>
    <w:rsid w:val="003D19FD"/>
    <w:rsid w:val="003E5372"/>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D59FE"/>
    <w:rsid w:val="004E0DFC"/>
    <w:rsid w:val="004E0F38"/>
    <w:rsid w:val="004E18EC"/>
    <w:rsid w:val="004E35E3"/>
    <w:rsid w:val="004E6AEB"/>
    <w:rsid w:val="004F142D"/>
    <w:rsid w:val="004F1BF2"/>
    <w:rsid w:val="004F5E12"/>
    <w:rsid w:val="00503A7C"/>
    <w:rsid w:val="00511818"/>
    <w:rsid w:val="005222C3"/>
    <w:rsid w:val="00522CA7"/>
    <w:rsid w:val="00531671"/>
    <w:rsid w:val="00532B1E"/>
    <w:rsid w:val="00533850"/>
    <w:rsid w:val="00537FF9"/>
    <w:rsid w:val="005506B8"/>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E6697"/>
    <w:rsid w:val="005F2C28"/>
    <w:rsid w:val="005F3E10"/>
    <w:rsid w:val="006210E0"/>
    <w:rsid w:val="0062692F"/>
    <w:rsid w:val="006325D8"/>
    <w:rsid w:val="00632B7E"/>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4F67"/>
    <w:rsid w:val="0069669B"/>
    <w:rsid w:val="00696F01"/>
    <w:rsid w:val="006979A0"/>
    <w:rsid w:val="006A10C1"/>
    <w:rsid w:val="006A14FA"/>
    <w:rsid w:val="006A7511"/>
    <w:rsid w:val="006B13AA"/>
    <w:rsid w:val="006B2818"/>
    <w:rsid w:val="006B6AC3"/>
    <w:rsid w:val="006C1CF4"/>
    <w:rsid w:val="006C6D5D"/>
    <w:rsid w:val="006D2D2E"/>
    <w:rsid w:val="006D6637"/>
    <w:rsid w:val="006E18A5"/>
    <w:rsid w:val="006E1B43"/>
    <w:rsid w:val="006E2984"/>
    <w:rsid w:val="006E5F9F"/>
    <w:rsid w:val="006E67F2"/>
    <w:rsid w:val="006F15B6"/>
    <w:rsid w:val="006F181B"/>
    <w:rsid w:val="006F40A6"/>
    <w:rsid w:val="00707914"/>
    <w:rsid w:val="007122C0"/>
    <w:rsid w:val="00717C01"/>
    <w:rsid w:val="00725563"/>
    <w:rsid w:val="007264A9"/>
    <w:rsid w:val="0073357E"/>
    <w:rsid w:val="00735A12"/>
    <w:rsid w:val="0074178F"/>
    <w:rsid w:val="00756021"/>
    <w:rsid w:val="0077103A"/>
    <w:rsid w:val="007824F3"/>
    <w:rsid w:val="00791442"/>
    <w:rsid w:val="0079179A"/>
    <w:rsid w:val="0079773B"/>
    <w:rsid w:val="007A17FD"/>
    <w:rsid w:val="007A278C"/>
    <w:rsid w:val="007A403E"/>
    <w:rsid w:val="007B376E"/>
    <w:rsid w:val="007C03E1"/>
    <w:rsid w:val="007C0768"/>
    <w:rsid w:val="007C0CB8"/>
    <w:rsid w:val="007C3F3E"/>
    <w:rsid w:val="007C5CCC"/>
    <w:rsid w:val="007C6A99"/>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0ED2"/>
    <w:rsid w:val="0084720F"/>
    <w:rsid w:val="00853C33"/>
    <w:rsid w:val="00856888"/>
    <w:rsid w:val="008642CB"/>
    <w:rsid w:val="00864CD8"/>
    <w:rsid w:val="008711D3"/>
    <w:rsid w:val="008729B3"/>
    <w:rsid w:val="00880C74"/>
    <w:rsid w:val="00880DAF"/>
    <w:rsid w:val="00882004"/>
    <w:rsid w:val="008A52B6"/>
    <w:rsid w:val="008B3684"/>
    <w:rsid w:val="008C2787"/>
    <w:rsid w:val="008C7216"/>
    <w:rsid w:val="008D38DC"/>
    <w:rsid w:val="008D583C"/>
    <w:rsid w:val="008E0677"/>
    <w:rsid w:val="008E1538"/>
    <w:rsid w:val="008E3548"/>
    <w:rsid w:val="008E43CB"/>
    <w:rsid w:val="008F2ED3"/>
    <w:rsid w:val="008F3C8F"/>
    <w:rsid w:val="008F3D33"/>
    <w:rsid w:val="008F4528"/>
    <w:rsid w:val="008F7856"/>
    <w:rsid w:val="00900DF4"/>
    <w:rsid w:val="0090127B"/>
    <w:rsid w:val="00903989"/>
    <w:rsid w:val="00916D12"/>
    <w:rsid w:val="00932621"/>
    <w:rsid w:val="009350B3"/>
    <w:rsid w:val="00942048"/>
    <w:rsid w:val="0094231D"/>
    <w:rsid w:val="00946502"/>
    <w:rsid w:val="009478E9"/>
    <w:rsid w:val="009727C6"/>
    <w:rsid w:val="00973F58"/>
    <w:rsid w:val="00977600"/>
    <w:rsid w:val="00977E68"/>
    <w:rsid w:val="00992D81"/>
    <w:rsid w:val="00993AD3"/>
    <w:rsid w:val="009942A5"/>
    <w:rsid w:val="009959AD"/>
    <w:rsid w:val="009A0411"/>
    <w:rsid w:val="009A1A23"/>
    <w:rsid w:val="009B25A3"/>
    <w:rsid w:val="009C35C9"/>
    <w:rsid w:val="009C364C"/>
    <w:rsid w:val="009C534C"/>
    <w:rsid w:val="009D2C79"/>
    <w:rsid w:val="009D7580"/>
    <w:rsid w:val="009D7DC2"/>
    <w:rsid w:val="009E5E21"/>
    <w:rsid w:val="009F0E89"/>
    <w:rsid w:val="009F28E6"/>
    <w:rsid w:val="009F315B"/>
    <w:rsid w:val="009F44F4"/>
    <w:rsid w:val="009F5C3F"/>
    <w:rsid w:val="009F6FAB"/>
    <w:rsid w:val="00A03B1E"/>
    <w:rsid w:val="00A072CB"/>
    <w:rsid w:val="00A17615"/>
    <w:rsid w:val="00A20EFA"/>
    <w:rsid w:val="00A2139C"/>
    <w:rsid w:val="00A23F41"/>
    <w:rsid w:val="00A272F7"/>
    <w:rsid w:val="00A27C6B"/>
    <w:rsid w:val="00A3017C"/>
    <w:rsid w:val="00A45B45"/>
    <w:rsid w:val="00A522F8"/>
    <w:rsid w:val="00A560DA"/>
    <w:rsid w:val="00A56167"/>
    <w:rsid w:val="00A56EAE"/>
    <w:rsid w:val="00A61580"/>
    <w:rsid w:val="00A6539D"/>
    <w:rsid w:val="00A65493"/>
    <w:rsid w:val="00A6734F"/>
    <w:rsid w:val="00A74755"/>
    <w:rsid w:val="00A77442"/>
    <w:rsid w:val="00A829B8"/>
    <w:rsid w:val="00A93B99"/>
    <w:rsid w:val="00AA43E5"/>
    <w:rsid w:val="00AA4E34"/>
    <w:rsid w:val="00AA5C32"/>
    <w:rsid w:val="00AB444E"/>
    <w:rsid w:val="00AC5A6B"/>
    <w:rsid w:val="00AC74FF"/>
    <w:rsid w:val="00AD0204"/>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1054"/>
    <w:rsid w:val="00C8222E"/>
    <w:rsid w:val="00C827BA"/>
    <w:rsid w:val="00C834FA"/>
    <w:rsid w:val="00C840DC"/>
    <w:rsid w:val="00C84595"/>
    <w:rsid w:val="00C8795F"/>
    <w:rsid w:val="00C929CC"/>
    <w:rsid w:val="00CA38FE"/>
    <w:rsid w:val="00CB02C8"/>
    <w:rsid w:val="00CB1178"/>
    <w:rsid w:val="00CB35B5"/>
    <w:rsid w:val="00CB37F9"/>
    <w:rsid w:val="00CB63CE"/>
    <w:rsid w:val="00CC1FAE"/>
    <w:rsid w:val="00CD03EE"/>
    <w:rsid w:val="00CD3A99"/>
    <w:rsid w:val="00CD46E0"/>
    <w:rsid w:val="00CD54FE"/>
    <w:rsid w:val="00CE4AC8"/>
    <w:rsid w:val="00CE5B9D"/>
    <w:rsid w:val="00CE66D3"/>
    <w:rsid w:val="00D12374"/>
    <w:rsid w:val="00D12ABC"/>
    <w:rsid w:val="00D1746D"/>
    <w:rsid w:val="00D21D08"/>
    <w:rsid w:val="00D27EB7"/>
    <w:rsid w:val="00D37ADF"/>
    <w:rsid w:val="00D40A20"/>
    <w:rsid w:val="00D47BC2"/>
    <w:rsid w:val="00D51588"/>
    <w:rsid w:val="00D53C28"/>
    <w:rsid w:val="00D562CF"/>
    <w:rsid w:val="00D7048A"/>
    <w:rsid w:val="00D706F7"/>
    <w:rsid w:val="00D81752"/>
    <w:rsid w:val="00D86222"/>
    <w:rsid w:val="00D93183"/>
    <w:rsid w:val="00D977E8"/>
    <w:rsid w:val="00DA402D"/>
    <w:rsid w:val="00DA600D"/>
    <w:rsid w:val="00DA6119"/>
    <w:rsid w:val="00DA6CAB"/>
    <w:rsid w:val="00DB05CE"/>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6900"/>
    <w:rsid w:val="00E12058"/>
    <w:rsid w:val="00E20928"/>
    <w:rsid w:val="00E25D8F"/>
    <w:rsid w:val="00E26A24"/>
    <w:rsid w:val="00E26DAD"/>
    <w:rsid w:val="00E3174A"/>
    <w:rsid w:val="00E33F1F"/>
    <w:rsid w:val="00E41380"/>
    <w:rsid w:val="00E46E3C"/>
    <w:rsid w:val="00E5386A"/>
    <w:rsid w:val="00E60B3D"/>
    <w:rsid w:val="00E74634"/>
    <w:rsid w:val="00E7484E"/>
    <w:rsid w:val="00E838D5"/>
    <w:rsid w:val="00E8648F"/>
    <w:rsid w:val="00E90F02"/>
    <w:rsid w:val="00E9244B"/>
    <w:rsid w:val="00E94981"/>
    <w:rsid w:val="00EA0E56"/>
    <w:rsid w:val="00EB4742"/>
    <w:rsid w:val="00EB77AB"/>
    <w:rsid w:val="00EC796A"/>
    <w:rsid w:val="00ED3C8B"/>
    <w:rsid w:val="00F004DF"/>
    <w:rsid w:val="00F00713"/>
    <w:rsid w:val="00F01F2D"/>
    <w:rsid w:val="00F02BBD"/>
    <w:rsid w:val="00F04E70"/>
    <w:rsid w:val="00F0510A"/>
    <w:rsid w:val="00F052C5"/>
    <w:rsid w:val="00F10DAD"/>
    <w:rsid w:val="00F11CF3"/>
    <w:rsid w:val="00F24887"/>
    <w:rsid w:val="00F2646C"/>
    <w:rsid w:val="00F3665A"/>
    <w:rsid w:val="00F42021"/>
    <w:rsid w:val="00F429F8"/>
    <w:rsid w:val="00F448A7"/>
    <w:rsid w:val="00F4519C"/>
    <w:rsid w:val="00F463BE"/>
    <w:rsid w:val="00F54CD2"/>
    <w:rsid w:val="00F5553D"/>
    <w:rsid w:val="00F55708"/>
    <w:rsid w:val="00F61B44"/>
    <w:rsid w:val="00F710C9"/>
    <w:rsid w:val="00F75355"/>
    <w:rsid w:val="00F76A38"/>
    <w:rsid w:val="00F77CF0"/>
    <w:rsid w:val="00F8495E"/>
    <w:rsid w:val="00F92B5E"/>
    <w:rsid w:val="00F94D11"/>
    <w:rsid w:val="00FA4E4F"/>
    <w:rsid w:val="00FB2E1B"/>
    <w:rsid w:val="00FB5116"/>
    <w:rsid w:val="00FB5E65"/>
    <w:rsid w:val="00FC15F7"/>
    <w:rsid w:val="00FC33D8"/>
    <w:rsid w:val="00FC4F28"/>
    <w:rsid w:val="00FC5EC2"/>
    <w:rsid w:val="00FD5363"/>
    <w:rsid w:val="00FE133A"/>
    <w:rsid w:val="00FE2A78"/>
    <w:rsid w:val="00FF019E"/>
    <w:rsid w:val="00FF5ABB"/>
    <w:rsid w:val="00FF768E"/>
    <w:rsid w:val="039C6CEC"/>
    <w:rsid w:val="0B711DBD"/>
    <w:rsid w:val="1289268A"/>
    <w:rsid w:val="23CF558E"/>
    <w:rsid w:val="266A66C8"/>
    <w:rsid w:val="3BB82B83"/>
    <w:rsid w:val="40FF0559"/>
    <w:rsid w:val="5D7B36DC"/>
    <w:rsid w:val="5E2C671B"/>
    <w:rsid w:val="64DA3E3D"/>
    <w:rsid w:val="654307B3"/>
    <w:rsid w:val="6F33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customStyle="1" w:styleId="46">
    <w:name w:val="_Style 45"/>
    <w:basedOn w:val="1"/>
    <w:next w:val="47"/>
    <w:qFormat/>
    <w:uiPriority w:val="34"/>
    <w:pPr>
      <w:ind w:firstLine="420" w:firstLineChars="200"/>
    </w:pPr>
    <w:rPr>
      <w:rFonts w:ascii="等线" w:hAnsi="等线" w:eastAsia="等线" w:cs="Times New Roman"/>
      <w:kern w:val="0"/>
      <w:sz w:val="20"/>
      <w:szCs w:val="20"/>
      <w:lang w:val="zh-CN" w:eastAsia="zh-CN"/>
    </w:rPr>
  </w:style>
  <w:style w:type="paragraph" w:styleId="4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C061E-FF29-44DB-833F-4BB754C580D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4500</Words>
  <Characters>25654</Characters>
  <Lines>213</Lines>
  <Paragraphs>60</Paragraphs>
  <TotalTime>19</TotalTime>
  <ScaleCrop>false</ScaleCrop>
  <LinksUpToDate>false</LinksUpToDate>
  <CharactersWithSpaces>30094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2020-11-25T07:24:00Z</cp:lastPrinted>
  <dcterms:modified xsi:type="dcterms:W3CDTF">2020-12-03T07:36:54Z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