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镜像神经元康复训练系统</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2020-JL13(03)-W10107</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镜像神经元康复训练系统</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val="en-US" w:eastAsia="zh-CN"/>
        </w:rPr>
        <w:t xml:space="preserve">2020-JL13(03)-W10107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镜像神经元康复训练系统</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2020-JL13(03)-W10107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镜像神经元康复训练系统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（八）具备生产许可证、特许经营许可证、医疗器械注册证、质量管理体系认证、</w:t>
      </w:r>
      <w:r>
        <w:rPr>
          <w:rFonts w:cs="Times New Roman" w:asciiTheme="minorEastAsia" w:hAnsiTheme="minorEastAsia"/>
          <w:color w:val="auto"/>
          <w:kern w:val="0"/>
          <w:sz w:val="24"/>
          <w:szCs w:val="24"/>
        </w:rPr>
        <w:t>3C</w:t>
      </w:r>
      <w:r>
        <w:rPr>
          <w:rFonts w:hint="eastAsia" w:cs="Times New Roman" w:asciiTheme="minorEastAsia" w:hAnsiTheme="minorEastAsia"/>
          <w:color w:val="auto"/>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31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w:t>
      </w:r>
      <w:bookmarkStart w:id="24" w:name="_GoBack"/>
      <w:bookmarkEnd w:id="24"/>
      <w:r>
        <w:rPr>
          <w:rFonts w:hint="eastAsia" w:cs="Times New Roman" w:asciiTheme="minorEastAsia" w:hAnsiTheme="minorEastAsia"/>
          <w:kern w:val="0"/>
          <w:sz w:val="24"/>
          <w:szCs w:val="24"/>
        </w:rPr>
        <w:t xml:space="preserve">—12:00，15:00—18:00）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31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390713967"/>
      <w:bookmarkStart w:id="6" w:name="_Toc285612594"/>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镜像神经元康复训练系统</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镜像神经元康复训练系统</w:t>
      </w:r>
      <w:r>
        <w:rPr>
          <w:rFonts w:hint="eastAsia" w:ascii="宋体" w:hAnsi="宋体" w:eastAsia="宋体" w:cs="宋体"/>
          <w:bCs/>
          <w:kern w:val="0"/>
          <w:sz w:val="32"/>
          <w:szCs w:val="32"/>
        </w:rPr>
        <w:t>技术要求</w:t>
      </w:r>
    </w:p>
    <w:tbl>
      <w:tblPr>
        <w:tblStyle w:val="1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0"/>
        <w:gridCol w:w="459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技术和性能参数名称</w:t>
            </w:r>
          </w:p>
        </w:tc>
        <w:tc>
          <w:tcPr>
            <w:tcW w:w="4592"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20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b/>
                <w:bCs/>
                <w:kern w:val="0"/>
                <w:szCs w:val="21"/>
              </w:rPr>
            </w:pPr>
          </w:p>
        </w:tc>
        <w:tc>
          <w:tcPr>
            <w:tcW w:w="120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4592"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脑卒中康复过程中，进行神经调控的方式方法之一；可以开展脑卒中和颅脑损伤急性期早期床边康复、脑卒中后言语认知康复、早期肢体康复训练</w:t>
            </w:r>
            <w:r>
              <w:rPr>
                <w:rFonts w:cs="Times New Roman" w:asciiTheme="majorEastAsia" w:hAnsiTheme="majorEastAsia" w:eastAsiaTheme="majorEastAsia"/>
                <w:kern w:val="0"/>
                <w:szCs w:val="21"/>
              </w:rPr>
              <w:t>。</w:t>
            </w:r>
          </w:p>
        </w:tc>
        <w:tc>
          <w:tcPr>
            <w:tcW w:w="120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0"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160" w:type="dxa"/>
            <w:shd w:val="clear" w:color="000000" w:fill="auto"/>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治疗</w:t>
            </w:r>
            <w:r>
              <w:rPr>
                <w:rFonts w:cs="Times New Roman" w:asciiTheme="majorEastAsia" w:hAnsiTheme="majorEastAsia" w:eastAsiaTheme="majorEastAsia"/>
                <w:kern w:val="0"/>
                <w:szCs w:val="21"/>
              </w:rPr>
              <w:t>对象</w:t>
            </w:r>
          </w:p>
        </w:tc>
        <w:tc>
          <w:tcPr>
            <w:tcW w:w="459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脑卒中和颅脑损伤</w:t>
            </w:r>
            <w:r>
              <w:rPr>
                <w:rFonts w:cs="Times New Roman" w:asciiTheme="majorEastAsia" w:hAnsiTheme="majorEastAsia" w:eastAsiaTheme="majorEastAsia"/>
                <w:kern w:val="0"/>
                <w:szCs w:val="21"/>
              </w:rPr>
              <w:t>患者</w:t>
            </w:r>
            <w:r>
              <w:rPr>
                <w:rFonts w:hint="eastAsia" w:cs="Times New Roman" w:asciiTheme="majorEastAsia" w:hAnsiTheme="majorEastAsia" w:eastAsiaTheme="majorEastAsia"/>
                <w:kern w:val="0"/>
                <w:szCs w:val="21"/>
              </w:rPr>
              <w:t>、言语障碍</w:t>
            </w:r>
            <w:r>
              <w:rPr>
                <w:rFonts w:cs="Times New Roman" w:asciiTheme="majorEastAsia" w:hAnsiTheme="majorEastAsia" w:eastAsiaTheme="majorEastAsia"/>
                <w:kern w:val="0"/>
                <w:szCs w:val="21"/>
              </w:rPr>
              <w:t>和</w:t>
            </w:r>
            <w:r>
              <w:rPr>
                <w:rFonts w:hint="eastAsia" w:cs="Times New Roman" w:asciiTheme="majorEastAsia" w:hAnsiTheme="majorEastAsia" w:eastAsiaTheme="majorEastAsia"/>
                <w:kern w:val="0"/>
                <w:szCs w:val="21"/>
              </w:rPr>
              <w:t>认知障碍</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患者。</w:t>
            </w:r>
          </w:p>
        </w:tc>
        <w:tc>
          <w:tcPr>
            <w:tcW w:w="1206"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0" w:type="dxa"/>
            <w:shd w:val="clear" w:color="000000" w:fill="auto"/>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160" w:type="dxa"/>
            <w:shd w:val="clear" w:color="000000" w:fill="auto"/>
            <w:vAlign w:val="center"/>
          </w:tcPr>
          <w:p>
            <w:pPr>
              <w:widowControl/>
              <w:jc w:val="center"/>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592"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无</w:t>
            </w:r>
          </w:p>
        </w:tc>
        <w:tc>
          <w:tcPr>
            <w:tcW w:w="1206"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0"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p>
        </w:tc>
        <w:tc>
          <w:tcPr>
            <w:tcW w:w="120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592"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语音、口型、动作相互配合播放，符合日常生活习惯；语音、口型、动作可以选择播放；</w:t>
            </w:r>
          </w:p>
        </w:tc>
        <w:tc>
          <w:tcPr>
            <w:tcW w:w="12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带有虚拟训练模块，可以在名词和长句、长字词中，任意输入文本内容并通过系统模拟口型朗读；</w:t>
            </w:r>
          </w:p>
        </w:tc>
        <w:tc>
          <w:tcPr>
            <w:tcW w:w="12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★参数3</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训练方案不低于六百条动作视频及相配合的口型和语音；</w:t>
            </w:r>
          </w:p>
        </w:tc>
        <w:tc>
          <w:tcPr>
            <w:tcW w:w="120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16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提供基于康复计划的方案管理，自由定制周、天、次训练内容，内置8种常见的语言、认知、肢体、吞咽康复治疗方案；</w:t>
            </w:r>
          </w:p>
        </w:tc>
        <w:tc>
          <w:tcPr>
            <w:tcW w:w="1206"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160" w:type="dxa"/>
            <w:vAlign w:val="center"/>
          </w:tcPr>
          <w:p>
            <w:pPr>
              <w:jc w:val="center"/>
              <w:rPr>
                <w:rFonts w:cs="Times New Roman" w:asciiTheme="majorEastAsia" w:hAnsiTheme="majorEastAsia" w:eastAsiaTheme="majorEastAsia"/>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参数5</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系统由控制单元、2通道虚拟现实全景头盔+2通道独立训练设备、镜像神经元康复训练专用软件组成，提供3路独立并行的镜像神经元刺激流；</w:t>
            </w:r>
          </w:p>
        </w:tc>
        <w:tc>
          <w:tcPr>
            <w:tcW w:w="120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16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提供刺激次数、间隔自由设定功能，单一刺激次数最多可达999次，间隔可达999秒；</w:t>
            </w:r>
          </w:p>
        </w:tc>
        <w:tc>
          <w:tcPr>
            <w:tcW w:w="120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16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有组合式的软件控制台，可单屏主操作，多屏任意显示，任意切换；</w:t>
            </w:r>
          </w:p>
        </w:tc>
        <w:tc>
          <w:tcPr>
            <w:tcW w:w="120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8</w:t>
            </w:r>
          </w:p>
        </w:tc>
        <w:tc>
          <w:tcPr>
            <w:tcW w:w="2160" w:type="dxa"/>
            <w:vAlign w:val="center"/>
          </w:tcPr>
          <w:p>
            <w:pPr>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8</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自动提供语音功能，无需录制声音，即可播放各类提示语音，并可调整声速、声量参数功能；</w:t>
            </w:r>
          </w:p>
        </w:tc>
        <w:tc>
          <w:tcPr>
            <w:tcW w:w="120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9</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9</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带有评测系统功能：言语评测采用WAB检查法（《中国康复医学诊疗规范》规定的检查方法），可对8种类型的失语进行诊断。</w:t>
            </w:r>
          </w:p>
        </w:tc>
        <w:tc>
          <w:tcPr>
            <w:tcW w:w="1206" w:type="dxa"/>
            <w:vAlign w:val="center"/>
          </w:tcPr>
          <w:p>
            <w:pPr>
              <w:widowControl/>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10</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10</w:t>
            </w:r>
          </w:p>
        </w:tc>
        <w:tc>
          <w:tcPr>
            <w:tcW w:w="4592" w:type="dxa"/>
            <w:vAlign w:val="center"/>
          </w:tcPr>
          <w:p>
            <w:pPr>
              <w:pStyle w:val="46"/>
              <w:keepNext w:val="0"/>
              <w:keepLines w:val="0"/>
              <w:pageBreakBefore w:val="0"/>
              <w:kinsoku/>
              <w:wordWrap/>
              <w:overflowPunct/>
              <w:topLinePunct w:val="0"/>
              <w:autoSpaceDE/>
              <w:autoSpaceDN/>
              <w:bidi w:val="0"/>
              <w:spacing w:line="440" w:lineRule="exact"/>
              <w:ind w:firstLine="0" w:firstLineChars="0"/>
              <w:jc w:val="left"/>
              <w:textAlignment w:val="auto"/>
              <w:rPr>
                <w:rFonts w:ascii="宋体" w:hAnsi="宋体" w:eastAsia="宋体" w:cs="Calibri"/>
                <w:szCs w:val="21"/>
              </w:rPr>
            </w:pPr>
            <w:r>
              <w:rPr>
                <w:rFonts w:hint="eastAsia" w:ascii="宋体" w:hAnsi="宋体" w:eastAsia="宋体" w:cs="Calibri"/>
                <w:szCs w:val="21"/>
              </w:rPr>
              <w:t>带有训练系统功能：听理解，阅读与听理解，言语表达，文字表达训练，音乐训练，构音训练6大项目。</w:t>
            </w:r>
          </w:p>
        </w:tc>
        <w:tc>
          <w:tcPr>
            <w:tcW w:w="1206" w:type="dxa"/>
            <w:vAlign w:val="center"/>
          </w:tcPr>
          <w:p>
            <w:pPr>
              <w:widowControl/>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w:t>
            </w:r>
            <w:r>
              <w:rPr>
                <w:rFonts w:hint="eastAsia" w:cs="Times New Roman" w:asciiTheme="majorEastAsia" w:hAnsiTheme="majorEastAsia" w:eastAsiaTheme="majorEastAsia"/>
                <w:kern w:val="0"/>
                <w:szCs w:val="21"/>
              </w:rPr>
              <w:t>11</w:t>
            </w:r>
          </w:p>
        </w:tc>
        <w:tc>
          <w:tcPr>
            <w:tcW w:w="2160" w:type="dxa"/>
            <w:vAlign w:val="center"/>
          </w:tcPr>
          <w:p>
            <w:pPr>
              <w:jc w:val="center"/>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w:t>
            </w:r>
            <w:r>
              <w:rPr>
                <w:rFonts w:hint="eastAsia" w:cs="Times New Roman" w:asciiTheme="majorEastAsia" w:hAnsiTheme="majorEastAsia" w:eastAsiaTheme="majorEastAsia"/>
                <w:kern w:val="0"/>
                <w:szCs w:val="21"/>
              </w:rPr>
              <w:t>11</w:t>
            </w:r>
          </w:p>
        </w:tc>
        <w:tc>
          <w:tcPr>
            <w:tcW w:w="4592" w:type="dxa"/>
            <w:vAlign w:val="center"/>
          </w:tcPr>
          <w:p>
            <w:pPr>
              <w:keepNext w:val="0"/>
              <w:keepLines w:val="0"/>
              <w:pageBreakBefore w:val="0"/>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可自动执行康复计划，无需干预，实现患者自主刺激训练；</w:t>
            </w:r>
          </w:p>
        </w:tc>
        <w:tc>
          <w:tcPr>
            <w:tcW w:w="1206" w:type="dxa"/>
            <w:vAlign w:val="center"/>
          </w:tcPr>
          <w:p>
            <w:pPr>
              <w:widowControl/>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2</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2</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提供训练方案打印功能，支持模板定制打印格式，满足各类存档要求；</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3</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3</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VR头盔支持1920x1080, 3种模式，可同时支持2D、3D， VR头盔视野不小于75°；</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r>
              <w:rPr>
                <w:rFonts w:hint="eastAsia" w:cs="Times New Roman" w:asciiTheme="majorEastAsia" w:hAnsiTheme="majorEastAsia" w:eastAsiaTheme="majorEastAsia"/>
                <w:kern w:val="0"/>
                <w:szCs w:val="21"/>
              </w:rPr>
              <w:t>4</w:t>
            </w:r>
          </w:p>
        </w:tc>
        <w:tc>
          <w:tcPr>
            <w:tcW w:w="2160" w:type="dxa"/>
            <w:vAlign w:val="center"/>
          </w:tcPr>
          <w:p>
            <w:pPr>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r>
              <w:rPr>
                <w:rFonts w:hint="eastAsia" w:cs="Times New Roman" w:asciiTheme="majorEastAsia" w:hAnsiTheme="majorEastAsia" w:eastAsiaTheme="majorEastAsia"/>
                <w:kern w:val="0"/>
                <w:szCs w:val="21"/>
              </w:rPr>
              <w:t>4</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szCs w:val="21"/>
              </w:rPr>
            </w:pPr>
            <w:r>
              <w:rPr>
                <w:rFonts w:hint="eastAsia" w:ascii="宋体" w:hAnsi="宋体"/>
                <w:szCs w:val="21"/>
              </w:rPr>
              <w:t>提供44种经典的言语理解、表达、复述、阅读等训练。</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0"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160" w:type="dxa"/>
            <w:vAlign w:val="center"/>
          </w:tcPr>
          <w:p>
            <w:pPr>
              <w:widowControl/>
              <w:ind w:firstLine="201" w:firstLineChars="100"/>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镜像神经元康复训练系统</w:t>
            </w:r>
            <w:r>
              <w:rPr>
                <w:rFonts w:asciiTheme="minorEastAsia" w:hAnsiTheme="minorEastAsia"/>
                <w:szCs w:val="21"/>
              </w:rPr>
              <w:t>1</w:t>
            </w:r>
            <w:r>
              <w:rPr>
                <w:rFonts w:hint="eastAsia" w:asciiTheme="minorEastAsia" w:hAnsiTheme="minorEastAsia"/>
                <w:szCs w:val="21"/>
              </w:rPr>
              <w:t>套</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3.2</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配置2</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主控机1套</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3.3</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配置3</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通道机</w:t>
            </w:r>
            <w:r>
              <w:rPr>
                <w:rFonts w:asciiTheme="minorEastAsia" w:hAnsiTheme="minorEastAsia"/>
                <w:szCs w:val="21"/>
              </w:rPr>
              <w:t>2</w:t>
            </w:r>
            <w:r>
              <w:rPr>
                <w:rFonts w:hint="eastAsia" w:asciiTheme="minorEastAsia" w:hAnsiTheme="minorEastAsia"/>
                <w:szCs w:val="21"/>
              </w:rPr>
              <w:t>套</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3.4</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配置4</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声音采集</w:t>
            </w:r>
            <w:r>
              <w:rPr>
                <w:rFonts w:asciiTheme="minorEastAsia" w:hAnsiTheme="minorEastAsia"/>
                <w:szCs w:val="21"/>
              </w:rPr>
              <w:t>1</w:t>
            </w:r>
            <w:r>
              <w:rPr>
                <w:rFonts w:hint="eastAsia" w:asciiTheme="minorEastAsia" w:hAnsiTheme="minorEastAsia"/>
                <w:szCs w:val="21"/>
              </w:rPr>
              <w:t>套</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3.5</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配置5</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专用虚拟现实头盔</w:t>
            </w:r>
            <w:r>
              <w:rPr>
                <w:rFonts w:asciiTheme="minorEastAsia" w:hAnsiTheme="minorEastAsia"/>
                <w:szCs w:val="21"/>
              </w:rPr>
              <w:t>2</w:t>
            </w:r>
            <w:r>
              <w:rPr>
                <w:rFonts w:hint="eastAsia" w:asciiTheme="minorEastAsia" w:hAnsiTheme="minorEastAsia"/>
                <w:szCs w:val="21"/>
              </w:rPr>
              <w:t>套</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3.6</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配置6</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通用显示器</w:t>
            </w:r>
            <w:r>
              <w:rPr>
                <w:rFonts w:asciiTheme="minorEastAsia" w:hAnsiTheme="minorEastAsia"/>
                <w:szCs w:val="21"/>
              </w:rPr>
              <w:t>1</w:t>
            </w:r>
            <w:r>
              <w:rPr>
                <w:rFonts w:hint="eastAsia" w:asciiTheme="minorEastAsia" w:hAnsiTheme="minorEastAsia"/>
                <w:szCs w:val="21"/>
              </w:rPr>
              <w:t>台</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3.7</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配置7</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触控显示器</w:t>
            </w:r>
            <w:r>
              <w:rPr>
                <w:rFonts w:asciiTheme="minorEastAsia" w:hAnsiTheme="minorEastAsia"/>
                <w:szCs w:val="21"/>
              </w:rPr>
              <w:t>1</w:t>
            </w:r>
            <w:r>
              <w:rPr>
                <w:rFonts w:hint="eastAsia" w:asciiTheme="minorEastAsia" w:hAnsiTheme="minorEastAsia"/>
                <w:szCs w:val="21"/>
              </w:rPr>
              <w:t>台</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3.8</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配置8</w:t>
            </w:r>
          </w:p>
        </w:tc>
        <w:tc>
          <w:tcPr>
            <w:tcW w:w="4592" w:type="dxa"/>
          </w:tcPr>
          <w:p>
            <w:pPr>
              <w:keepNext w:val="0"/>
              <w:keepLines w:val="0"/>
              <w:pageBreakBefore w:val="0"/>
              <w:kinsoku/>
              <w:wordWrap/>
              <w:overflowPunct/>
              <w:topLinePunct w:val="0"/>
              <w:autoSpaceDE/>
              <w:autoSpaceDN/>
              <w:bidi w:val="0"/>
              <w:spacing w:line="440" w:lineRule="exact"/>
              <w:jc w:val="left"/>
              <w:textAlignment w:val="auto"/>
              <w:rPr>
                <w:rFonts w:asciiTheme="minorEastAsia" w:hAnsiTheme="minorEastAsia"/>
                <w:szCs w:val="21"/>
              </w:rPr>
            </w:pPr>
            <w:r>
              <w:rPr>
                <w:rFonts w:hint="eastAsia" w:asciiTheme="minorEastAsia" w:hAnsiTheme="minorEastAsia"/>
                <w:szCs w:val="21"/>
              </w:rPr>
              <w:t>台车（带升降臂）</w:t>
            </w:r>
            <w:r>
              <w:rPr>
                <w:rFonts w:asciiTheme="minorEastAsia" w:hAnsiTheme="minorEastAsia"/>
                <w:szCs w:val="21"/>
              </w:rPr>
              <w:t>1</w:t>
            </w:r>
            <w:r>
              <w:rPr>
                <w:rFonts w:hint="eastAsia" w:asciiTheme="minorEastAsia" w:hAnsiTheme="minorEastAsia"/>
                <w:szCs w:val="21"/>
              </w:rPr>
              <w:t>台</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2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160"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b/>
                <w:bCs/>
                <w:kern w:val="0"/>
                <w:szCs w:val="21"/>
              </w:rPr>
            </w:pPr>
          </w:p>
        </w:tc>
        <w:tc>
          <w:tcPr>
            <w:tcW w:w="120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w:t>
            </w:r>
            <w:r>
              <w:rPr>
                <w:rFonts w:cs="Times New Roman" w:asciiTheme="majorEastAsia" w:hAnsiTheme="majorEastAsia" w:eastAsiaTheme="majorEastAsia"/>
                <w:kern w:val="0"/>
                <w:szCs w:val="21"/>
              </w:rPr>
              <w:t>年</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w:t>
            </w:r>
            <w:r>
              <w:rPr>
                <w:rFonts w:hint="eastAsia" w:cs="Times New Roman" w:asciiTheme="majorEastAsia" w:hAnsiTheme="majorEastAsia" w:eastAsiaTheme="majorEastAsia"/>
                <w:kern w:val="0"/>
                <w:szCs w:val="21"/>
              </w:rPr>
              <w:t>（本地）；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w:t>
            </w:r>
            <w:r>
              <w:rPr>
                <w:rFonts w:hint="eastAsia" w:cs="Times New Roman" w:asciiTheme="majorEastAsia" w:hAnsiTheme="majorEastAsia" w:eastAsiaTheme="majorEastAsia"/>
                <w:kern w:val="0"/>
                <w:szCs w:val="21"/>
              </w:rPr>
              <w:t>（外地）</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无需工具</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592" w:type="dxa"/>
            <w:vAlign w:val="center"/>
          </w:tcPr>
          <w:p>
            <w:pPr>
              <w:keepNext w:val="0"/>
              <w:keepLines w:val="0"/>
              <w:pageBreakBefore w:val="0"/>
              <w:widowControl/>
              <w:kinsoku/>
              <w:wordWrap/>
              <w:overflowPunct/>
              <w:topLinePunct w:val="0"/>
              <w:autoSpaceDE/>
              <w:autoSpaceDN/>
              <w:bidi w:val="0"/>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20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160"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592" w:type="dxa"/>
            <w:vAlign w:val="center"/>
          </w:tcPr>
          <w:p>
            <w:pPr>
              <w:widowControl/>
              <w:jc w:val="left"/>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206" w:type="dxa"/>
            <w:vAlign w:val="center"/>
          </w:tcPr>
          <w:p>
            <w:pPr>
              <w:widowControl/>
              <w:jc w:val="center"/>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285612601"/>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szCs w:val="21"/>
              </w:rPr>
              <w:t>语音、口型、动作相互配合播放，符合日常生活习惯；语音、口型、动作可以选择播放；</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Calibri"/>
                <w:szCs w:val="21"/>
              </w:rPr>
              <w:t>带有虚拟训练模块，可以在名词和长句、长字词中，任意输入文本内容并通过系统模拟口型朗读；</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szCs w:val="21"/>
              </w:rPr>
              <w:t>训练方案不低于六百条动作视频及相配合的口型和语音；</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ascii="宋体" w:hAnsi="宋体"/>
                <w:szCs w:val="21"/>
              </w:rPr>
              <w:t>提供基于康复计划的方案管理，自由定制周、天、次训练内容，内置8种常见的语言、认知、肢体、吞咽康复治疗方案；</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 w:val="21"/>
                <w:szCs w:val="21"/>
                <w:highlight w:val="none"/>
                <w:lang w:val="zh-CN"/>
              </w:rPr>
              <w:t>▲</w:t>
            </w:r>
            <w:r>
              <w:rPr>
                <w:rFonts w:hint="eastAsia" w:ascii="宋体" w:hAnsi="宋体" w:eastAsia="宋体" w:cs="Calibri"/>
                <w:szCs w:val="21"/>
              </w:rPr>
              <w:t>系统由控制单元、2通道虚拟现实全景头盔+2通道独立训练设备、镜像神经元康复训练专用软件组成，提供3路独立并行的镜像神经元刺激流；</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 w:val="21"/>
                <w:szCs w:val="21"/>
                <w:highlight w:val="none"/>
                <w:lang w:val="zh-CN"/>
              </w:rPr>
              <w:t>▲</w:t>
            </w:r>
            <w:r>
              <w:rPr>
                <w:rFonts w:hint="eastAsia" w:ascii="宋体" w:hAnsi="宋体" w:eastAsia="宋体" w:cs="Calibri"/>
                <w:szCs w:val="21"/>
              </w:rPr>
              <w:t>提供刺激次数、间隔自由设定功能，单一刺激次数最多可达999次，间隔可达999秒；</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cs="Times New Roman" w:asciiTheme="majorEastAsia" w:hAnsiTheme="majorEastAsia" w:eastAsiaTheme="majorEastAsia"/>
                <w:kern w:val="0"/>
                <w:sz w:val="21"/>
                <w:szCs w:val="21"/>
                <w:highlight w:val="none"/>
                <w:lang w:val="zh-CN"/>
              </w:rPr>
              <w:t>▲</w:t>
            </w:r>
            <w:r>
              <w:rPr>
                <w:rFonts w:hint="eastAsia" w:ascii="宋体" w:hAnsi="宋体" w:eastAsia="宋体" w:cs="Calibri"/>
                <w:szCs w:val="21"/>
              </w:rPr>
              <w:t>有组合式的软件控制台，可单屏主操作，多屏任意显示，任意切换；</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ascii="宋体" w:hAnsi="宋体"/>
                <w:szCs w:val="21"/>
              </w:rPr>
              <w:t>自动提供语音功能，无需录制声音，即可播放各类提示语音，并可调整声速、声量参数功能；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eastAsia="宋体" w:cs="Calibri"/>
                <w:szCs w:val="21"/>
              </w:rPr>
              <w:t>带有评测系统功能：言语评测采用WAB检查法（《中国康复医学诊疗规范》规定的检查方法），可对8种类型的失语进行诊断。</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eastAsia="宋体" w:cs="Calibri"/>
                <w:szCs w:val="21"/>
              </w:rPr>
              <w:t>带有训练系统功能：听理解，阅读与听理解，言语表达，文字表达训练，音乐训练，构音训练6大项目。</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szCs w:val="21"/>
              </w:rPr>
              <w:t>可自动执行康复计划，无需干预，实现患者自主刺激训练；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szCs w:val="21"/>
              </w:rPr>
              <w:t>提供训练方案打印功能，支持模板定制打印格式，满足各类存档要求；</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szCs w:val="21"/>
              </w:rPr>
              <w:t>VR头盔支持1920x1080, 3种模式，可同时支持2D、3D， VR头盔视野不小于75°；</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szCs w:val="21"/>
              </w:rPr>
              <w:t>提供44种经典的言语理解、表达、复述、阅读等训练。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285612603"/>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285612604"/>
      <w:bookmarkStart w:id="20" w:name="_Toc37172691"/>
      <w:bookmarkStart w:id="21" w:name="_Toc240432233"/>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33324A6"/>
    <w:rsid w:val="03E126A6"/>
    <w:rsid w:val="04191033"/>
    <w:rsid w:val="041D194C"/>
    <w:rsid w:val="04955253"/>
    <w:rsid w:val="064332C6"/>
    <w:rsid w:val="06830E44"/>
    <w:rsid w:val="06C94276"/>
    <w:rsid w:val="06D16F15"/>
    <w:rsid w:val="072F1064"/>
    <w:rsid w:val="0A420080"/>
    <w:rsid w:val="0B02729F"/>
    <w:rsid w:val="0BC62AE5"/>
    <w:rsid w:val="0C2566DD"/>
    <w:rsid w:val="0CAA5D47"/>
    <w:rsid w:val="0CF35AED"/>
    <w:rsid w:val="0D121C1D"/>
    <w:rsid w:val="0D9909F1"/>
    <w:rsid w:val="0F331617"/>
    <w:rsid w:val="11284A21"/>
    <w:rsid w:val="112D287A"/>
    <w:rsid w:val="11541522"/>
    <w:rsid w:val="11C85FD8"/>
    <w:rsid w:val="11FF6018"/>
    <w:rsid w:val="128F471A"/>
    <w:rsid w:val="14004E84"/>
    <w:rsid w:val="15DF701E"/>
    <w:rsid w:val="16012CAE"/>
    <w:rsid w:val="18351273"/>
    <w:rsid w:val="183541D9"/>
    <w:rsid w:val="189719E2"/>
    <w:rsid w:val="18B472AB"/>
    <w:rsid w:val="18E5193D"/>
    <w:rsid w:val="198752E3"/>
    <w:rsid w:val="1A4F3B62"/>
    <w:rsid w:val="1A594715"/>
    <w:rsid w:val="1B4B3AE5"/>
    <w:rsid w:val="1BE31596"/>
    <w:rsid w:val="1C2C4C02"/>
    <w:rsid w:val="1C7A2898"/>
    <w:rsid w:val="1DB052EA"/>
    <w:rsid w:val="1EAD51F4"/>
    <w:rsid w:val="1F354454"/>
    <w:rsid w:val="200C6281"/>
    <w:rsid w:val="20AD3C43"/>
    <w:rsid w:val="219D3231"/>
    <w:rsid w:val="21C96FB4"/>
    <w:rsid w:val="21F8648F"/>
    <w:rsid w:val="224B623D"/>
    <w:rsid w:val="229912DA"/>
    <w:rsid w:val="22E97F72"/>
    <w:rsid w:val="22F625AC"/>
    <w:rsid w:val="25826B10"/>
    <w:rsid w:val="26214B31"/>
    <w:rsid w:val="26BA4F36"/>
    <w:rsid w:val="27B31271"/>
    <w:rsid w:val="28660623"/>
    <w:rsid w:val="291C4183"/>
    <w:rsid w:val="291E3C98"/>
    <w:rsid w:val="298F7AD3"/>
    <w:rsid w:val="2B053A90"/>
    <w:rsid w:val="2B090C6C"/>
    <w:rsid w:val="2B3A2C62"/>
    <w:rsid w:val="2B3A6BED"/>
    <w:rsid w:val="2BEF7E69"/>
    <w:rsid w:val="2D62567B"/>
    <w:rsid w:val="2DC40F45"/>
    <w:rsid w:val="2E764DFD"/>
    <w:rsid w:val="2EC422DA"/>
    <w:rsid w:val="2F36269A"/>
    <w:rsid w:val="2F7F6382"/>
    <w:rsid w:val="2FA052A5"/>
    <w:rsid w:val="2FBB458C"/>
    <w:rsid w:val="30063431"/>
    <w:rsid w:val="3098742D"/>
    <w:rsid w:val="309C4094"/>
    <w:rsid w:val="30FB0A5B"/>
    <w:rsid w:val="31526B37"/>
    <w:rsid w:val="315B33F8"/>
    <w:rsid w:val="328320CB"/>
    <w:rsid w:val="328B5C60"/>
    <w:rsid w:val="32D466E7"/>
    <w:rsid w:val="33D05B68"/>
    <w:rsid w:val="340E3DC7"/>
    <w:rsid w:val="346575EC"/>
    <w:rsid w:val="3579679D"/>
    <w:rsid w:val="36FD07A2"/>
    <w:rsid w:val="39DE010D"/>
    <w:rsid w:val="39F573D6"/>
    <w:rsid w:val="3AF419D6"/>
    <w:rsid w:val="3BEC26C8"/>
    <w:rsid w:val="3C0D782A"/>
    <w:rsid w:val="3C8D37B3"/>
    <w:rsid w:val="3C9E3B9A"/>
    <w:rsid w:val="3CB9338E"/>
    <w:rsid w:val="3DD605AE"/>
    <w:rsid w:val="3EB024A2"/>
    <w:rsid w:val="3F024310"/>
    <w:rsid w:val="3FC253E0"/>
    <w:rsid w:val="402C5DF0"/>
    <w:rsid w:val="40C63911"/>
    <w:rsid w:val="40DD4E52"/>
    <w:rsid w:val="41E30BDA"/>
    <w:rsid w:val="43627676"/>
    <w:rsid w:val="439766DA"/>
    <w:rsid w:val="43EA7AD4"/>
    <w:rsid w:val="45707B83"/>
    <w:rsid w:val="458C276C"/>
    <w:rsid w:val="45E600C6"/>
    <w:rsid w:val="46322539"/>
    <w:rsid w:val="466F69A0"/>
    <w:rsid w:val="46720261"/>
    <w:rsid w:val="46B9109B"/>
    <w:rsid w:val="485F0391"/>
    <w:rsid w:val="486C6D51"/>
    <w:rsid w:val="48B040EA"/>
    <w:rsid w:val="48FA5509"/>
    <w:rsid w:val="49525463"/>
    <w:rsid w:val="499F1CDB"/>
    <w:rsid w:val="49BC7F45"/>
    <w:rsid w:val="4A1165E4"/>
    <w:rsid w:val="4A1B35FE"/>
    <w:rsid w:val="4A1F7505"/>
    <w:rsid w:val="4A4E73DE"/>
    <w:rsid w:val="4CAA278F"/>
    <w:rsid w:val="4D6A6ECD"/>
    <w:rsid w:val="4DCD2A8E"/>
    <w:rsid w:val="4EA4048E"/>
    <w:rsid w:val="4ED40801"/>
    <w:rsid w:val="51063862"/>
    <w:rsid w:val="51380BE4"/>
    <w:rsid w:val="5194774A"/>
    <w:rsid w:val="51CB62D1"/>
    <w:rsid w:val="522D36EC"/>
    <w:rsid w:val="52A20EB5"/>
    <w:rsid w:val="52D865F6"/>
    <w:rsid w:val="53625109"/>
    <w:rsid w:val="54AB0B77"/>
    <w:rsid w:val="54C57068"/>
    <w:rsid w:val="54F2243C"/>
    <w:rsid w:val="575B1361"/>
    <w:rsid w:val="582B198D"/>
    <w:rsid w:val="58787FB2"/>
    <w:rsid w:val="58FF3358"/>
    <w:rsid w:val="596D0F8A"/>
    <w:rsid w:val="59800CAA"/>
    <w:rsid w:val="59926D52"/>
    <w:rsid w:val="59A668D6"/>
    <w:rsid w:val="59F101D8"/>
    <w:rsid w:val="5A16796E"/>
    <w:rsid w:val="5A4324A4"/>
    <w:rsid w:val="5AFB448F"/>
    <w:rsid w:val="5B6428FE"/>
    <w:rsid w:val="5B880AD7"/>
    <w:rsid w:val="5BB55DA5"/>
    <w:rsid w:val="5C144D36"/>
    <w:rsid w:val="5D390F6C"/>
    <w:rsid w:val="5D3C4CB9"/>
    <w:rsid w:val="5DC573BD"/>
    <w:rsid w:val="5E6B5A7B"/>
    <w:rsid w:val="5F2A3616"/>
    <w:rsid w:val="607B1646"/>
    <w:rsid w:val="613E6AB3"/>
    <w:rsid w:val="615D742E"/>
    <w:rsid w:val="61A905DA"/>
    <w:rsid w:val="61AA5A00"/>
    <w:rsid w:val="61B736A3"/>
    <w:rsid w:val="627C2FE3"/>
    <w:rsid w:val="63930BB5"/>
    <w:rsid w:val="640445A5"/>
    <w:rsid w:val="659D6345"/>
    <w:rsid w:val="65A504AE"/>
    <w:rsid w:val="660266E0"/>
    <w:rsid w:val="666F78CB"/>
    <w:rsid w:val="66CD0A0F"/>
    <w:rsid w:val="66D31A2D"/>
    <w:rsid w:val="67220921"/>
    <w:rsid w:val="679474C9"/>
    <w:rsid w:val="685F53AF"/>
    <w:rsid w:val="687658AF"/>
    <w:rsid w:val="6945271F"/>
    <w:rsid w:val="69C15115"/>
    <w:rsid w:val="69FD7C6B"/>
    <w:rsid w:val="6A9E2400"/>
    <w:rsid w:val="6B1934B5"/>
    <w:rsid w:val="6B243A62"/>
    <w:rsid w:val="6B322305"/>
    <w:rsid w:val="6BF460A6"/>
    <w:rsid w:val="6CC87D37"/>
    <w:rsid w:val="6CD533D7"/>
    <w:rsid w:val="6D376E02"/>
    <w:rsid w:val="6DD2687A"/>
    <w:rsid w:val="6EE7352E"/>
    <w:rsid w:val="6FD3409C"/>
    <w:rsid w:val="70C646B8"/>
    <w:rsid w:val="720A4994"/>
    <w:rsid w:val="726505F0"/>
    <w:rsid w:val="729748CC"/>
    <w:rsid w:val="729A710D"/>
    <w:rsid w:val="73462118"/>
    <w:rsid w:val="73510411"/>
    <w:rsid w:val="73AA7CFD"/>
    <w:rsid w:val="74076F62"/>
    <w:rsid w:val="74336AA0"/>
    <w:rsid w:val="76472EDE"/>
    <w:rsid w:val="76CC7807"/>
    <w:rsid w:val="771E4DD1"/>
    <w:rsid w:val="773510EE"/>
    <w:rsid w:val="77F557B0"/>
    <w:rsid w:val="78321C0B"/>
    <w:rsid w:val="786D3869"/>
    <w:rsid w:val="78F71C6E"/>
    <w:rsid w:val="7AF91DCA"/>
    <w:rsid w:val="7AFC2431"/>
    <w:rsid w:val="7B652B65"/>
    <w:rsid w:val="7BEC54CB"/>
    <w:rsid w:val="7BF7732B"/>
    <w:rsid w:val="7C7B2290"/>
    <w:rsid w:val="7CD704D9"/>
    <w:rsid w:val="7D6C7BFD"/>
    <w:rsid w:val="7DA3330A"/>
    <w:rsid w:val="7E483109"/>
    <w:rsid w:val="7ECA41E2"/>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0</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2020-12-25T00:33:00Z</cp:lastPrinted>
  <dcterms:modified xsi:type="dcterms:W3CDTF">2020-12-31T08:58:17Z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