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PCR仪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2021-JL13(03)-W30021</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关于PCR仪的采购</w:t>
      </w:r>
      <w:r>
        <w:rPr>
          <w:rFonts w:ascii="Tahoma" w:hAnsi="Tahoma" w:cs="Tahoma"/>
          <w:b/>
          <w:bCs/>
          <w:kern w:val="0"/>
          <w:sz w:val="28"/>
          <w:szCs w:val="28"/>
        </w:rPr>
        <w:t>公告</w:t>
      </w:r>
      <w:r>
        <w:rPr>
          <w:rFonts w:hint="eastAsia" w:ascii="Tahoma" w:hAnsi="Tahoma" w:cs="Tahoma"/>
          <w:kern w:val="0"/>
          <w:sz w:val="28"/>
          <w:szCs w:val="28"/>
        </w:rPr>
        <w:t>2021-JL13(03)-W30021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bookmarkStart w:id="26" w:name="_GoBack"/>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PCR仪</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2021-JL13(03)-W30021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Cs w:val="21"/>
              </w:rPr>
              <w:t>PCR仪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26</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bookmarkEnd w:id="26"/>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435540979"/>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PCR仪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7780285"/>
      <w:bookmarkStart w:id="11" w:name="_Toc285612601"/>
      <w:bookmarkStart w:id="12" w:name="_Toc43554098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90713970"/>
      <w:bookmarkStart w:id="21" w:name="_Toc435540982"/>
      <w:bookmarkStart w:id="22" w:name="_Toc37780287"/>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_x0000_s1026" o:spid="_x0000_s1026" o:spt="202" type="#_x0000_t202" style="position:absolute;left:0pt;margin-left:226.9pt;margin-top:10.35pt;height:103.9pt;width:209.1pt;z-index:251661312;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9" o:spid="_x0000_s1029" o:spt="202" type="#_x0000_t202" style="position:absolute;left:0pt;margin-left:2.1pt;margin-top:10.35pt;height:103.9pt;width:206.6pt;z-index:251660288;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_x0000_s1028" o:spid="_x0000_s1028" o:spt="202" type="#_x0000_t202" style="position:absolute;left:0pt;margin-left:228.25pt;margin-top:14.25pt;height:105.95pt;width:210.95pt;z-index:251663360;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7" o:spid="_x0000_s1027" o:spt="202" type="#_x0000_t202" style="position:absolute;left:0pt;margin-left:1.4pt;margin-top:15.6pt;height:104.6pt;width:211.6pt;z-index:251662336;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ascii="方正小标宋简体" w:hAnsi="宋体" w:eastAsia="方正小标宋简体" w:cs="宋体"/>
          <w:bCs/>
          <w:kern w:val="0"/>
          <w:sz w:val="28"/>
          <w:szCs w:val="32"/>
        </w:rPr>
      </w:pPr>
      <w:r>
        <w:rPr>
          <w:rFonts w:hint="eastAsia" w:ascii="方正小标宋简体" w:hAnsi="宋体" w:eastAsia="方正小标宋简体" w:cs="宋体"/>
          <w:bCs/>
          <w:kern w:val="0"/>
          <w:sz w:val="40"/>
          <w:szCs w:val="44"/>
        </w:rPr>
        <w:t>PCR仪技术要求</w:t>
      </w:r>
    </w:p>
    <w:tbl>
      <w:tblPr>
        <w:tblStyle w:val="1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17"/>
        <w:gridCol w:w="497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01"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117"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4970"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956"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01"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117"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4970" w:type="dxa"/>
            <w:vAlign w:val="center"/>
          </w:tcPr>
          <w:p>
            <w:pPr>
              <w:widowControl/>
              <w:spacing w:line="240" w:lineRule="atLeast"/>
              <w:jc w:val="center"/>
              <w:rPr>
                <w:rFonts w:cs="宋体" w:asciiTheme="minorEastAsia" w:hAnsiTheme="minorEastAsia"/>
                <w:b/>
                <w:bCs/>
                <w:kern w:val="0"/>
                <w:szCs w:val="21"/>
              </w:rPr>
            </w:pPr>
          </w:p>
        </w:tc>
        <w:tc>
          <w:tcPr>
            <w:tcW w:w="956" w:type="dxa"/>
            <w:vAlign w:val="center"/>
          </w:tcPr>
          <w:p>
            <w:pPr>
              <w:widowControl/>
              <w:spacing w:line="240" w:lineRule="atLeast"/>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1.1</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4970" w:type="dxa"/>
            <w:vAlign w:val="center"/>
          </w:tcPr>
          <w:p>
            <w:pPr>
              <w:widowControl/>
              <w:spacing w:line="240" w:lineRule="atLeast"/>
              <w:rPr>
                <w:rFonts w:cs="宋体" w:asciiTheme="minorEastAsia" w:hAnsiTheme="minorEastAsia"/>
                <w:kern w:val="0"/>
                <w:szCs w:val="21"/>
              </w:rPr>
            </w:pPr>
            <w:r>
              <w:rPr>
                <w:rFonts w:cs="宋体" w:asciiTheme="minorEastAsia" w:hAnsiTheme="minorEastAsia"/>
                <w:kern w:val="0"/>
                <w:szCs w:val="21"/>
              </w:rPr>
              <w:t>用于测定材料的</w:t>
            </w:r>
            <w:r>
              <w:fldChar w:fldCharType="begin"/>
            </w:r>
            <w:r>
              <w:instrText xml:space="preserve"> HYPERLINK "https://baike.baidu.com/item/%E6%B8%A9%E5%BA%A6/221599" \t "https://baike.baidu.com/item/%E5%86%B7%E7%83%AD%E5%BE%AA%E7%8E%AF%E4%BB%AA/_blank" </w:instrText>
            </w:r>
            <w:r>
              <w:fldChar w:fldCharType="separate"/>
            </w:r>
            <w:r>
              <w:rPr>
                <w:rFonts w:cs="宋体" w:asciiTheme="minorEastAsia" w:hAnsiTheme="minorEastAsia"/>
                <w:kern w:val="0"/>
                <w:szCs w:val="21"/>
              </w:rPr>
              <w:t>温度</w:t>
            </w:r>
            <w:r>
              <w:rPr>
                <w:rFonts w:cs="宋体" w:asciiTheme="minorEastAsia" w:hAnsiTheme="minorEastAsia"/>
                <w:kern w:val="0"/>
                <w:szCs w:val="21"/>
              </w:rPr>
              <w:fldChar w:fldCharType="end"/>
            </w:r>
            <w:r>
              <w:rPr>
                <w:rFonts w:cs="宋体" w:asciiTheme="minorEastAsia" w:hAnsiTheme="minorEastAsia"/>
                <w:kern w:val="0"/>
                <w:szCs w:val="21"/>
              </w:rPr>
              <w:t>疲劳老化性能。为材料试验提供可靠稳定的试验条件</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1" w:type="dxa"/>
            <w:vAlign w:val="center"/>
          </w:tcPr>
          <w:p>
            <w:pPr>
              <w:widowControl/>
              <w:spacing w:line="240" w:lineRule="atLeast"/>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117"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4970" w:type="dxa"/>
            <w:vAlign w:val="center"/>
          </w:tcPr>
          <w:p>
            <w:pPr>
              <w:widowControl/>
              <w:spacing w:line="240" w:lineRule="atLeast"/>
              <w:jc w:val="center"/>
              <w:rPr>
                <w:rFonts w:cs="宋体" w:asciiTheme="minorEastAsia" w:hAnsiTheme="minorEastAsia"/>
                <w:kern w:val="0"/>
                <w:szCs w:val="21"/>
              </w:rPr>
            </w:pP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2.1</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温度准确性</w:t>
            </w:r>
            <w:r>
              <w:rPr>
                <w:rFonts w:hint="eastAsia" w:cs="宋体" w:asciiTheme="minorEastAsia" w:hAnsiTheme="minorEastAsia"/>
                <w:kern w:val="0"/>
                <w:szCs w:val="21"/>
              </w:rPr>
              <w:t>:≦</w:t>
            </w:r>
            <w:r>
              <w:rPr>
                <w:rFonts w:cs="宋体" w:asciiTheme="minorEastAsia" w:hAnsiTheme="minorEastAsia"/>
                <w:kern w:val="0"/>
                <w:szCs w:val="21"/>
              </w:rPr>
              <w:t>±0.25°C (35–99.9°C)</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2.2</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4970" w:type="dxa"/>
            <w:vAlign w:val="center"/>
          </w:tcPr>
          <w:p>
            <w:pPr>
              <w:spacing w:line="240" w:lineRule="atLeast"/>
              <w:jc w:val="left"/>
              <w:rPr>
                <w:rFonts w:cs="宋体" w:asciiTheme="minorEastAsia" w:hAnsiTheme="minorEastAsia"/>
                <w:kern w:val="0"/>
                <w:szCs w:val="21"/>
              </w:rPr>
            </w:pPr>
            <w:r>
              <w:rPr>
                <w:rFonts w:hint="eastAsia" w:cs="宋体" w:asciiTheme="minorEastAsia" w:hAnsiTheme="minorEastAsia"/>
                <w:kern w:val="0"/>
                <w:szCs w:val="21"/>
              </w:rPr>
              <w:t xml:space="preserve">最高模块变温速率： </w:t>
            </w:r>
            <w:r>
              <w:rPr>
                <w:rFonts w:cs="宋体" w:asciiTheme="minorEastAsia" w:hAnsiTheme="minorEastAsia"/>
                <w:kern w:val="0"/>
                <w:szCs w:val="21"/>
              </w:rPr>
              <w:t xml:space="preserve">3.0°C/秒 </w:t>
            </w:r>
          </w:p>
        </w:tc>
        <w:tc>
          <w:tcPr>
            <w:tcW w:w="956" w:type="dxa"/>
          </w:tcPr>
          <w:p>
            <w:pPr>
              <w:widowControl/>
              <w:spacing w:line="240" w:lineRule="atLeast"/>
              <w:jc w:val="left"/>
              <w:rPr>
                <w:rFonts w:cs="宋体" w:asciiTheme="minorEastAsia" w:hAnsiTheme="minorEastAsia"/>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2.3</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最高样本变温速率</w:t>
            </w:r>
            <w:r>
              <w:rPr>
                <w:rFonts w:hint="eastAsia" w:cs="宋体" w:asciiTheme="minorEastAsia" w:hAnsiTheme="minorEastAsia"/>
                <w:kern w:val="0"/>
                <w:szCs w:val="21"/>
              </w:rPr>
              <w:t>：</w:t>
            </w:r>
            <w:r>
              <w:rPr>
                <w:rFonts w:cs="宋体" w:asciiTheme="minorEastAsia" w:hAnsiTheme="minorEastAsia"/>
                <w:kern w:val="0"/>
                <w:szCs w:val="21"/>
              </w:rPr>
              <w:t xml:space="preserve"> 2.2°C/秒 </w:t>
            </w:r>
          </w:p>
        </w:tc>
        <w:tc>
          <w:tcPr>
            <w:tcW w:w="956" w:type="dxa"/>
          </w:tcPr>
          <w:p>
            <w:pPr>
              <w:widowControl/>
              <w:spacing w:line="240" w:lineRule="atLeast"/>
              <w:jc w:val="left"/>
              <w:rPr>
                <w:rFonts w:cs="宋体" w:asciiTheme="minorEastAsia" w:hAnsiTheme="minorEastAsia"/>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2.4</w:t>
            </w:r>
          </w:p>
        </w:tc>
        <w:tc>
          <w:tcPr>
            <w:tcW w:w="2117" w:type="dxa"/>
            <w:vAlign w:val="center"/>
          </w:tcPr>
          <w:p>
            <w:pPr>
              <w:spacing w:line="240" w:lineRule="atLeast"/>
              <w:jc w:val="center"/>
              <w:rPr>
                <w:rFonts w:asciiTheme="minorEastAsia" w:hAnsiTheme="minorEastAsia"/>
                <w:szCs w:val="21"/>
              </w:rPr>
            </w:pPr>
            <w:r>
              <w:rPr>
                <w:rFonts w:hint="eastAsia" w:cs="宋体" w:asciiTheme="minorEastAsia" w:hAnsiTheme="minorEastAsia"/>
                <w:kern w:val="0"/>
                <w:szCs w:val="21"/>
              </w:rPr>
              <w:t>参数4</w:t>
            </w:r>
          </w:p>
        </w:tc>
        <w:tc>
          <w:tcPr>
            <w:tcW w:w="4970" w:type="dxa"/>
            <w:vAlign w:val="center"/>
          </w:tcPr>
          <w:p>
            <w:pPr>
              <w:spacing w:line="240" w:lineRule="atLeast"/>
              <w:jc w:val="left"/>
              <w:rPr>
                <w:rFonts w:cs="宋体" w:asciiTheme="minorEastAsia" w:hAnsiTheme="minorEastAsia"/>
                <w:kern w:val="0"/>
                <w:szCs w:val="21"/>
              </w:rPr>
            </w:pPr>
            <w:r>
              <w:rPr>
                <w:rFonts w:hint="eastAsia" w:cs="宋体" w:asciiTheme="minorEastAsia" w:hAnsiTheme="minorEastAsia"/>
                <w:kern w:val="0"/>
                <w:szCs w:val="21"/>
              </w:rPr>
              <w:t>加热模块形式 ：96孔，0.2 mL恒温加热模块</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2.5</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4970" w:type="dxa"/>
            <w:vAlign w:val="center"/>
          </w:tcPr>
          <w:p>
            <w:pPr>
              <w:spacing w:line="240" w:lineRule="atLeast"/>
              <w:jc w:val="left"/>
              <w:rPr>
                <w:rFonts w:cs="宋体" w:asciiTheme="minorEastAsia" w:hAnsiTheme="minorEastAsia"/>
                <w:kern w:val="0"/>
                <w:szCs w:val="21"/>
              </w:rPr>
            </w:pPr>
            <w:r>
              <w:rPr>
                <w:rFonts w:hint="eastAsia" w:cs="宋体" w:asciiTheme="minorEastAsia" w:hAnsiTheme="minorEastAsia"/>
                <w:kern w:val="0"/>
                <w:szCs w:val="21"/>
              </w:rPr>
              <w:t>数据连接:可通过局域网或Wi-Fi</w:t>
            </w:r>
            <w:r>
              <w:rPr>
                <w:rFonts w:cs="宋体" w:asciiTheme="minorEastAsia" w:hAnsiTheme="minorEastAsia"/>
                <w:kern w:val="0"/>
                <w:szCs w:val="21"/>
              </w:rPr>
              <w:t>连接云存储系统或移动设备</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2.6</w:t>
            </w:r>
          </w:p>
        </w:tc>
        <w:tc>
          <w:tcPr>
            <w:tcW w:w="2117" w:type="dxa"/>
          </w:tcPr>
          <w:p>
            <w:pPr>
              <w:spacing w:line="240" w:lineRule="atLeast"/>
              <w:jc w:val="center"/>
              <w:rPr>
                <w:rFonts w:asciiTheme="minorEastAsia" w:hAnsiTheme="minorEastAsia"/>
                <w:szCs w:val="21"/>
              </w:rPr>
            </w:pPr>
            <w:r>
              <w:rPr>
                <w:rFonts w:hint="eastAsia" w:cs="宋体" w:asciiTheme="minorEastAsia" w:hAnsiTheme="minorEastAsia"/>
                <w:kern w:val="0"/>
                <w:szCs w:val="21"/>
              </w:rPr>
              <w:t>参数6</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温度范围</w:t>
            </w:r>
            <w:r>
              <w:rPr>
                <w:rFonts w:hint="eastAsia" w:cs="宋体" w:asciiTheme="minorEastAsia" w:hAnsiTheme="minorEastAsia"/>
                <w:kern w:val="0"/>
                <w:szCs w:val="21"/>
              </w:rPr>
              <w:t>:</w:t>
            </w:r>
            <w:r>
              <w:rPr>
                <w:rFonts w:cs="宋体" w:asciiTheme="minorEastAsia" w:hAnsiTheme="minorEastAsia"/>
                <w:kern w:val="0"/>
                <w:szCs w:val="21"/>
              </w:rPr>
              <w:t xml:space="preserve">0–100.0°C </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2.7</w:t>
            </w:r>
          </w:p>
        </w:tc>
        <w:tc>
          <w:tcPr>
            <w:tcW w:w="2117" w:type="dxa"/>
          </w:tcPr>
          <w:p>
            <w:pPr>
              <w:spacing w:line="240" w:lineRule="atLeast"/>
              <w:jc w:val="center"/>
              <w:rPr>
                <w:rFonts w:asciiTheme="minorEastAsia" w:hAnsiTheme="minorEastAsia"/>
                <w:szCs w:val="21"/>
              </w:rPr>
            </w:pPr>
            <w:r>
              <w:rPr>
                <w:rFonts w:hint="eastAsia" w:cs="宋体" w:asciiTheme="minorEastAsia" w:hAnsiTheme="minorEastAsia"/>
                <w:kern w:val="0"/>
                <w:szCs w:val="21"/>
              </w:rPr>
              <w:t>参数7</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温度一致性</w:t>
            </w:r>
            <w:r>
              <w:rPr>
                <w:rFonts w:hint="eastAsia" w:cs="宋体" w:asciiTheme="minorEastAsia" w:hAnsiTheme="minorEastAsia"/>
                <w:kern w:val="0"/>
                <w:szCs w:val="21"/>
              </w:rPr>
              <w:t>:</w:t>
            </w:r>
            <w:r>
              <w:rPr>
                <w:rFonts w:cs="宋体" w:asciiTheme="minorEastAsia" w:hAnsiTheme="minorEastAsia"/>
                <w:kern w:val="0"/>
                <w:szCs w:val="21"/>
              </w:rPr>
              <w:t xml:space="preserve">达到95°C后30秒) </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2.8</w:t>
            </w:r>
          </w:p>
        </w:tc>
        <w:tc>
          <w:tcPr>
            <w:tcW w:w="2117" w:type="dxa"/>
          </w:tcPr>
          <w:p>
            <w:pPr>
              <w:spacing w:line="240" w:lineRule="atLeast"/>
              <w:jc w:val="center"/>
              <w:rPr>
                <w:rFonts w:asciiTheme="minorEastAsia" w:hAnsiTheme="minorEastAsia"/>
                <w:szCs w:val="21"/>
              </w:rPr>
            </w:pPr>
            <w:r>
              <w:rPr>
                <w:rFonts w:hint="eastAsia" w:cs="宋体" w:asciiTheme="minorEastAsia" w:hAnsiTheme="minorEastAsia"/>
                <w:kern w:val="0"/>
                <w:szCs w:val="21"/>
              </w:rPr>
              <w:t>参数8</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温度校准</w:t>
            </w:r>
            <w:r>
              <w:rPr>
                <w:rFonts w:hint="eastAsia" w:cs="宋体" w:asciiTheme="minorEastAsia" w:hAnsiTheme="minorEastAsia"/>
                <w:kern w:val="0"/>
                <w:szCs w:val="21"/>
              </w:rPr>
              <w:t>:</w:t>
            </w:r>
            <w:r>
              <w:rPr>
                <w:rFonts w:cs="宋体" w:asciiTheme="minorEastAsia" w:hAnsiTheme="minorEastAsia"/>
                <w:kern w:val="0"/>
                <w:szCs w:val="21"/>
              </w:rPr>
              <w:t xml:space="preserve">已根据美国国家标准与技术研究院标准进行校准 </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2.11</w:t>
            </w:r>
          </w:p>
        </w:tc>
        <w:tc>
          <w:tcPr>
            <w:tcW w:w="2117" w:type="dxa"/>
          </w:tcPr>
          <w:p>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参数11</w:t>
            </w:r>
          </w:p>
        </w:tc>
        <w:tc>
          <w:tcPr>
            <w:tcW w:w="4970" w:type="dxa"/>
            <w:vAlign w:val="center"/>
          </w:tcPr>
          <w:p>
            <w:pPr>
              <w:spacing w:line="240" w:lineRule="atLeast"/>
              <w:jc w:val="left"/>
              <w:rPr>
                <w:rFonts w:cs="宋体" w:asciiTheme="minorEastAsia" w:hAnsiTheme="minorEastAsia"/>
                <w:kern w:val="0"/>
                <w:szCs w:val="21"/>
              </w:rPr>
            </w:pPr>
            <w:r>
              <w:rPr>
                <w:rFonts w:hint="eastAsia" w:cs="宋体" w:asciiTheme="minorEastAsia" w:hAnsiTheme="minorEastAsia"/>
                <w:kern w:val="0"/>
                <w:szCs w:val="21"/>
              </w:rPr>
              <w:t>P</w:t>
            </w:r>
            <w:r>
              <w:rPr>
                <w:rFonts w:cs="宋体" w:asciiTheme="minorEastAsia" w:hAnsiTheme="minorEastAsia"/>
                <w:kern w:val="0"/>
                <w:szCs w:val="21"/>
              </w:rPr>
              <w:t>CR体积范围</w:t>
            </w:r>
            <w:r>
              <w:rPr>
                <w:rFonts w:hint="eastAsia" w:cs="宋体" w:asciiTheme="minorEastAsia" w:hAnsiTheme="minorEastAsia"/>
                <w:kern w:val="0"/>
                <w:szCs w:val="21"/>
              </w:rPr>
              <w:t>:</w:t>
            </w:r>
            <w:r>
              <w:rPr>
                <w:rFonts w:cs="宋体" w:asciiTheme="minorEastAsia" w:hAnsiTheme="minorEastAsia"/>
                <w:kern w:val="0"/>
                <w:szCs w:val="21"/>
              </w:rPr>
              <w:t>10–100 μL</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2.12</w:t>
            </w:r>
          </w:p>
        </w:tc>
        <w:tc>
          <w:tcPr>
            <w:tcW w:w="2117" w:type="dxa"/>
          </w:tcPr>
          <w:p>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参数12</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仪器存储</w:t>
            </w:r>
            <w:r>
              <w:rPr>
                <w:rFonts w:hint="eastAsia" w:cs="宋体" w:asciiTheme="minorEastAsia" w:hAnsiTheme="minorEastAsia"/>
                <w:kern w:val="0"/>
                <w:szCs w:val="21"/>
              </w:rPr>
              <w:t>:≥</w:t>
            </w:r>
            <w:r>
              <w:rPr>
                <w:rFonts w:cs="宋体" w:asciiTheme="minorEastAsia" w:hAnsiTheme="minorEastAsia"/>
                <w:kern w:val="0"/>
                <w:szCs w:val="21"/>
              </w:rPr>
              <w:t>2,000 MB机载存储容量 (可保存</w:t>
            </w:r>
            <w:r>
              <w:rPr>
                <w:rFonts w:hint="eastAsia" w:cs="宋体" w:asciiTheme="minorEastAsia" w:hAnsiTheme="minorEastAsia"/>
                <w:kern w:val="0"/>
                <w:szCs w:val="21"/>
              </w:rPr>
              <w:t>≥</w:t>
            </w:r>
            <w:r>
              <w:rPr>
                <w:rFonts w:cs="宋体" w:asciiTheme="minorEastAsia" w:hAnsiTheme="minorEastAsia"/>
                <w:kern w:val="0"/>
                <w:szCs w:val="21"/>
              </w:rPr>
              <w:t xml:space="preserve">1,000个实验方案)；USB端口，用于外部存储 </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2.13</w:t>
            </w:r>
          </w:p>
        </w:tc>
        <w:tc>
          <w:tcPr>
            <w:tcW w:w="2117" w:type="dxa"/>
          </w:tcPr>
          <w:p>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参数13</w:t>
            </w:r>
          </w:p>
        </w:tc>
        <w:tc>
          <w:tcPr>
            <w:tcW w:w="4970" w:type="dxa"/>
            <w:vAlign w:val="center"/>
          </w:tcPr>
          <w:p>
            <w:pPr>
              <w:spacing w:line="240" w:lineRule="atLeast"/>
              <w:jc w:val="left"/>
              <w:rPr>
                <w:rFonts w:cs="宋体" w:asciiTheme="minorEastAsia" w:hAnsiTheme="minorEastAsia"/>
                <w:kern w:val="0"/>
                <w:szCs w:val="21"/>
              </w:rPr>
            </w:pPr>
            <w:r>
              <w:rPr>
                <w:rFonts w:cs="宋体" w:asciiTheme="minorEastAsia" w:hAnsiTheme="minorEastAsia"/>
                <w:kern w:val="0"/>
                <w:szCs w:val="21"/>
              </w:rPr>
              <w:t>显示界面</w:t>
            </w:r>
            <w:r>
              <w:rPr>
                <w:rFonts w:hint="eastAsia" w:cs="宋体" w:asciiTheme="minorEastAsia" w:hAnsiTheme="minorEastAsia"/>
                <w:kern w:val="0"/>
                <w:szCs w:val="21"/>
              </w:rPr>
              <w:t>:≥</w:t>
            </w:r>
            <w:r>
              <w:rPr>
                <w:rFonts w:cs="宋体" w:asciiTheme="minorEastAsia" w:hAnsiTheme="minorEastAsia"/>
                <w:kern w:val="0"/>
                <w:szCs w:val="21"/>
              </w:rPr>
              <w:t xml:space="preserve">5英寸彩色TFT LCD </w:t>
            </w:r>
          </w:p>
        </w:tc>
        <w:tc>
          <w:tcPr>
            <w:tcW w:w="956" w:type="dxa"/>
            <w:vAlign w:val="center"/>
          </w:tcPr>
          <w:p>
            <w:pPr>
              <w:widowControl/>
              <w:spacing w:line="240" w:lineRule="atLeast"/>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1" w:type="dxa"/>
            <w:vAlign w:val="center"/>
          </w:tcPr>
          <w:p>
            <w:pPr>
              <w:widowControl/>
              <w:spacing w:line="240" w:lineRule="atLeast"/>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117"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配置需求（一行只写一个配置）</w:t>
            </w:r>
          </w:p>
        </w:tc>
        <w:tc>
          <w:tcPr>
            <w:tcW w:w="4970" w:type="dxa"/>
            <w:vAlign w:val="center"/>
          </w:tcPr>
          <w:p>
            <w:pPr>
              <w:spacing w:line="240" w:lineRule="atLeast"/>
              <w:ind w:left="357" w:firstLine="360"/>
              <w:rPr>
                <w:rFonts w:cs="宋体" w:asciiTheme="minorEastAsia" w:hAnsiTheme="minorEastAsia"/>
                <w:szCs w:val="21"/>
              </w:rPr>
            </w:pP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3.1</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4970" w:type="dxa"/>
            <w:vAlign w:val="center"/>
          </w:tcPr>
          <w:p>
            <w:pPr>
              <w:spacing w:line="240" w:lineRule="atLeast"/>
              <w:rPr>
                <w:rFonts w:cs="宋体" w:asciiTheme="minorEastAsia" w:hAnsiTheme="minorEastAsia"/>
                <w:szCs w:val="21"/>
              </w:rPr>
            </w:pPr>
            <w:r>
              <w:rPr>
                <w:rFonts w:hint="eastAsia" w:cs="宋体" w:asciiTheme="minorEastAsia" w:hAnsiTheme="minorEastAsia"/>
                <w:szCs w:val="21"/>
              </w:rPr>
              <w:t xml:space="preserve">主机  </w:t>
            </w:r>
            <w:r>
              <w:rPr>
                <w:rFonts w:hint="eastAsia" w:cs="宋体" w:asciiTheme="minorEastAsia" w:hAnsiTheme="minorEastAsia"/>
                <w:kern w:val="0"/>
                <w:szCs w:val="21"/>
              </w:rPr>
              <w:t>1台</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3.2</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4970" w:type="dxa"/>
            <w:vAlign w:val="center"/>
          </w:tcPr>
          <w:p>
            <w:pPr>
              <w:spacing w:line="240" w:lineRule="atLeast"/>
              <w:rPr>
                <w:rFonts w:cs="宋体" w:asciiTheme="minorEastAsia" w:hAnsiTheme="minorEastAsia"/>
                <w:szCs w:val="21"/>
              </w:rPr>
            </w:pPr>
            <w:r>
              <w:rPr>
                <w:rFonts w:cs="宋体" w:asciiTheme="minorEastAsia" w:hAnsiTheme="minorEastAsia"/>
                <w:szCs w:val="21"/>
              </w:rPr>
              <w:t>电源线</w:t>
            </w:r>
            <w:r>
              <w:rPr>
                <w:rFonts w:hint="eastAsia" w:cs="宋体" w:asciiTheme="minorEastAsia" w:hAnsiTheme="minorEastAsia"/>
                <w:szCs w:val="21"/>
              </w:rPr>
              <w:t xml:space="preserve"> 1根</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3.3 </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4970" w:type="dxa"/>
            <w:vAlign w:val="center"/>
          </w:tcPr>
          <w:p>
            <w:pPr>
              <w:spacing w:line="240" w:lineRule="atLeast"/>
              <w:rPr>
                <w:rFonts w:cs="宋体" w:asciiTheme="minorEastAsia" w:hAnsiTheme="minorEastAsia"/>
                <w:szCs w:val="21"/>
              </w:rPr>
            </w:pPr>
            <w:r>
              <w:rPr>
                <w:rFonts w:cs="宋体" w:asciiTheme="minorEastAsia" w:hAnsiTheme="minorEastAsia"/>
                <w:szCs w:val="21"/>
              </w:rPr>
              <w:t>起始耗材包</w:t>
            </w:r>
            <w:r>
              <w:rPr>
                <w:rFonts w:hint="eastAsia" w:cs="宋体" w:asciiTheme="minorEastAsia" w:hAnsiTheme="minorEastAsia"/>
                <w:szCs w:val="21"/>
              </w:rPr>
              <w:t xml:space="preserve">  1套</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1"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117" w:type="dxa"/>
            <w:vAlign w:val="center"/>
          </w:tcPr>
          <w:p>
            <w:pPr>
              <w:widowControl/>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4970" w:type="dxa"/>
            <w:vAlign w:val="center"/>
          </w:tcPr>
          <w:p>
            <w:pPr>
              <w:spacing w:line="240" w:lineRule="atLeast"/>
              <w:ind w:left="357" w:firstLine="360"/>
              <w:rPr>
                <w:rFonts w:cs="宋体" w:asciiTheme="minorEastAsia" w:hAnsiTheme="minorEastAsia"/>
                <w:szCs w:val="21"/>
              </w:rPr>
            </w:pPr>
          </w:p>
        </w:tc>
        <w:tc>
          <w:tcPr>
            <w:tcW w:w="956" w:type="dxa"/>
            <w:vAlign w:val="center"/>
          </w:tcPr>
          <w:p>
            <w:pPr>
              <w:widowControl/>
              <w:spacing w:line="240" w:lineRule="atLeast"/>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4.1</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≥3年</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4.2</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4.3</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配件供应时间≥10年</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4.4</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4.5</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4.6</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提供维修专用工具1套</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4.7</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4.8</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开放</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4.9</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kern w:val="0"/>
                <w:szCs w:val="21"/>
              </w:rPr>
              <w:t>终身免费软件升级</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szCs w:val="21"/>
              </w:rPr>
              <w:t>支持</w:t>
            </w:r>
          </w:p>
        </w:tc>
        <w:tc>
          <w:tcPr>
            <w:tcW w:w="956" w:type="dxa"/>
            <w:vAlign w:val="center"/>
          </w:tcPr>
          <w:p>
            <w:pPr>
              <w:widowControl/>
              <w:spacing w:line="2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117" w:type="dxa"/>
            <w:vAlign w:val="center"/>
          </w:tcPr>
          <w:p>
            <w:pPr>
              <w:widowControl/>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4970" w:type="dxa"/>
            <w:vAlign w:val="center"/>
          </w:tcPr>
          <w:p>
            <w:pPr>
              <w:spacing w:line="240" w:lineRule="atLeast"/>
              <w:jc w:val="left"/>
              <w:rPr>
                <w:rFonts w:cs="宋体" w:asciiTheme="minorEastAsia" w:hAnsiTheme="minorEastAsia"/>
                <w:szCs w:val="21"/>
              </w:rPr>
            </w:pPr>
            <w:r>
              <w:rPr>
                <w:rFonts w:hint="eastAsia" w:cs="宋体" w:asciiTheme="minorEastAsia" w:hAnsiTheme="minorEastAsia"/>
                <w:szCs w:val="21"/>
              </w:rPr>
              <w:t>支持</w:t>
            </w:r>
          </w:p>
        </w:tc>
        <w:tc>
          <w:tcPr>
            <w:tcW w:w="956" w:type="dxa"/>
            <w:vAlign w:val="center"/>
          </w:tcPr>
          <w:p>
            <w:pPr>
              <w:widowControl/>
              <w:spacing w:line="240" w:lineRule="atLeast"/>
              <w:jc w:val="center"/>
              <w:rPr>
                <w:rFonts w:cs="宋体" w:asciiTheme="minorEastAsia" w:hAnsiTheme="minorEastAsia"/>
                <w:kern w:val="0"/>
                <w:szCs w:val="21"/>
              </w:rPr>
            </w:pPr>
          </w:p>
        </w:tc>
      </w:tr>
    </w:tbl>
    <w:p>
      <w:pPr>
        <w:spacing w:line="240" w:lineRule="atLeast"/>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F1C3038"/>
    <w:rsid w:val="48ED6FEB"/>
    <w:rsid w:val="77725D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24</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2021-02-20T03:28:47Z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