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华文中宋"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方正小标宋简体" w:cs="Times New Roman"/>
          <w:kern w:val="0"/>
          <w:sz w:val="36"/>
          <w:szCs w:val="36"/>
        </w:rPr>
      </w:pPr>
    </w:p>
    <w:p>
      <w:pPr>
        <w:jc w:val="center"/>
        <w:rPr>
          <w:rFonts w:ascii="Times New Roman" w:hAnsi="Times New Roman" w:eastAsia="方正小标宋简体" w:cs="Times New Roman"/>
          <w:kern w:val="0"/>
          <w:sz w:val="84"/>
          <w:szCs w:val="84"/>
        </w:rPr>
      </w:pPr>
      <w:r>
        <w:rPr>
          <w:rFonts w:hint="eastAsia" w:ascii="Times New Roman" w:hAnsi="Times New Roman" w:eastAsia="方正小标宋简体" w:cs="Times New Roman"/>
          <w:kern w:val="0"/>
          <w:sz w:val="84"/>
          <w:szCs w:val="84"/>
        </w:rPr>
        <w:t xml:space="preserve">招 标 </w:t>
      </w:r>
      <w:r>
        <w:rPr>
          <w:rFonts w:ascii="Times New Roman" w:hAnsi="Times New Roman" w:eastAsia="方正小标宋简体" w:cs="Times New Roman"/>
          <w:kern w:val="0"/>
          <w:sz w:val="84"/>
          <w:szCs w:val="84"/>
        </w:rPr>
        <w:t>文</w:t>
      </w:r>
      <w:r>
        <w:rPr>
          <w:rFonts w:hint="eastAsia" w:ascii="Times New Roman" w:hAnsi="Times New Roman" w:eastAsia="方正小标宋简体" w:cs="Times New Roman"/>
          <w:kern w:val="0"/>
          <w:sz w:val="84"/>
          <w:szCs w:val="84"/>
        </w:rPr>
        <w:t xml:space="preserve"> </w:t>
      </w:r>
      <w:r>
        <w:rPr>
          <w:rFonts w:ascii="Times New Roman" w:hAnsi="Times New Roman" w:eastAsia="方正小标宋简体" w:cs="Times New Roman"/>
          <w:kern w:val="0"/>
          <w:sz w:val="84"/>
          <w:szCs w:val="84"/>
        </w:rPr>
        <w:t>件</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项目名称：</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lang w:val="en-US" w:eastAsia="zh-CN"/>
        </w:rPr>
        <w:t>低端多参数监护仪</w:t>
      </w:r>
      <w:r>
        <w:rPr>
          <w:rFonts w:hint="eastAsia" w:ascii="宋体" w:hAnsi="宋体" w:eastAsia="宋体" w:cs="Times New Roman"/>
          <w:kern w:val="0"/>
          <w:sz w:val="36"/>
          <w:szCs w:val="36"/>
          <w:u w:val="single"/>
        </w:rPr>
        <w:t xml:space="preserve">    </w:t>
      </w:r>
    </w:p>
    <w:p>
      <w:pPr>
        <w:ind w:firstLine="2106" w:firstLineChars="600"/>
        <w:rPr>
          <w:rFonts w:ascii="宋体" w:hAnsi="宋体" w:eastAsia="宋体"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项目编号：</w:t>
      </w:r>
      <w:r>
        <w:rPr>
          <w:rFonts w:hint="eastAsia" w:ascii="宋体" w:hAnsi="宋体" w:eastAsia="宋体" w:cs="Times New Roman"/>
          <w:kern w:val="0"/>
          <w:sz w:val="36"/>
          <w:szCs w:val="36"/>
          <w:u w:val="single"/>
        </w:rPr>
        <w:t xml:space="preserve">2020-JL13(03)-W10082 </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jc w:val="center"/>
        <w:rPr>
          <w:rFonts w:ascii="宋体" w:hAnsi="宋体" w:eastAsia="宋体" w:cs="Times New Roman"/>
          <w:kern w:val="0"/>
          <w:sz w:val="36"/>
          <w:szCs w:val="36"/>
        </w:rPr>
      </w:pPr>
      <w:r>
        <w:rPr>
          <w:rFonts w:hint="eastAsia" w:ascii="宋体" w:hAnsi="宋体" w:eastAsia="宋体" w:cs="Times New Roman"/>
          <w:kern w:val="0"/>
          <w:sz w:val="36"/>
          <w:szCs w:val="36"/>
        </w:rPr>
        <w:t>招标人：物资采购中心</w:t>
      </w:r>
    </w:p>
    <w:p>
      <w:pPr>
        <w:rPr>
          <w:rFonts w:ascii="宋体" w:hAnsi="宋体" w:eastAsia="宋体" w:cs="Times New Roman"/>
          <w:bCs/>
          <w:spacing w:val="-26"/>
          <w:kern w:val="0"/>
          <w:sz w:val="36"/>
          <w:szCs w:val="36"/>
        </w:rPr>
      </w:pPr>
    </w:p>
    <w:p>
      <w:pPr>
        <w:jc w:val="center"/>
        <w:rPr>
          <w:rFonts w:ascii="宋体" w:hAnsi="宋体" w:eastAsia="宋体" w:cs="Times New Roman"/>
          <w:kern w:val="0"/>
          <w:sz w:val="36"/>
          <w:szCs w:val="36"/>
        </w:rPr>
      </w:pPr>
      <w:r>
        <w:rPr>
          <w:rFonts w:ascii="宋体" w:hAnsi="宋体" w:eastAsia="宋体" w:cs="Times New Roman"/>
          <w:kern w:val="0"/>
          <w:sz w:val="36"/>
          <w:szCs w:val="36"/>
        </w:rPr>
        <w:t>二〇二</w:t>
      </w:r>
      <w:r>
        <w:rPr>
          <w:rFonts w:hint="eastAsia" w:ascii="宋体" w:hAnsi="宋体" w:eastAsia="宋体" w:cs="Times New Roman"/>
          <w:kern w:val="0"/>
          <w:sz w:val="36"/>
          <w:szCs w:val="36"/>
          <w:lang w:val="en-US" w:eastAsia="zh-CN"/>
        </w:rPr>
        <w:t>一</w:t>
      </w:r>
      <w:r>
        <w:rPr>
          <w:rFonts w:ascii="宋体" w:hAnsi="宋体" w:eastAsia="宋体" w:cs="Times New Roman"/>
          <w:kern w:val="0"/>
          <w:sz w:val="36"/>
          <w:szCs w:val="36"/>
        </w:rPr>
        <w:t>年</w:t>
      </w:r>
      <w:r>
        <w:rPr>
          <w:rFonts w:hint="eastAsia" w:ascii="宋体" w:hAnsi="宋体" w:eastAsia="宋体" w:cs="Times New Roman"/>
          <w:kern w:val="0"/>
          <w:sz w:val="36"/>
          <w:szCs w:val="36"/>
          <w:lang w:eastAsia="zh-CN"/>
        </w:rPr>
        <w:t>一</w:t>
      </w:r>
      <w:r>
        <w:rPr>
          <w:rFonts w:ascii="宋体" w:hAnsi="宋体" w:eastAsia="宋体" w:cs="Times New Roman"/>
          <w:kern w:val="0"/>
          <w:sz w:val="36"/>
          <w:szCs w:val="36"/>
        </w:rPr>
        <w:t>月</w:t>
      </w:r>
    </w:p>
    <w:p>
      <w:pPr>
        <w:jc w:val="center"/>
        <w:rPr>
          <w:rFonts w:ascii="黑体" w:hAnsi="黑体" w:eastAsia="黑体" w:cs="Times New Roman"/>
          <w:bCs/>
          <w:kern w:val="0"/>
          <w:sz w:val="30"/>
          <w:szCs w:val="30"/>
        </w:rPr>
      </w:pPr>
      <w:r>
        <w:rPr>
          <w:rFonts w:ascii="黑体" w:hAnsi="黑体" w:eastAsia="黑体" w:cs="Times New Roman"/>
          <w:bCs/>
          <w:kern w:val="0"/>
          <w:sz w:val="30"/>
          <w:szCs w:val="30"/>
        </w:rPr>
        <w:t>特别提示：</w:t>
      </w:r>
      <w:r>
        <w:rPr>
          <w:rFonts w:hint="eastAsia" w:ascii="黑体" w:hAnsi="黑体" w:eastAsia="黑体" w:cs="Times New Roman"/>
          <w:bCs/>
          <w:kern w:val="0"/>
          <w:sz w:val="30"/>
          <w:szCs w:val="30"/>
        </w:rPr>
        <w:t>投标</w:t>
      </w:r>
      <w:r>
        <w:rPr>
          <w:rFonts w:ascii="黑体" w:hAnsi="黑体" w:eastAsia="黑体" w:cs="Times New Roman"/>
          <w:bCs/>
          <w:kern w:val="0"/>
          <w:sz w:val="30"/>
          <w:szCs w:val="30"/>
        </w:rPr>
        <w:t>注意事项</w:t>
      </w:r>
    </w:p>
    <w:p>
      <w:pPr>
        <w:widowControl/>
        <w:ind w:firstLine="582" w:firstLineChars="200"/>
        <w:textAlignment w:val="baseline"/>
        <w:rPr>
          <w:rFonts w:ascii="黑体" w:hAnsi="黑体" w:eastAsia="黑体" w:cs="Times New Roman"/>
          <w:kern w:val="0"/>
          <w:sz w:val="30"/>
          <w:szCs w:val="30"/>
          <w:u w:color="000000"/>
        </w:rPr>
      </w:pP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一、投标人应特别留意招标文件上载明的投标开始截止时间，提前或逾期送达（含邮寄送达）的投标文件概不接受。</w:t>
      </w:r>
    </w:p>
    <w:p>
      <w:pPr>
        <w:widowControl/>
        <w:ind w:firstLine="582" w:firstLineChars="200"/>
        <w:rPr>
          <w:rFonts w:cs="Times New Roman" w:asciiTheme="minorEastAsia" w:hAnsiTheme="minorEastAsia"/>
          <w:snapToGrid w:val="0"/>
          <w:kern w:val="0"/>
          <w:sz w:val="30"/>
          <w:szCs w:val="30"/>
          <w:u w:color="000000"/>
        </w:rPr>
      </w:pPr>
      <w:r>
        <w:rPr>
          <w:rFonts w:hint="eastAsia" w:cs="Times New Roman" w:asciiTheme="minorEastAsia" w:hAnsiTheme="minorEastAsia"/>
          <w:kern w:val="0"/>
          <w:sz w:val="30"/>
          <w:szCs w:val="30"/>
          <w:u w:color="000000"/>
        </w:rPr>
        <w:t>二、请仔细检查招标文件要求提交的相关证书的有效期和审核信息。</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snapToGrid w:val="0"/>
          <w:kern w:val="0"/>
          <w:sz w:val="30"/>
          <w:szCs w:val="30"/>
          <w:u w:color="000000"/>
        </w:rPr>
        <w:t>三、</w:t>
      </w:r>
      <w:r>
        <w:rPr>
          <w:rFonts w:hint="eastAsia" w:ascii="宋体" w:hAnsi="宋体" w:eastAsia="宋体" w:cs="Times New Roman"/>
          <w:kern w:val="0"/>
          <w:sz w:val="30"/>
          <w:szCs w:val="30"/>
          <w:u w:color="000000"/>
        </w:rPr>
        <w:t>请仔细检查投标文件是否按要求盖单位公章、签名、签署日期、</w:t>
      </w:r>
      <w:r>
        <w:rPr>
          <w:rFonts w:hint="eastAsia" w:ascii="黑体" w:hAnsi="黑体" w:eastAsia="黑体" w:cs="Times New Roman"/>
          <w:kern w:val="0"/>
          <w:sz w:val="30"/>
          <w:szCs w:val="30"/>
          <w:u w:color="000000"/>
        </w:rPr>
        <w:t>胶装成册（</w:t>
      </w:r>
      <w:r>
        <w:rPr>
          <w:rFonts w:hint="eastAsia" w:cs="Times New Roman" w:asciiTheme="minorEastAsia" w:hAnsiTheme="minorEastAsia"/>
          <w:kern w:val="0"/>
          <w:sz w:val="30"/>
          <w:szCs w:val="30"/>
          <w:u w:color="000000"/>
        </w:rPr>
        <w:t>价格文件除外</w:t>
      </w:r>
      <w:r>
        <w:rPr>
          <w:rFonts w:hint="eastAsia" w:ascii="黑体" w:hAnsi="黑体" w:eastAsia="黑体" w:cs="Times New Roman"/>
          <w:kern w:val="0"/>
          <w:sz w:val="30"/>
          <w:szCs w:val="30"/>
          <w:u w:color="000000"/>
        </w:rPr>
        <w:t>）</w:t>
      </w:r>
      <w:r>
        <w:rPr>
          <w:rFonts w:hint="eastAsia" w:ascii="宋体" w:hAnsi="宋体" w:eastAsia="宋体" w:cs="Times New Roman"/>
          <w:kern w:val="0"/>
          <w:sz w:val="30"/>
          <w:szCs w:val="30"/>
          <w:u w:color="000000"/>
        </w:rPr>
        <w:t>、密封，投标文件需签名之处必须由当事人签署，否则可能会被视为无效投标</w:t>
      </w:r>
      <w:r>
        <w:rPr>
          <w:rFonts w:hint="eastAsia" w:cs="Times New Roman" w:asciiTheme="minorEastAsia" w:hAnsiTheme="minorEastAsia"/>
          <w:kern w:val="0"/>
          <w:sz w:val="30"/>
          <w:szCs w:val="30"/>
          <w:u w:color="000000"/>
        </w:rPr>
        <w:t>。</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四、带</w:t>
      </w:r>
      <w:r>
        <w:rPr>
          <w:rFonts w:hint="eastAsia" w:cs="宋体" w:asciiTheme="minorEastAsia" w:hAnsiTheme="minorEastAsia"/>
          <w:kern w:val="0"/>
          <w:sz w:val="30"/>
          <w:szCs w:val="30"/>
          <w:u w:color="000000"/>
        </w:rPr>
        <w:t>★</w:t>
      </w:r>
      <w:r>
        <w:rPr>
          <w:rFonts w:hint="eastAsia" w:cs="Times New Roman" w:asciiTheme="minorEastAsia" w:hAnsiTheme="minorEastAsia"/>
          <w:kern w:val="0"/>
          <w:sz w:val="30"/>
          <w:szCs w:val="30"/>
          <w:u w:color="000000"/>
        </w:rPr>
        <w:t>号条款均为实质性响应指标要求，必须全部响应。若有一项带“</w:t>
      </w:r>
      <w:r>
        <w:rPr>
          <w:rFonts w:hint="eastAsia" w:cs="宋体" w:asciiTheme="minorEastAsia" w:hAnsiTheme="minorEastAsia"/>
          <w:kern w:val="0"/>
          <w:sz w:val="30"/>
          <w:szCs w:val="30"/>
          <w:u w:color="000000"/>
        </w:rPr>
        <w:t>★</w:t>
      </w:r>
      <w:r>
        <w:rPr>
          <w:rFonts w:hint="eastAsia" w:cs="Times New Roman" w:asciiTheme="minorEastAsia" w:hAnsiTheme="minorEastAsia"/>
          <w:kern w:val="0"/>
          <w:sz w:val="30"/>
          <w:szCs w:val="30"/>
          <w:u w:color="000000"/>
        </w:rPr>
        <w:t>”条款未响应或不满足，均视为非实质性响应招标文件，按无效投标处理。</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五、《价格文件》一式一份，单独装订，密封在一个信封内，在信封表面标明“价格文件”“开标时启封”字样，注明“投标人名称”“项目名称”“项目编号”“包号”等信息，投标时单独递交。投标人如未按上述要求单独递交《价格文件》，其投标有可能被拒绝。</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六、投标文件中除《价格文件》外，其他部分不得有任何涉及本次投标报价的信息，否则视为无效投标。</w:t>
      </w:r>
    </w:p>
    <w:p>
      <w:pPr>
        <w:widowControl/>
        <w:ind w:firstLine="582" w:firstLineChars="200"/>
        <w:rPr>
          <w:rFonts w:cs="Times New Roman" w:asciiTheme="minorEastAsia" w:hAnsiTheme="minorEastAsia"/>
          <w:kern w:val="0"/>
          <w:sz w:val="30"/>
          <w:szCs w:val="30"/>
          <w:u w:color="000000"/>
        </w:rPr>
      </w:pPr>
      <w:r>
        <w:rPr>
          <w:rFonts w:hint="eastAsia" w:ascii="黑体" w:hAnsi="黑体" w:eastAsia="黑体" w:cs="Times New Roman"/>
          <w:kern w:val="0"/>
          <w:sz w:val="30"/>
          <w:szCs w:val="30"/>
          <w:u w:color="000000"/>
        </w:rPr>
        <w:t>七、投标人编制投标文件，应按照招标文件评审标准要求，填写指标值或评分项及其在投标文件位置页码；评审时评委依据投标文件，对投标人填写的内容进行审核确认</w:t>
      </w:r>
      <w:r>
        <w:rPr>
          <w:rFonts w:hint="eastAsia" w:cs="Times New Roman" w:asciiTheme="minorEastAsia" w:hAnsiTheme="minorEastAsia"/>
          <w:kern w:val="0"/>
          <w:sz w:val="30"/>
          <w:szCs w:val="30"/>
          <w:u w:color="000000"/>
        </w:rPr>
        <w:t>。</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八、供应商发现购买招标文件时提交的相关资料被盗用或复制，应遵循法律途径解决，追究侵权者责任。</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九、投标人应对提供的资料真实性负责，如发现投标人借用或盗用他人相关资质的，将根据国家、军队及医院供应商管理规定予以处理。</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十、开标当日，投标人授权代表需手持身份证原件、法定代表人授权书原件（法定代表人需持法定代表人资格证明书）及招标文件购买凭证进行现场点验。</w:t>
      </w:r>
    </w:p>
    <w:p>
      <w:pPr>
        <w:widowControl/>
        <w:jc w:val="left"/>
        <w:rPr>
          <w:rFonts w:ascii="方正小标宋简体" w:hAnsi="Times New Roman" w:eastAsia="方正小标宋简体" w:cs="Times New Roman"/>
          <w:kern w:val="0"/>
          <w:sz w:val="44"/>
          <w:szCs w:val="44"/>
        </w:rPr>
      </w:pPr>
      <w:r>
        <w:rPr>
          <w:rFonts w:ascii="方正小标宋简体" w:hAnsi="Times New Roman" w:eastAsia="方正小标宋简体" w:cs="Times New Roman"/>
          <w:kern w:val="0"/>
          <w:sz w:val="44"/>
          <w:szCs w:val="44"/>
        </w:rPr>
        <w:br w:type="page"/>
      </w:r>
    </w:p>
    <w:p>
      <w:pPr>
        <w:widowControl/>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目    录</w:t>
      </w:r>
    </w:p>
    <w:p>
      <w:pPr>
        <w:rPr>
          <w:rFonts w:ascii="Times New Roman" w:hAnsi="Times New Roman" w:eastAsia="宋体" w:cs="Times New Roman"/>
          <w:kern w:val="0"/>
          <w:sz w:val="36"/>
          <w:szCs w:val="36"/>
        </w:rPr>
      </w:pPr>
    </w:p>
    <w:p>
      <w:pPr>
        <w:pStyle w:val="13"/>
        <w:ind w:left="804"/>
        <w:rPr>
          <w:rFonts w:asciiTheme="minorHAnsi" w:hAnsiTheme="minorHAnsi" w:eastAsiaTheme="minorEastAsia" w:cstheme="minorBidi"/>
          <w:kern w:val="2"/>
          <w:szCs w:val="22"/>
        </w:rPr>
      </w:pPr>
      <w:r>
        <w:rPr>
          <w:rFonts w:ascii="仿宋_GB2312" w:hAnsi="宋体" w:eastAsia="仿宋_GB2312"/>
          <w:sz w:val="40"/>
          <w:szCs w:val="32"/>
        </w:rPr>
        <w:fldChar w:fldCharType="begin"/>
      </w:r>
      <w:r>
        <w:rPr>
          <w:rFonts w:ascii="仿宋_GB2312" w:hAnsi="宋体" w:eastAsia="仿宋_GB2312"/>
          <w:sz w:val="40"/>
          <w:szCs w:val="32"/>
        </w:rPr>
        <w:instrText xml:space="preserve"> TOC \o "1-3" \h \z \u </w:instrText>
      </w:r>
      <w:r>
        <w:rPr>
          <w:rFonts w:ascii="仿宋_GB2312" w:hAnsi="宋体" w:eastAsia="仿宋_GB2312"/>
          <w:sz w:val="40"/>
          <w:szCs w:val="32"/>
        </w:rPr>
        <w:fldChar w:fldCharType="separate"/>
      </w:r>
      <w:r>
        <w:fldChar w:fldCharType="begin"/>
      </w:r>
      <w:r>
        <w:instrText xml:space="preserve"> HYPERLINK \l "_Toc37172687" </w:instrText>
      </w:r>
      <w:r>
        <w:fldChar w:fldCharType="separate"/>
      </w:r>
      <w:r>
        <w:rPr>
          <w:rStyle w:val="21"/>
          <w:rFonts w:hint="eastAsia" w:ascii="黑体" w:hAnsi="黑体" w:eastAsia="黑体"/>
          <w:sz w:val="32"/>
        </w:rPr>
        <w:t>第一部分</w:t>
      </w:r>
      <w:r>
        <w:rPr>
          <w:rStyle w:val="21"/>
          <w:rFonts w:ascii="黑体" w:hAnsi="黑体" w:eastAsia="黑体"/>
          <w:sz w:val="32"/>
        </w:rPr>
        <w:t xml:space="preserve">  </w:t>
      </w:r>
      <w:r>
        <w:rPr>
          <w:rStyle w:val="21"/>
          <w:rFonts w:hint="eastAsia" w:ascii="黑体" w:hAnsi="黑体" w:eastAsia="黑体"/>
          <w:sz w:val="32"/>
        </w:rPr>
        <w:t>招标公告</w:t>
      </w:r>
      <w:r>
        <w:rPr>
          <w:sz w:val="32"/>
        </w:rPr>
        <w:tab/>
      </w:r>
      <w:r>
        <w:rPr>
          <w:sz w:val="32"/>
        </w:rPr>
        <w:fldChar w:fldCharType="begin"/>
      </w:r>
      <w:r>
        <w:rPr>
          <w:sz w:val="32"/>
        </w:rPr>
        <w:instrText xml:space="preserve"> PAGEREF _Toc37172687 \h </w:instrText>
      </w:r>
      <w:r>
        <w:rPr>
          <w:sz w:val="32"/>
        </w:rPr>
        <w:fldChar w:fldCharType="separate"/>
      </w:r>
      <w:r>
        <w:rPr>
          <w:sz w:val="32"/>
        </w:rPr>
        <w:t>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"_Toc37172688" </w:instrText>
      </w:r>
      <w:r>
        <w:fldChar w:fldCharType="separate"/>
      </w:r>
      <w:r>
        <w:rPr>
          <w:rStyle w:val="21"/>
          <w:rFonts w:hint="eastAsia" w:ascii="黑体" w:hAnsi="黑体" w:eastAsia="黑体"/>
          <w:sz w:val="32"/>
          <w:lang w:val="zh-CN"/>
        </w:rPr>
        <w:t>第二部分</w:t>
      </w:r>
      <w:r>
        <w:rPr>
          <w:rStyle w:val="21"/>
          <w:rFonts w:ascii="黑体" w:hAnsi="黑体" w:eastAsia="黑体"/>
          <w:sz w:val="32"/>
          <w:lang w:val="zh-CN"/>
        </w:rPr>
        <w:t xml:space="preserve">  </w:t>
      </w:r>
      <w:r>
        <w:rPr>
          <w:rStyle w:val="21"/>
          <w:rFonts w:hint="eastAsia" w:ascii="黑体" w:hAnsi="黑体" w:eastAsia="黑体"/>
          <w:sz w:val="32"/>
          <w:lang w:val="zh-CN"/>
        </w:rPr>
        <w:t>采购项目技</w:t>
      </w:r>
      <w:r>
        <w:rPr>
          <w:rStyle w:val="21"/>
          <w:rFonts w:hint="eastAsia" w:ascii="黑体" w:hAnsi="黑体" w:eastAsia="黑体" w:cs="宋体"/>
          <w:sz w:val="32"/>
          <w:lang w:val="zh-CN"/>
        </w:rPr>
        <w:t>术</w:t>
      </w:r>
      <w:r>
        <w:rPr>
          <w:rStyle w:val="21"/>
          <w:rFonts w:hint="eastAsia" w:ascii="黑体" w:hAnsi="黑体" w:eastAsia="黑体" w:cs="Dotum"/>
          <w:sz w:val="32"/>
          <w:lang w:val="zh-CN"/>
        </w:rPr>
        <w:t>和商</w:t>
      </w:r>
      <w:r>
        <w:rPr>
          <w:rStyle w:val="21"/>
          <w:rFonts w:hint="eastAsia" w:ascii="黑体" w:hAnsi="黑体" w:eastAsia="黑体" w:cs="宋体"/>
          <w:sz w:val="32"/>
          <w:lang w:val="zh-CN"/>
        </w:rPr>
        <w:t>务</w:t>
      </w:r>
      <w:r>
        <w:rPr>
          <w:rStyle w:val="21"/>
          <w:rFonts w:hint="eastAsia" w:ascii="黑体" w:hAnsi="黑体" w:eastAsia="黑体"/>
          <w:sz w:val="32"/>
          <w:lang w:val="zh-CN"/>
        </w:rPr>
        <w:t>要求</w:t>
      </w:r>
      <w:r>
        <w:rPr>
          <w:sz w:val="32"/>
        </w:rPr>
        <w:tab/>
      </w:r>
      <w:r>
        <w:rPr>
          <w:sz w:val="32"/>
        </w:rPr>
        <w:fldChar w:fldCharType="begin"/>
      </w:r>
      <w:r>
        <w:rPr>
          <w:sz w:val="32"/>
        </w:rPr>
        <w:instrText xml:space="preserve"> PAGEREF _Toc37172688 \h </w:instrText>
      </w:r>
      <w:r>
        <w:rPr>
          <w:sz w:val="32"/>
        </w:rPr>
        <w:fldChar w:fldCharType="separate"/>
      </w:r>
      <w:r>
        <w:rPr>
          <w:sz w:val="32"/>
        </w:rPr>
        <w:t>4</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"_Toc37172689" </w:instrText>
      </w:r>
      <w:r>
        <w:fldChar w:fldCharType="separate"/>
      </w:r>
      <w:r>
        <w:rPr>
          <w:rStyle w:val="21"/>
          <w:rFonts w:hint="eastAsia" w:ascii="黑体" w:hAnsi="黑体" w:eastAsia="黑体"/>
          <w:sz w:val="32"/>
        </w:rPr>
        <w:t>第三部分</w:t>
      </w:r>
      <w:r>
        <w:rPr>
          <w:rStyle w:val="21"/>
          <w:rFonts w:ascii="黑体" w:hAnsi="黑体" w:eastAsia="黑体"/>
          <w:sz w:val="32"/>
        </w:rPr>
        <w:t xml:space="preserve">  </w:t>
      </w:r>
      <w:r>
        <w:rPr>
          <w:rStyle w:val="21"/>
          <w:rFonts w:hint="eastAsia" w:ascii="黑体" w:hAnsi="黑体" w:eastAsia="黑体"/>
          <w:sz w:val="32"/>
          <w:lang w:val="zh-CN"/>
        </w:rPr>
        <w:t>投标人</w:t>
      </w:r>
      <w:r>
        <w:rPr>
          <w:rStyle w:val="21"/>
          <w:rFonts w:hint="eastAsia" w:ascii="黑体" w:hAnsi="黑体" w:eastAsia="黑体"/>
          <w:sz w:val="32"/>
        </w:rPr>
        <w:t>须知</w:t>
      </w:r>
      <w:r>
        <w:rPr>
          <w:sz w:val="32"/>
        </w:rPr>
        <w:tab/>
      </w:r>
      <w:r>
        <w:rPr>
          <w:sz w:val="32"/>
        </w:rPr>
        <w:fldChar w:fldCharType="begin"/>
      </w:r>
      <w:r>
        <w:rPr>
          <w:sz w:val="32"/>
        </w:rPr>
        <w:instrText xml:space="preserve"> PAGEREF _Toc37172689 \h </w:instrText>
      </w:r>
      <w:r>
        <w:rPr>
          <w:sz w:val="32"/>
        </w:rPr>
        <w:fldChar w:fldCharType="separate"/>
      </w:r>
      <w:r>
        <w:rPr>
          <w:sz w:val="32"/>
        </w:rPr>
        <w:t>8</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"_Toc37172690" </w:instrText>
      </w:r>
      <w:r>
        <w:fldChar w:fldCharType="separate"/>
      </w:r>
      <w:r>
        <w:rPr>
          <w:rStyle w:val="21"/>
          <w:rFonts w:hint="eastAsia" w:ascii="黑体" w:hAnsi="黑体" w:eastAsia="黑体"/>
          <w:bCs/>
          <w:sz w:val="32"/>
        </w:rPr>
        <w:t>第四部分</w:t>
      </w:r>
      <w:r>
        <w:rPr>
          <w:rStyle w:val="21"/>
          <w:rFonts w:ascii="黑体" w:hAnsi="黑体" w:eastAsia="黑体"/>
          <w:bCs/>
          <w:sz w:val="32"/>
        </w:rPr>
        <w:t xml:space="preserve">  </w:t>
      </w:r>
      <w:r>
        <w:rPr>
          <w:rStyle w:val="21"/>
          <w:rFonts w:hint="eastAsia" w:ascii="黑体" w:hAnsi="黑体" w:eastAsia="黑体"/>
          <w:bCs/>
          <w:sz w:val="32"/>
        </w:rPr>
        <w:t>合同样本</w:t>
      </w:r>
      <w:r>
        <w:rPr>
          <w:sz w:val="32"/>
        </w:rPr>
        <w:tab/>
      </w:r>
      <w:r>
        <w:rPr>
          <w:sz w:val="32"/>
        </w:rPr>
        <w:fldChar w:fldCharType="begin"/>
      </w:r>
      <w:r>
        <w:rPr>
          <w:sz w:val="32"/>
        </w:rPr>
        <w:instrText xml:space="preserve"> PAGEREF _Toc37172690 \h </w:instrText>
      </w:r>
      <w:r>
        <w:rPr>
          <w:sz w:val="32"/>
        </w:rPr>
        <w:fldChar w:fldCharType="separate"/>
      </w:r>
      <w:r>
        <w:rPr>
          <w:sz w:val="32"/>
        </w:rPr>
        <w:t>31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"_Toc37172691" </w:instrText>
      </w:r>
      <w:r>
        <w:fldChar w:fldCharType="separate"/>
      </w:r>
      <w:r>
        <w:rPr>
          <w:rStyle w:val="21"/>
          <w:rFonts w:hint="eastAsia" w:ascii="黑体" w:hAnsi="黑体" w:eastAsia="黑体"/>
          <w:sz w:val="32"/>
        </w:rPr>
        <w:t>第五部分</w:t>
      </w:r>
      <w:r>
        <w:rPr>
          <w:rStyle w:val="21"/>
          <w:rFonts w:ascii="黑体" w:hAnsi="黑体" w:eastAsia="黑体"/>
          <w:sz w:val="32"/>
        </w:rPr>
        <w:t xml:space="preserve">  </w:t>
      </w:r>
      <w:r>
        <w:rPr>
          <w:rStyle w:val="21"/>
          <w:rFonts w:hint="eastAsia" w:ascii="黑体" w:hAnsi="黑体" w:eastAsia="黑体"/>
          <w:sz w:val="32"/>
        </w:rPr>
        <w:t>附件</w:t>
      </w:r>
      <w:r>
        <w:rPr>
          <w:rStyle w:val="21"/>
          <w:rFonts w:ascii="黑体" w:hAnsi="黑体" w:eastAsia="黑体"/>
          <w:sz w:val="32"/>
        </w:rPr>
        <w:t>/</w:t>
      </w:r>
      <w:r>
        <w:rPr>
          <w:rStyle w:val="21"/>
          <w:rFonts w:hint="eastAsia" w:ascii="黑体" w:hAnsi="黑体" w:eastAsia="黑体"/>
          <w:sz w:val="32"/>
        </w:rPr>
        <w:t>投标文件格式</w:t>
      </w:r>
      <w:r>
        <w:rPr>
          <w:sz w:val="32"/>
        </w:rPr>
        <w:tab/>
      </w:r>
      <w:r>
        <w:rPr>
          <w:sz w:val="32"/>
        </w:rPr>
        <w:fldChar w:fldCharType="begin"/>
      </w:r>
      <w:r>
        <w:rPr>
          <w:sz w:val="32"/>
        </w:rPr>
        <w:instrText xml:space="preserve"> PAGEREF _Toc37172691 \h </w:instrText>
      </w:r>
      <w:r>
        <w:rPr>
          <w:sz w:val="32"/>
        </w:rPr>
        <w:fldChar w:fldCharType="separate"/>
      </w:r>
      <w:r>
        <w:rPr>
          <w:sz w:val="32"/>
        </w:rPr>
        <w:t>34</w:t>
      </w:r>
      <w:r>
        <w:rPr>
          <w:sz w:val="32"/>
        </w:rPr>
        <w:fldChar w:fldCharType="end"/>
      </w:r>
      <w:r>
        <w:rPr>
          <w:sz w:val="32"/>
        </w:rPr>
        <w:fldChar w:fldCharType="end"/>
      </w:r>
    </w:p>
    <w:p>
      <w:pPr>
        <w:jc w:val="distribute"/>
        <w:rPr>
          <w:rFonts w:ascii="仿宋_GB2312" w:hAnsi="宋体" w:eastAsia="仿宋_GB2312" w:cs="Times New Roman"/>
          <w:kern w:val="0"/>
          <w:sz w:val="32"/>
          <w:szCs w:val="32"/>
        </w:rPr>
      </w:pPr>
      <w:r>
        <w:rPr>
          <w:rFonts w:ascii="仿宋_GB2312" w:hAnsi="宋体" w:eastAsia="仿宋_GB2312" w:cs="Times New Roman"/>
          <w:kern w:val="0"/>
          <w:sz w:val="40"/>
          <w:szCs w:val="32"/>
        </w:rPr>
        <w:fldChar w:fldCharType="end"/>
      </w:r>
    </w:p>
    <w:p>
      <w:pPr>
        <w:ind w:firstLine="462" w:firstLineChars="200"/>
        <w:rPr>
          <w:rFonts w:ascii="Times New Roman" w:hAnsi="Times New Roman" w:eastAsia="宋体" w:cs="Times New Roman"/>
          <w:kern w:val="0"/>
          <w:sz w:val="24"/>
          <w:szCs w:val="24"/>
        </w:rPr>
      </w:pPr>
    </w:p>
    <w:p>
      <w:pPr>
        <w:ind w:firstLine="462" w:firstLineChars="200"/>
        <w:rPr>
          <w:rFonts w:ascii="Times New Roman" w:hAnsi="Times New Roman" w:eastAsia="宋体" w:cs="Times New Roman"/>
          <w:kern w:val="0"/>
          <w:sz w:val="24"/>
          <w:szCs w:val="24"/>
        </w:rPr>
      </w:pPr>
    </w:p>
    <w:p>
      <w:pPr>
        <w:ind w:firstLine="462" w:firstLineChars="200"/>
        <w:rPr>
          <w:rFonts w:ascii="Times New Roman" w:hAnsi="Times New Roman" w:eastAsia="宋体" w:cs="Times New Roman"/>
          <w:kern w:val="0"/>
          <w:sz w:val="24"/>
          <w:szCs w:val="24"/>
        </w:rPr>
      </w:pPr>
    </w:p>
    <w:p>
      <w:pPr>
        <w:spacing w:beforeLines="100"/>
        <w:jc w:val="center"/>
        <w:rPr>
          <w:rFonts w:ascii="Times New Roman" w:hAnsi="Times New Roman" w:eastAsia="华文中宋" w:cs="Times New Roman"/>
          <w:kern w:val="0"/>
          <w:sz w:val="44"/>
          <w:szCs w:val="4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pStyle w:val="2"/>
        <w:jc w:val="center"/>
        <w:rPr>
          <w:rFonts w:ascii="黑体" w:hAnsi="黑体" w:eastAsia="黑体"/>
          <w:kern w:val="0"/>
          <w:sz w:val="32"/>
          <w:szCs w:val="32"/>
        </w:rPr>
      </w:pPr>
      <w:bookmarkStart w:id="1" w:name="_Toc435540978"/>
      <w:bookmarkStart w:id="2" w:name="_Toc285612593"/>
      <w:bookmarkStart w:id="3" w:name="_Toc37172687"/>
      <w:r>
        <w:rPr>
          <w:rFonts w:hint="eastAsia" w:ascii="黑体" w:hAnsi="黑体" w:eastAsia="黑体"/>
          <w:kern w:val="0"/>
          <w:sz w:val="32"/>
          <w:szCs w:val="32"/>
        </w:rPr>
        <w:t>第一部分</w:t>
      </w:r>
      <w:bookmarkEnd w:id="1"/>
      <w:bookmarkEnd w:id="2"/>
      <w:r>
        <w:rPr>
          <w:rFonts w:hint="eastAsia" w:ascii="黑体" w:hAnsi="黑体" w:eastAsia="黑体"/>
          <w:kern w:val="0"/>
          <w:sz w:val="32"/>
          <w:szCs w:val="32"/>
        </w:rPr>
        <w:t xml:space="preserve">  招标公告</w:t>
      </w:r>
      <w:bookmarkEnd w:id="0"/>
      <w:bookmarkEnd w:id="3"/>
    </w:p>
    <w:p>
      <w:pPr>
        <w:adjustRightInd w:val="0"/>
        <w:snapToGrid w:val="0"/>
        <w:spacing w:line="440" w:lineRule="exact"/>
        <w:jc w:val="center"/>
        <w:rPr>
          <w:rFonts w:hint="eastAsia" w:ascii="Tahoma" w:hAnsi="Tahoma" w:cs="Tahoma"/>
          <w:b/>
          <w:bCs/>
          <w:kern w:val="0"/>
          <w:sz w:val="28"/>
          <w:szCs w:val="28"/>
        </w:rPr>
      </w:pPr>
      <w:r>
        <w:rPr>
          <w:rFonts w:hint="eastAsia" w:ascii="Tahoma" w:hAnsi="Tahoma" w:cs="Tahoma"/>
          <w:b/>
          <w:bCs/>
          <w:kern w:val="0"/>
          <w:sz w:val="28"/>
          <w:szCs w:val="28"/>
        </w:rPr>
        <w:t>关于低端多参数监护仪的采购</w:t>
      </w:r>
      <w:r>
        <w:rPr>
          <w:rFonts w:ascii="Tahoma" w:hAnsi="Tahoma" w:cs="Tahoma"/>
          <w:b/>
          <w:bCs/>
          <w:kern w:val="0"/>
          <w:sz w:val="28"/>
          <w:szCs w:val="28"/>
        </w:rPr>
        <w:t>公告</w:t>
      </w:r>
      <w:r>
        <w:rPr>
          <w:rFonts w:hint="eastAsia" w:ascii="Tahoma" w:hAnsi="Tahoma" w:cs="Tahoma"/>
          <w:b/>
          <w:bCs/>
          <w:kern w:val="0"/>
          <w:sz w:val="28"/>
          <w:szCs w:val="28"/>
          <w:lang w:eastAsia="zh-CN"/>
        </w:rPr>
        <w:t>（第二次）</w:t>
      </w:r>
      <w:r>
        <w:rPr>
          <w:rFonts w:hint="eastAsia" w:ascii="Tahoma" w:hAnsi="Tahoma" w:cs="Tahoma"/>
          <w:kern w:val="0"/>
          <w:sz w:val="28"/>
          <w:szCs w:val="28"/>
        </w:rPr>
        <w:t>2020-JL13(03)-W10082</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我院就以下项目进行国内公开招标，采购资金已全部落实，欢迎符合条件的供应商参加投标。</w:t>
      </w:r>
    </w:p>
    <w:p>
      <w:pPr>
        <w:adjustRightInd w:val="0"/>
        <w:snapToGrid w:val="0"/>
        <w:spacing w:line="440" w:lineRule="exact"/>
        <w:ind w:firstLine="462" w:firstLineChars="200"/>
        <w:rPr>
          <w:rFonts w:hint="eastAsia" w:cs="Times New Roman" w:asciiTheme="minorEastAsia" w:hAnsiTheme="minorEastAsia"/>
          <w:b/>
          <w:kern w:val="0"/>
          <w:sz w:val="24"/>
          <w:szCs w:val="24"/>
        </w:rPr>
      </w:pPr>
      <w:r>
        <w:rPr>
          <w:rFonts w:hint="eastAsia" w:cs="Times New Roman" w:asciiTheme="minorEastAsia" w:hAnsiTheme="minorEastAsia"/>
          <w:b/>
          <w:kern w:val="0"/>
          <w:sz w:val="24"/>
          <w:szCs w:val="24"/>
        </w:rPr>
        <w:t>一、</w:t>
      </w:r>
      <w:r>
        <w:rPr>
          <w:rFonts w:cs="Times New Roman" w:asciiTheme="minorEastAsia" w:hAnsiTheme="minorEastAsia"/>
          <w:b/>
          <w:kern w:val="0"/>
          <w:sz w:val="24"/>
          <w:szCs w:val="24"/>
        </w:rPr>
        <w:t>项目名称：</w:t>
      </w:r>
      <w:r>
        <w:rPr>
          <w:rFonts w:hint="eastAsia" w:cs="Times New Roman" w:asciiTheme="minorEastAsia" w:hAnsiTheme="minorEastAsia"/>
          <w:b/>
          <w:kern w:val="0"/>
          <w:sz w:val="24"/>
          <w:szCs w:val="24"/>
        </w:rPr>
        <w:t>低端多参数监护仪</w:t>
      </w:r>
    </w:p>
    <w:p>
      <w:pPr>
        <w:tabs>
          <w:tab w:val="left" w:pos="0"/>
          <w:tab w:val="left" w:pos="1122"/>
        </w:tabs>
        <w:adjustRightInd w:val="0"/>
        <w:snapToGrid w:val="0"/>
        <w:spacing w:line="440" w:lineRule="exact"/>
        <w:ind w:firstLine="462" w:firstLineChars="200"/>
        <w:rPr>
          <w:rFonts w:hint="eastAsia" w:cs="Times New Roman" w:asciiTheme="minorEastAsia" w:hAnsiTheme="minorEastAsia"/>
          <w:b/>
          <w:kern w:val="0"/>
          <w:sz w:val="24"/>
          <w:szCs w:val="24"/>
        </w:rPr>
      </w:pPr>
      <w:r>
        <w:rPr>
          <w:rFonts w:hint="eastAsia" w:cs="Times New Roman" w:asciiTheme="minorEastAsia" w:hAnsiTheme="minorEastAsia"/>
          <w:b/>
          <w:kern w:val="0"/>
          <w:sz w:val="24"/>
          <w:szCs w:val="24"/>
        </w:rPr>
        <w:t>二、</w:t>
      </w:r>
      <w:r>
        <w:rPr>
          <w:rFonts w:cs="Times New Roman" w:asciiTheme="minorEastAsia" w:hAnsiTheme="minorEastAsia"/>
          <w:b/>
          <w:kern w:val="0"/>
          <w:sz w:val="24"/>
          <w:szCs w:val="24"/>
        </w:rPr>
        <w:t>项目编号：</w:t>
      </w:r>
      <w:r>
        <w:rPr>
          <w:rFonts w:hint="eastAsia" w:cs="Times New Roman" w:asciiTheme="minorEastAsia" w:hAnsiTheme="minorEastAsia"/>
          <w:b/>
          <w:kern w:val="0"/>
          <w:sz w:val="24"/>
          <w:szCs w:val="24"/>
        </w:rPr>
        <w:t>2020-JL13(03)-W10082</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三、项目概况</w:t>
      </w:r>
      <w:r>
        <w:rPr>
          <w:rFonts w:cs="Times New Roman" w:asciiTheme="minorEastAsia" w:hAnsiTheme="minorEastAsia"/>
          <w:b/>
          <w:kern w:val="0"/>
          <w:sz w:val="24"/>
          <w:szCs w:val="24"/>
        </w:rPr>
        <w:t>：</w:t>
      </w:r>
    </w:p>
    <w:tbl>
      <w:tblPr>
        <w:tblStyle w:val="17"/>
        <w:tblW w:w="51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071"/>
        <w:gridCol w:w="740"/>
        <w:gridCol w:w="1380"/>
        <w:gridCol w:w="820"/>
        <w:gridCol w:w="818"/>
        <w:gridCol w:w="1057"/>
        <w:gridCol w:w="1101"/>
        <w:gridCol w:w="948"/>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1" w:hRule="exact"/>
          <w:jc w:val="center"/>
        </w:trPr>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包号</w:t>
            </w:r>
          </w:p>
        </w:tc>
        <w:tc>
          <w:tcPr>
            <w:tcW w:w="107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货物</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名称</w:t>
            </w:r>
          </w:p>
        </w:tc>
        <w:tc>
          <w:tcPr>
            <w:tcW w:w="7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规格</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型号</w:t>
            </w: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技术要求</w:t>
            </w:r>
          </w:p>
        </w:tc>
        <w:tc>
          <w:tcPr>
            <w:tcW w:w="82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计量</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单位</w:t>
            </w:r>
          </w:p>
        </w:tc>
        <w:tc>
          <w:tcPr>
            <w:tcW w:w="8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数量</w:t>
            </w:r>
          </w:p>
        </w:tc>
        <w:tc>
          <w:tcPr>
            <w:tcW w:w="105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cs="Times New Roman" w:asciiTheme="minorEastAsia" w:hAnsiTheme="minorEastAsia" w:eastAsiaTheme="minorEastAsia"/>
                <w:snapToGrid w:val="0"/>
                <w:kern w:val="0"/>
                <w:szCs w:val="21"/>
                <w:lang w:val="en-US" w:eastAsia="zh-CN"/>
              </w:rPr>
            </w:pPr>
            <w:r>
              <w:rPr>
                <w:rFonts w:hint="eastAsia" w:cs="Times New Roman" w:asciiTheme="minorEastAsia" w:hAnsiTheme="minorEastAsia"/>
                <w:snapToGrid w:val="0"/>
                <w:kern w:val="0"/>
                <w:szCs w:val="21"/>
                <w:lang w:val="en-US" w:eastAsia="zh-CN"/>
              </w:rPr>
              <w:t>预算金额（万元）</w:t>
            </w:r>
          </w:p>
        </w:tc>
        <w:tc>
          <w:tcPr>
            <w:tcW w:w="110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交货</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时间</w:t>
            </w:r>
          </w:p>
        </w:tc>
        <w:tc>
          <w:tcPr>
            <w:tcW w:w="9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交货</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地点</w:t>
            </w:r>
          </w:p>
        </w:tc>
        <w:tc>
          <w:tcPr>
            <w:tcW w:w="70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2" w:hRule="exact"/>
          <w:jc w:val="center"/>
        </w:trPr>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1</w:t>
            </w:r>
          </w:p>
        </w:tc>
        <w:tc>
          <w:tcPr>
            <w:tcW w:w="107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低端多参数监护仪</w:t>
            </w:r>
          </w:p>
        </w:tc>
        <w:tc>
          <w:tcPr>
            <w:tcW w:w="7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w:t>
            </w: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详见招标文件第二部分</w:t>
            </w:r>
          </w:p>
        </w:tc>
        <w:tc>
          <w:tcPr>
            <w:tcW w:w="82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eastAsia="zh-CN"/>
              </w:rPr>
              <w:t>台</w:t>
            </w:r>
          </w:p>
        </w:tc>
        <w:tc>
          <w:tcPr>
            <w:tcW w:w="8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15</w:t>
            </w:r>
          </w:p>
        </w:tc>
        <w:tc>
          <w:tcPr>
            <w:tcW w:w="105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74.7</w:t>
            </w:r>
          </w:p>
        </w:tc>
        <w:tc>
          <w:tcPr>
            <w:tcW w:w="110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合同签订后90个日历日</w:t>
            </w:r>
          </w:p>
        </w:tc>
        <w:tc>
          <w:tcPr>
            <w:tcW w:w="9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重庆市</w:t>
            </w:r>
          </w:p>
        </w:tc>
        <w:tc>
          <w:tcPr>
            <w:tcW w:w="70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exact"/>
          <w:jc w:val="center"/>
        </w:trPr>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napToGrid w:val="0"/>
                <w:kern w:val="0"/>
                <w:szCs w:val="21"/>
              </w:rPr>
              <w:t>说明</w:t>
            </w:r>
          </w:p>
        </w:tc>
        <w:tc>
          <w:tcPr>
            <w:tcW w:w="8643"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rPr>
                <w:rFonts w:cs="Times New Roman" w:asciiTheme="minorEastAsia" w:hAnsiTheme="minorEastAsia"/>
                <w:kern w:val="0"/>
                <w:szCs w:val="21"/>
              </w:rPr>
            </w:pPr>
            <w:r>
              <w:rPr>
                <w:rFonts w:cs="Times New Roman" w:asciiTheme="minorEastAsia" w:hAnsiTheme="minorEastAsia"/>
                <w:kern w:val="0"/>
                <w:szCs w:val="21"/>
              </w:rPr>
              <w:t>1.</w:t>
            </w:r>
            <w:r>
              <w:rPr>
                <w:rFonts w:hint="eastAsia" w:cs="Times New Roman" w:asciiTheme="minorEastAsia" w:hAnsiTheme="minorEastAsia"/>
                <w:kern w:val="0"/>
                <w:szCs w:val="21"/>
              </w:rPr>
              <w:t>投标人须对所投包内所有产品和数量进行投标报价，否则视为无效投标。</w:t>
            </w:r>
          </w:p>
          <w:p>
            <w:pPr>
              <w:adjustRightInd w:val="0"/>
              <w:snapToGrid w:val="0"/>
              <w:rPr>
                <w:rFonts w:cs="Times New Roman" w:asciiTheme="minorEastAsia" w:hAnsiTheme="minorEastAsia"/>
                <w:szCs w:val="21"/>
              </w:rPr>
            </w:pPr>
            <w:r>
              <w:rPr>
                <w:rFonts w:hint="eastAsia" w:cs="Times New Roman" w:asciiTheme="minorEastAsia" w:hAnsiTheme="minorEastAsia"/>
                <w:kern w:val="0"/>
                <w:szCs w:val="21"/>
              </w:rPr>
              <w:t>2.</w:t>
            </w:r>
            <w:r>
              <w:rPr>
                <w:rFonts w:hint="eastAsia" w:ascii="宋体" w:hAnsi="宋体"/>
              </w:rPr>
              <w:t>投标报价应包括所有货物供应、运输、安装、培训、售后服务价格。</w:t>
            </w:r>
          </w:p>
        </w:tc>
      </w:tr>
    </w:tbl>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四、投标人</w:t>
      </w:r>
      <w:r>
        <w:rPr>
          <w:rFonts w:cs="Times New Roman" w:asciiTheme="minorEastAsia" w:hAnsiTheme="minorEastAsia"/>
          <w:b/>
          <w:kern w:val="0"/>
          <w:sz w:val="24"/>
          <w:szCs w:val="24"/>
        </w:rPr>
        <w:t>资格条件：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（一）符合《中华人民共和国政府采购法》第二十二条资格条件：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1.具有独立承担民事责任的能力；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2.具有良好的商业信誉和健全的财务会计制度；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3.具有履行合同所必需的设备和专业技术能力；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4.有依法缴纳税收和社会保障资金的良好记录；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5.参加政府采购活动前3年内，在经营活动中没有重大违法记录；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6.法律、行政法规规定的其他条件。</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（二）供应商成立时间不少于1年。</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（三）非外资独资或外资控股企业。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（五）本项目不接受联合体投标。</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（六）注册资金</w:t>
      </w:r>
      <w:r>
        <w:rPr>
          <w:rFonts w:cs="Times New Roman" w:asciiTheme="minorEastAsia" w:hAnsiTheme="minorEastAsia"/>
          <w:kern w:val="0"/>
          <w:sz w:val="24"/>
          <w:szCs w:val="24"/>
        </w:rPr>
        <w:t>200</w:t>
      </w:r>
      <w:r>
        <w:rPr>
          <w:rFonts w:hint="eastAsia" w:cs="Times New Roman" w:asciiTheme="minorEastAsia" w:hAnsiTheme="minorEastAsia"/>
          <w:kern w:val="0"/>
          <w:sz w:val="24"/>
          <w:szCs w:val="24"/>
        </w:rPr>
        <w:t>万（含）以上生产或销售型企业。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（七）投标人应具备本项目生产或者销售范围（以投标人提供的营业执照、经营许可证为准）。</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五、招标</w:t>
      </w:r>
      <w:r>
        <w:rPr>
          <w:rFonts w:cs="Times New Roman" w:asciiTheme="minorEastAsia" w:hAnsiTheme="minorEastAsia"/>
          <w:b/>
          <w:kern w:val="0"/>
          <w:sz w:val="24"/>
          <w:szCs w:val="24"/>
        </w:rPr>
        <w:t>文件发售时间、地点、方式及售价</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（一）发售时间：</w:t>
      </w:r>
      <w:r>
        <w:rPr>
          <w:rFonts w:hint="eastAsia" w:cs="Times New Roman" w:asciiTheme="minorEastAsia" w:hAnsiTheme="minorEastAsia"/>
          <w:kern w:val="0"/>
          <w:sz w:val="24"/>
          <w:szCs w:val="24"/>
          <w:u w:val="single"/>
        </w:rPr>
        <w:t xml:space="preserve"> 202</w:t>
      </w:r>
      <w:r>
        <w:rPr>
          <w:rFonts w:hint="eastAsia" w:cs="Times New Roman" w:asciiTheme="minorEastAsia" w:hAnsiTheme="minorEastAsia"/>
          <w:kern w:val="0"/>
          <w:sz w:val="24"/>
          <w:szCs w:val="24"/>
          <w:u w:val="single"/>
          <w:lang w:val="en-US" w:eastAsia="zh-CN"/>
        </w:rPr>
        <w:t>1</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1</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29</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日至</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2</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5</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日（08:00—11:30，15:00—17:00）（北京时间、节假日除外）。</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（二）发售地点：</w:t>
      </w:r>
      <w:r>
        <w:rPr>
          <w:rFonts w:hint="eastAsia" w:cs="Times New Roman" w:asciiTheme="minorEastAsia" w:hAnsiTheme="minorEastAsia"/>
          <w:kern w:val="0"/>
          <w:sz w:val="24"/>
          <w:szCs w:val="24"/>
          <w:u w:val="single"/>
        </w:rPr>
        <w:t xml:space="preserve">   重庆市  </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（三）发售方式：投标人指定专人现场领取，不接受邮寄等其他方式。投标人购买招标文件时需提供以下材料原件或装订成册加盖单位公章的复印件1份。</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7.最近连续6个月缴纳社会保障金的银行转账汇款单或相应证明材料（依法不需要缴纳社会保障资金的投标人，应提供相应文件证明其不需要缴纳社会保障资金）；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8.最近连续6个月纳税的银行转账汇款单或相应证明材料（依法免税的投标人，应提供相应文件证明其依法免税）；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10.相关声明书（包含但不限于以下内容）：①非外资企业或外资控股企业的书面声明；②参加本次采购活动前3年内在经营活动中没有重大违法记录的书面声明；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11.医疗器械经营许可证或二类备案凭证（需具备投标产品经营资格)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13.生产企业《医疗器械生产许可证》（需具备投标产品生产资格，进口产品提供国内总代理相关经营许可证）；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14.投标产品《医疗器械产品注册证》（所投产品不属于医疗器械的无需提供）；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15.生产企业对代理公司投标授权书（进口产品需提供原产厂家对中国总代的中英文授权书复印件或同步翻译件）。</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（四）招标文件售价：200元/份，售后不退。</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六、投标开始和截止</w:t>
      </w:r>
      <w:r>
        <w:rPr>
          <w:rFonts w:cs="Times New Roman" w:asciiTheme="minorEastAsia" w:hAnsiTheme="minorEastAsia"/>
          <w:b/>
          <w:kern w:val="0"/>
          <w:sz w:val="24"/>
          <w:szCs w:val="24"/>
        </w:rPr>
        <w:t>时间</w:t>
      </w:r>
      <w:r>
        <w:rPr>
          <w:rFonts w:hint="eastAsia" w:cs="Times New Roman" w:asciiTheme="minorEastAsia" w:hAnsiTheme="minorEastAsia"/>
          <w:b/>
          <w:kern w:val="0"/>
          <w:sz w:val="24"/>
          <w:szCs w:val="24"/>
        </w:rPr>
        <w:t>及</w:t>
      </w:r>
      <w:r>
        <w:rPr>
          <w:rFonts w:cs="Times New Roman" w:asciiTheme="minorEastAsia" w:hAnsiTheme="minorEastAsia"/>
          <w:b/>
          <w:kern w:val="0"/>
          <w:sz w:val="24"/>
          <w:szCs w:val="24"/>
        </w:rPr>
        <w:t>地点</w:t>
      </w:r>
      <w:r>
        <w:rPr>
          <w:rFonts w:hint="eastAsia" w:cs="Times New Roman" w:asciiTheme="minorEastAsia" w:hAnsiTheme="minorEastAsia"/>
          <w:b/>
          <w:kern w:val="0"/>
          <w:sz w:val="24"/>
          <w:szCs w:val="24"/>
        </w:rPr>
        <w:t>、方式</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（一）投标开始时间：</w:t>
      </w:r>
      <w:r>
        <w:rPr>
          <w:rFonts w:hint="eastAsia" w:cs="Times New Roman" w:asciiTheme="minorEastAsia" w:hAnsiTheme="minorEastAsia"/>
          <w:kern w:val="0"/>
          <w:sz w:val="24"/>
          <w:szCs w:val="24"/>
          <w:u w:val="single"/>
        </w:rPr>
        <w:t xml:space="preserve"> 202</w:t>
      </w:r>
      <w:r>
        <w:rPr>
          <w:rFonts w:hint="eastAsia" w:cs="Times New Roman" w:asciiTheme="minorEastAsia" w:hAnsiTheme="minorEastAsia"/>
          <w:kern w:val="0"/>
          <w:sz w:val="24"/>
          <w:szCs w:val="24"/>
          <w:u w:val="single"/>
          <w:lang w:val="en-US" w:eastAsia="zh-CN"/>
        </w:rPr>
        <w:t>1</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3</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2</w:t>
      </w:r>
      <w:r>
        <w:rPr>
          <w:rFonts w:hint="eastAsia" w:cs="Times New Roman" w:asciiTheme="minorEastAsia" w:hAnsiTheme="minorEastAsia"/>
          <w:kern w:val="0"/>
          <w:sz w:val="24"/>
          <w:szCs w:val="24"/>
        </w:rPr>
        <w:t>日</w:t>
      </w:r>
      <w:r>
        <w:rPr>
          <w:rFonts w:hint="eastAsia" w:cs="Times New Roman" w:asciiTheme="minorEastAsia" w:hAnsiTheme="minorEastAsia"/>
          <w:kern w:val="0"/>
          <w:sz w:val="24"/>
          <w:szCs w:val="24"/>
          <w:u w:val="single"/>
        </w:rPr>
        <w:t xml:space="preserve"> 8</w:t>
      </w:r>
      <w:r>
        <w:rPr>
          <w:rFonts w:hint="eastAsia" w:cs="Times New Roman" w:asciiTheme="minorEastAsia" w:hAnsiTheme="minorEastAsia"/>
          <w:kern w:val="0"/>
          <w:sz w:val="24"/>
          <w:szCs w:val="24"/>
        </w:rPr>
        <w:t>时</w:t>
      </w:r>
      <w:r>
        <w:rPr>
          <w:rFonts w:hint="eastAsia" w:cs="Times New Roman" w:asciiTheme="minorEastAsia" w:hAnsiTheme="minorEastAsia"/>
          <w:kern w:val="0"/>
          <w:sz w:val="24"/>
          <w:szCs w:val="24"/>
          <w:u w:val="single"/>
        </w:rPr>
        <w:t xml:space="preserve"> 0 </w:t>
      </w:r>
      <w:r>
        <w:rPr>
          <w:rFonts w:hint="eastAsia" w:cs="Times New Roman" w:asciiTheme="minorEastAsia" w:hAnsiTheme="minorEastAsia"/>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（二）投标截止时间：</w:t>
      </w:r>
      <w:r>
        <w:rPr>
          <w:rFonts w:hint="eastAsia" w:cs="Times New Roman" w:asciiTheme="minorEastAsia" w:hAnsiTheme="minorEastAsia"/>
          <w:kern w:val="0"/>
          <w:sz w:val="24"/>
          <w:szCs w:val="24"/>
          <w:u w:val="single"/>
        </w:rPr>
        <w:t xml:space="preserve"> 202</w:t>
      </w:r>
      <w:r>
        <w:rPr>
          <w:rFonts w:hint="eastAsia" w:cs="Times New Roman" w:asciiTheme="minorEastAsia" w:hAnsiTheme="minorEastAsia"/>
          <w:kern w:val="0"/>
          <w:sz w:val="24"/>
          <w:szCs w:val="24"/>
          <w:u w:val="single"/>
          <w:lang w:val="en-US" w:eastAsia="zh-CN"/>
        </w:rPr>
        <w:t>1</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3</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月</w:t>
      </w:r>
      <w:r>
        <w:rPr>
          <w:rFonts w:hint="eastAsia" w:cs="Times New Roman" w:asciiTheme="minorEastAsia" w:hAnsiTheme="minorEastAsia"/>
          <w:color w:val="FF0000"/>
          <w:kern w:val="0"/>
          <w:sz w:val="24"/>
          <w:szCs w:val="24"/>
          <w:u w:val="single"/>
          <w:lang w:val="en-US" w:eastAsia="zh-CN"/>
        </w:rPr>
        <w:t>2</w:t>
      </w:r>
      <w:r>
        <w:rPr>
          <w:rFonts w:hint="eastAsia" w:cs="Times New Roman" w:asciiTheme="minorEastAsia" w:hAnsiTheme="minorEastAsia"/>
          <w:kern w:val="0"/>
          <w:sz w:val="24"/>
          <w:szCs w:val="24"/>
        </w:rPr>
        <w:t>日</w:t>
      </w:r>
      <w:r>
        <w:rPr>
          <w:rFonts w:hint="eastAsia" w:cs="Times New Roman" w:asciiTheme="minorEastAsia" w:hAnsiTheme="minorEastAsia"/>
          <w:kern w:val="0"/>
          <w:sz w:val="24"/>
          <w:szCs w:val="24"/>
          <w:u w:val="single"/>
        </w:rPr>
        <w:t xml:space="preserve"> 9 </w:t>
      </w:r>
      <w:r>
        <w:rPr>
          <w:rFonts w:hint="eastAsia" w:cs="Times New Roman" w:asciiTheme="minorEastAsia" w:hAnsiTheme="minorEastAsia"/>
          <w:kern w:val="0"/>
          <w:sz w:val="24"/>
          <w:szCs w:val="24"/>
        </w:rPr>
        <w:t>时</w:t>
      </w:r>
      <w:r>
        <w:rPr>
          <w:rFonts w:hint="eastAsia" w:cs="Times New Roman" w:asciiTheme="minorEastAsia" w:hAnsiTheme="minorEastAsia"/>
          <w:kern w:val="0"/>
          <w:sz w:val="24"/>
          <w:szCs w:val="24"/>
          <w:u w:val="single"/>
        </w:rPr>
        <w:t xml:space="preserve"> 0 </w:t>
      </w:r>
      <w:r>
        <w:rPr>
          <w:rFonts w:hint="eastAsia" w:cs="Times New Roman" w:asciiTheme="minorEastAsia" w:hAnsiTheme="minorEastAsia"/>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（三）投标地点：</w:t>
      </w:r>
      <w:r>
        <w:rPr>
          <w:rFonts w:hint="eastAsia" w:cs="Times New Roman" w:asciiTheme="minorEastAsia" w:hAnsiTheme="minorEastAsia"/>
          <w:kern w:val="0"/>
          <w:sz w:val="24"/>
          <w:szCs w:val="24"/>
          <w:u w:val="single"/>
        </w:rPr>
        <w:t xml:space="preserve">    重庆市      </w:t>
      </w:r>
      <w:r>
        <w:rPr>
          <w:rFonts w:hint="eastAsia" w:cs="Times New Roman" w:asciiTheme="minorEastAsia" w:hAnsiTheme="minorEastAsia"/>
          <w:kern w:val="0"/>
          <w:sz w:val="24"/>
          <w:szCs w:val="24"/>
        </w:rPr>
        <w:t>。</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（四）投标方式：指定专人递交投标文件，不接受邮寄等其他方式。</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七、</w:t>
      </w:r>
      <w:r>
        <w:rPr>
          <w:rFonts w:hint="eastAsia" w:cs="Times New Roman" w:asciiTheme="minorEastAsia" w:hAnsiTheme="minorEastAsia"/>
          <w:b/>
          <w:kern w:val="0"/>
          <w:sz w:val="24"/>
          <w:szCs w:val="24"/>
        </w:rPr>
        <w:tab/>
      </w:r>
      <w:r>
        <w:rPr>
          <w:rFonts w:hint="eastAsia" w:cs="Times New Roman" w:asciiTheme="minorEastAsia" w:hAnsiTheme="minorEastAsia"/>
          <w:b/>
          <w:kern w:val="0"/>
          <w:sz w:val="24"/>
          <w:szCs w:val="24"/>
        </w:rPr>
        <w:t>开标时间、地点</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（一）开标时间：</w:t>
      </w:r>
      <w:r>
        <w:rPr>
          <w:rFonts w:hint="eastAsia" w:cs="Times New Roman" w:asciiTheme="minorEastAsia" w:hAnsiTheme="minorEastAsia"/>
          <w:kern w:val="0"/>
          <w:sz w:val="24"/>
          <w:szCs w:val="24"/>
          <w:u w:val="single"/>
        </w:rPr>
        <w:t xml:space="preserve"> 202</w:t>
      </w:r>
      <w:r>
        <w:rPr>
          <w:rFonts w:hint="eastAsia" w:cs="Times New Roman" w:asciiTheme="minorEastAsia" w:hAnsiTheme="minorEastAsia"/>
          <w:kern w:val="0"/>
          <w:sz w:val="24"/>
          <w:szCs w:val="24"/>
          <w:u w:val="single"/>
          <w:lang w:val="en-US" w:eastAsia="zh-CN"/>
        </w:rPr>
        <w:t>1</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3</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2</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日</w:t>
      </w:r>
      <w:r>
        <w:rPr>
          <w:rFonts w:hint="eastAsia" w:cs="Times New Roman" w:asciiTheme="minorEastAsia" w:hAnsiTheme="minorEastAsia"/>
          <w:kern w:val="0"/>
          <w:sz w:val="24"/>
          <w:szCs w:val="24"/>
          <w:u w:val="single"/>
        </w:rPr>
        <w:t xml:space="preserve"> 9 </w:t>
      </w:r>
      <w:r>
        <w:rPr>
          <w:rFonts w:hint="eastAsia" w:cs="Times New Roman" w:asciiTheme="minorEastAsia" w:hAnsiTheme="minorEastAsia"/>
          <w:kern w:val="0"/>
          <w:sz w:val="24"/>
          <w:szCs w:val="24"/>
        </w:rPr>
        <w:t>时</w:t>
      </w:r>
      <w:r>
        <w:rPr>
          <w:rFonts w:hint="eastAsia" w:cs="Times New Roman" w:asciiTheme="minorEastAsia" w:hAnsiTheme="minorEastAsia"/>
          <w:kern w:val="0"/>
          <w:sz w:val="24"/>
          <w:szCs w:val="24"/>
          <w:u w:val="single"/>
        </w:rPr>
        <w:t xml:space="preserve"> 0 </w:t>
      </w:r>
      <w:r>
        <w:rPr>
          <w:rFonts w:hint="eastAsia" w:cs="Times New Roman" w:asciiTheme="minorEastAsia" w:hAnsiTheme="minorEastAsia"/>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（二）开标地点：</w:t>
      </w:r>
      <w:r>
        <w:rPr>
          <w:rFonts w:hint="eastAsia" w:cs="Times New Roman" w:asciiTheme="minorEastAsia" w:hAnsiTheme="minorEastAsia"/>
          <w:kern w:val="0"/>
          <w:sz w:val="24"/>
          <w:szCs w:val="24"/>
          <w:u w:val="single"/>
        </w:rPr>
        <w:t xml:space="preserve">   重庆市   </w:t>
      </w:r>
      <w:r>
        <w:rPr>
          <w:rFonts w:hint="eastAsia" w:cs="Times New Roman" w:asciiTheme="minorEastAsia" w:hAnsiTheme="minorEastAsia"/>
          <w:kern w:val="0"/>
          <w:sz w:val="24"/>
          <w:szCs w:val="24"/>
        </w:rPr>
        <w:t>。</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八、</w:t>
      </w:r>
      <w:r>
        <w:rPr>
          <w:rFonts w:cs="Times New Roman" w:asciiTheme="minorEastAsia" w:hAnsiTheme="minorEastAsia"/>
          <w:b/>
          <w:kern w:val="0"/>
          <w:sz w:val="24"/>
          <w:szCs w:val="24"/>
        </w:rPr>
        <w:t>本</w:t>
      </w:r>
      <w:r>
        <w:rPr>
          <w:rFonts w:hint="eastAsia" w:cs="Times New Roman" w:asciiTheme="minorEastAsia" w:hAnsiTheme="minorEastAsia"/>
          <w:b/>
          <w:kern w:val="0"/>
          <w:sz w:val="24"/>
          <w:szCs w:val="24"/>
        </w:rPr>
        <w:t>采购</w:t>
      </w:r>
      <w:r>
        <w:rPr>
          <w:rFonts w:cs="Times New Roman" w:asciiTheme="minorEastAsia" w:hAnsiTheme="minorEastAsia"/>
          <w:b/>
          <w:kern w:val="0"/>
          <w:sz w:val="24"/>
          <w:szCs w:val="24"/>
        </w:rPr>
        <w:t>项目相关信息</w:t>
      </w:r>
      <w:r>
        <w:rPr>
          <w:rFonts w:hint="eastAsia" w:cs="Times New Roman" w:asciiTheme="minorEastAsia" w:hAnsiTheme="minorEastAsia"/>
          <w:b/>
          <w:kern w:val="0"/>
          <w:sz w:val="24"/>
          <w:szCs w:val="24"/>
        </w:rPr>
        <w:t>同步</w:t>
      </w:r>
      <w:r>
        <w:rPr>
          <w:rFonts w:cs="Times New Roman" w:asciiTheme="minorEastAsia" w:hAnsiTheme="minorEastAsia"/>
          <w:b/>
          <w:kern w:val="0"/>
          <w:sz w:val="24"/>
          <w:szCs w:val="24"/>
        </w:rPr>
        <w:t>在</w:t>
      </w:r>
      <w:r>
        <w:rPr>
          <w:rFonts w:hint="eastAsia" w:cs="Times New Roman" w:asciiTheme="minorEastAsia" w:hAnsiTheme="minorEastAsia"/>
          <w:b/>
          <w:kern w:val="0"/>
          <w:sz w:val="24"/>
          <w:szCs w:val="24"/>
          <w:lang w:val="zh-CN"/>
        </w:rPr>
        <w:t>《军队采购网》（</w:t>
      </w:r>
      <w:r>
        <w:rPr>
          <w:rFonts w:hint="eastAsia" w:cs="Times New Roman" w:asciiTheme="minorEastAsia" w:hAnsiTheme="minorEastAsia"/>
          <w:b/>
          <w:kern w:val="0"/>
          <w:sz w:val="24"/>
          <w:szCs w:val="24"/>
          <w:lang w:val="en-US" w:eastAsia="zh-CN"/>
        </w:rPr>
        <w:t>www.plap.cn</w:t>
      </w:r>
      <w:r>
        <w:rPr>
          <w:rFonts w:hint="eastAsia" w:cs="Times New Roman" w:asciiTheme="minorEastAsia" w:hAnsiTheme="minorEastAsia"/>
          <w:b/>
          <w:kern w:val="0"/>
          <w:sz w:val="24"/>
          <w:szCs w:val="24"/>
          <w:lang w:val="zh-CN"/>
        </w:rPr>
        <w:t>）、</w:t>
      </w:r>
      <w:r>
        <w:rPr>
          <w:rFonts w:cs="Times New Roman" w:asciiTheme="minorEastAsia" w:hAnsiTheme="minorEastAsia"/>
          <w:b/>
          <w:kern w:val="0"/>
          <w:sz w:val="24"/>
          <w:szCs w:val="24"/>
        </w:rPr>
        <w:t>《</w:t>
      </w:r>
      <w:r>
        <w:rPr>
          <w:rFonts w:hint="eastAsia" w:cs="Times New Roman" w:asciiTheme="minorEastAsia" w:hAnsiTheme="minorEastAsia"/>
          <w:b/>
          <w:kern w:val="0"/>
          <w:sz w:val="24"/>
          <w:szCs w:val="24"/>
        </w:rPr>
        <w:t>中国</w:t>
      </w:r>
      <w:r>
        <w:rPr>
          <w:rFonts w:hint="eastAsia" w:cs="Times New Roman" w:asciiTheme="minorEastAsia" w:hAnsiTheme="minorEastAsia"/>
          <w:b/>
          <w:kern w:val="0"/>
          <w:sz w:val="24"/>
          <w:szCs w:val="24"/>
          <w:lang w:val="en-US" w:eastAsia="zh-CN"/>
        </w:rPr>
        <w:t>政府采购</w:t>
      </w:r>
      <w:r>
        <w:rPr>
          <w:rFonts w:cs="Times New Roman" w:asciiTheme="minorEastAsia" w:hAnsiTheme="minorEastAsia"/>
          <w:b/>
          <w:kern w:val="0"/>
          <w:sz w:val="24"/>
          <w:szCs w:val="24"/>
        </w:rPr>
        <w:t>网》</w:t>
      </w:r>
      <w:r>
        <w:rPr>
          <w:rFonts w:hint="eastAsia" w:cs="Times New Roman" w:asciiTheme="minorEastAsia" w:hAnsiTheme="minorEastAsia"/>
          <w:b/>
          <w:kern w:val="0"/>
          <w:sz w:val="24"/>
          <w:szCs w:val="24"/>
        </w:rPr>
        <w:t>（</w:t>
      </w:r>
      <w:r>
        <w:fldChar w:fldCharType="begin"/>
      </w:r>
      <w:r>
        <w:instrText xml:space="preserve"> HYPERLINK "http://www.zhaobiao.cn" </w:instrText>
      </w:r>
      <w:r>
        <w:fldChar w:fldCharType="separate"/>
      </w:r>
      <w:r>
        <w:rPr>
          <w:rStyle w:val="21"/>
          <w:rFonts w:asciiTheme="minorEastAsia" w:hAnsiTheme="minorEastAsia"/>
          <w:b/>
          <w:color w:val="auto"/>
          <w:kern w:val="0"/>
          <w:sz w:val="24"/>
          <w:szCs w:val="24"/>
          <w:u w:val="none"/>
        </w:rPr>
        <w:t>www.</w:t>
      </w:r>
      <w:r>
        <w:rPr>
          <w:rStyle w:val="21"/>
          <w:rFonts w:hint="eastAsia" w:asciiTheme="minorEastAsia" w:hAnsiTheme="minorEastAsia"/>
          <w:b/>
          <w:color w:val="auto"/>
          <w:kern w:val="0"/>
          <w:sz w:val="24"/>
          <w:szCs w:val="24"/>
          <w:u w:val="none"/>
          <w:lang w:val="en-US" w:eastAsia="zh-CN"/>
        </w:rPr>
        <w:t>ccgp.gov</w:t>
      </w:r>
      <w:r>
        <w:rPr>
          <w:rStyle w:val="21"/>
          <w:rFonts w:asciiTheme="minorEastAsia" w:hAnsiTheme="minorEastAsia"/>
          <w:b/>
          <w:color w:val="auto"/>
          <w:kern w:val="0"/>
          <w:sz w:val="24"/>
          <w:szCs w:val="24"/>
          <w:u w:val="none"/>
        </w:rPr>
        <w:t>.cn</w:t>
      </w:r>
      <w:r>
        <w:rPr>
          <w:rStyle w:val="21"/>
          <w:rFonts w:asciiTheme="minorEastAsia" w:hAnsiTheme="minorEastAsia"/>
          <w:b/>
          <w:color w:val="auto"/>
          <w:kern w:val="0"/>
          <w:sz w:val="24"/>
          <w:szCs w:val="24"/>
          <w:u w:val="none"/>
        </w:rPr>
        <w:fldChar w:fldCharType="end"/>
      </w:r>
      <w:r>
        <w:rPr>
          <w:rFonts w:hint="eastAsia" w:cs="Times New Roman" w:asciiTheme="minorEastAsia" w:hAnsiTheme="minorEastAsia"/>
          <w:b/>
          <w:kern w:val="0"/>
          <w:sz w:val="24"/>
          <w:szCs w:val="24"/>
        </w:rPr>
        <w:t>）及我院官网（</w:t>
      </w:r>
      <w:r>
        <w:rPr>
          <w:rFonts w:cs="Times New Roman" w:asciiTheme="minorEastAsia" w:hAnsiTheme="minorEastAsia"/>
          <w:b/>
          <w:kern w:val="0"/>
          <w:sz w:val="24"/>
          <w:szCs w:val="24"/>
        </w:rPr>
        <w:t>www.xnyy.cn</w:t>
      </w:r>
      <w:r>
        <w:rPr>
          <w:rFonts w:hint="eastAsia" w:cs="Times New Roman" w:asciiTheme="minorEastAsia" w:hAnsiTheme="minorEastAsia"/>
          <w:b/>
          <w:kern w:val="0"/>
          <w:sz w:val="24"/>
          <w:szCs w:val="24"/>
        </w:rPr>
        <w:t>）</w:t>
      </w:r>
      <w:r>
        <w:rPr>
          <w:rFonts w:cs="Times New Roman" w:asciiTheme="minorEastAsia" w:hAnsiTheme="minorEastAsia"/>
          <w:b/>
          <w:kern w:val="0"/>
          <w:sz w:val="24"/>
          <w:szCs w:val="24"/>
        </w:rPr>
        <w:t>上发布。</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九、招标人</w:t>
      </w:r>
      <w:r>
        <w:rPr>
          <w:rFonts w:cs="Times New Roman" w:asciiTheme="minorEastAsia" w:hAnsiTheme="minorEastAsia"/>
          <w:b/>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联 系 人：</w:t>
      </w:r>
      <w:r>
        <w:rPr>
          <w:rFonts w:hint="eastAsia" w:cs="Times New Roman" w:asciiTheme="minorEastAsia" w:hAnsiTheme="minorEastAsia"/>
          <w:kern w:val="0"/>
          <w:sz w:val="24"/>
          <w:szCs w:val="24"/>
          <w:u w:val="single"/>
        </w:rPr>
        <w:t xml:space="preserve"> 甘老师、</w:t>
      </w:r>
      <w:r>
        <w:rPr>
          <w:rFonts w:hint="eastAsia" w:cs="Times New Roman" w:asciiTheme="minorEastAsia" w:hAnsiTheme="minorEastAsia"/>
          <w:kern w:val="0"/>
          <w:sz w:val="24"/>
          <w:szCs w:val="24"/>
          <w:u w:val="single"/>
          <w:lang w:eastAsia="zh-CN"/>
        </w:rPr>
        <w:t>谭</w:t>
      </w:r>
      <w:r>
        <w:rPr>
          <w:rFonts w:hint="eastAsia" w:cs="Times New Roman" w:asciiTheme="minorEastAsia" w:hAnsiTheme="minorEastAsia"/>
          <w:kern w:val="0"/>
          <w:sz w:val="24"/>
          <w:szCs w:val="24"/>
          <w:u w:val="single"/>
        </w:rPr>
        <w:t xml:space="preserve">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电    话：</w:t>
      </w:r>
      <w:r>
        <w:rPr>
          <w:rFonts w:hint="eastAsia" w:cs="Times New Roman" w:asciiTheme="minorEastAsia" w:hAnsiTheme="minorEastAsia"/>
          <w:kern w:val="0"/>
          <w:sz w:val="24"/>
          <w:szCs w:val="24"/>
          <w:u w:val="single"/>
        </w:rPr>
        <w:t xml:space="preserve">  023-68766148</w:t>
      </w:r>
      <w:r>
        <w:rPr>
          <w:rFonts w:hint="eastAsia" w:cs="Times New Roman" w:asciiTheme="minorEastAsia" w:hAnsiTheme="minorEastAsia"/>
          <w:kern w:val="0"/>
          <w:sz w:val="24"/>
          <w:szCs w:val="24"/>
          <w:u w:val="single"/>
          <w:lang w:val="en-US" w:eastAsia="zh-CN"/>
        </w:rPr>
        <w:t>/6</w:t>
      </w:r>
      <w:bookmarkStart w:id="24" w:name="_GoBack"/>
      <w:bookmarkEnd w:id="24"/>
      <w:r>
        <w:rPr>
          <w:rFonts w:hint="eastAsia" w:cs="Times New Roman" w:asciiTheme="minorEastAsia" w:hAnsiTheme="minorEastAsia"/>
          <w:kern w:val="0"/>
          <w:sz w:val="24"/>
          <w:szCs w:val="24"/>
          <w:u w:val="single"/>
          <w:lang w:val="en-US" w:eastAsia="zh-CN"/>
        </w:rPr>
        <w:t>8766153</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 xml:space="preserve">（08:00—12:00，15:00—18:00）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监督电话：</w:t>
      </w:r>
      <w:r>
        <w:rPr>
          <w:rFonts w:hint="eastAsia" w:cs="Times New Roman" w:asciiTheme="minorEastAsia" w:hAnsiTheme="minorEastAsia"/>
          <w:kern w:val="0"/>
          <w:sz w:val="24"/>
          <w:szCs w:val="24"/>
          <w:u w:val="single"/>
        </w:rPr>
        <w:t xml:space="preserve">  </w:t>
      </w:r>
      <w:r>
        <w:rPr>
          <w:rFonts w:hint="eastAsia" w:ascii="宋体" w:hAnsi="宋体" w:eastAsia="宋体" w:cs="Times New Roman"/>
          <w:kern w:val="0"/>
          <w:sz w:val="24"/>
          <w:szCs w:val="24"/>
          <w:u w:val="single"/>
        </w:rPr>
        <w:t>023-68766035</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（08:00—12:00，15:00—18:00）</w:t>
      </w:r>
    </w:p>
    <w:p>
      <w:pPr>
        <w:adjustRightInd w:val="0"/>
        <w:snapToGrid w:val="0"/>
        <w:spacing w:afterLines="50" w:line="440" w:lineRule="exact"/>
        <w:ind w:left="4167" w:leftChars="432" w:hanging="3299" w:hangingChars="1428"/>
        <w:jc w:val="left"/>
        <w:rPr>
          <w:rFonts w:cs="Times New Roman" w:asciiTheme="minorEastAsia" w:hAnsiTheme="minorEastAsia"/>
          <w:kern w:val="0"/>
          <w:sz w:val="24"/>
          <w:szCs w:val="24"/>
        </w:rPr>
      </w:pPr>
    </w:p>
    <w:p>
      <w:pPr>
        <w:adjustRightInd w:val="0"/>
        <w:snapToGrid w:val="0"/>
        <w:spacing w:line="440" w:lineRule="exact"/>
        <w:ind w:left="4672" w:leftChars="2320" w:hanging="9" w:hangingChars="4"/>
        <w:rPr>
          <w:rFonts w:cs="Times New Roman" w:asciiTheme="minorEastAsia" w:hAnsiTheme="minorEastAsia"/>
          <w:kern w:val="0"/>
          <w:sz w:val="24"/>
          <w:szCs w:val="24"/>
        </w:rPr>
      </w:pPr>
      <w:r>
        <w:rPr>
          <w:rFonts w:hint="eastAsia" w:cs="Times New Roman" w:asciiTheme="minorEastAsia" w:hAnsiTheme="minorEastAsia"/>
          <w:kern w:val="0"/>
          <w:sz w:val="24"/>
          <w:szCs w:val="24"/>
        </w:rPr>
        <w:t>招标人：物资采购中心</w:t>
      </w:r>
    </w:p>
    <w:p>
      <w:pPr>
        <w:adjustRightInd w:val="0"/>
        <w:snapToGrid w:val="0"/>
        <w:spacing w:line="440" w:lineRule="exact"/>
        <w:ind w:left="4723" w:leftChars="235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202</w:t>
      </w:r>
      <w:r>
        <w:rPr>
          <w:rFonts w:hint="eastAsia" w:cs="Times New Roman" w:asciiTheme="minorEastAsia" w:hAnsiTheme="minorEastAsia"/>
          <w:kern w:val="0"/>
          <w:sz w:val="24"/>
          <w:szCs w:val="24"/>
          <w:lang w:val="en-US" w:eastAsia="zh-CN"/>
        </w:rPr>
        <w:t>1</w:t>
      </w:r>
      <w:r>
        <w:rPr>
          <w:rFonts w:hint="eastAsia" w:cs="Times New Roman" w:asciiTheme="minorEastAsia" w:hAnsiTheme="minorEastAsia"/>
          <w:kern w:val="0"/>
          <w:sz w:val="24"/>
          <w:szCs w:val="24"/>
        </w:rPr>
        <w:t xml:space="preserve"> 年 </w:t>
      </w:r>
      <w:r>
        <w:rPr>
          <w:rFonts w:hint="eastAsia" w:cs="Times New Roman" w:asciiTheme="minorEastAsia" w:hAnsiTheme="minorEastAsia"/>
          <w:color w:val="FF0000"/>
          <w:kern w:val="0"/>
          <w:sz w:val="24"/>
          <w:szCs w:val="24"/>
          <w:lang w:val="en-US" w:eastAsia="zh-CN"/>
        </w:rPr>
        <w:t>1</w:t>
      </w:r>
      <w:r>
        <w:rPr>
          <w:rFonts w:hint="eastAsia" w:cs="Times New Roman" w:asciiTheme="minorEastAsia" w:hAnsiTheme="minorEastAsia"/>
          <w:kern w:val="0"/>
          <w:sz w:val="24"/>
          <w:szCs w:val="24"/>
        </w:rPr>
        <w:t xml:space="preserve"> 月 </w:t>
      </w:r>
      <w:r>
        <w:rPr>
          <w:rFonts w:hint="eastAsia" w:cs="Times New Roman" w:asciiTheme="minorEastAsia" w:hAnsiTheme="minorEastAsia"/>
          <w:color w:val="FF0000"/>
          <w:kern w:val="0"/>
          <w:sz w:val="24"/>
          <w:szCs w:val="24"/>
          <w:lang w:val="en-US" w:eastAsia="zh-CN"/>
        </w:rPr>
        <w:t>29</w:t>
      </w:r>
      <w:r>
        <w:rPr>
          <w:rFonts w:hint="eastAsia" w:cs="Times New Roman" w:asciiTheme="minorEastAsia" w:hAnsiTheme="minorEastAsia"/>
          <w:kern w:val="0"/>
          <w:sz w:val="24"/>
          <w:szCs w:val="24"/>
        </w:rPr>
        <w:t xml:space="preserve"> 日</w:t>
      </w:r>
    </w:p>
    <w:p>
      <w:pPr>
        <w:autoSpaceDE w:val="0"/>
        <w:autoSpaceDN w:val="0"/>
        <w:adjustRightInd w:val="0"/>
        <w:snapToGrid w:val="0"/>
        <w:spacing w:line="440" w:lineRule="exact"/>
        <w:rPr>
          <w:rFonts w:cs="Times New Roman" w:asciiTheme="minorEastAsia" w:hAnsiTheme="minorEastAsia"/>
          <w:kern w:val="0"/>
          <w:sz w:val="24"/>
          <w:szCs w:val="24"/>
        </w:rPr>
        <w:sectPr>
          <w:headerReference r:id="rId3" w:type="default"/>
          <w:footerReference r:id="rId4" w:type="default"/>
          <w:pgSz w:w="11906" w:h="16838"/>
          <w:pgMar w:top="2098" w:right="1474" w:bottom="1985" w:left="1588" w:header="851" w:footer="992" w:gutter="0"/>
          <w:pgNumType w:start="1"/>
          <w:cols w:space="425" w:num="1"/>
          <w:docGrid w:type="linesAndChars" w:linePitch="579" w:charSpace="-1844"/>
        </w:sectPr>
      </w:pPr>
    </w:p>
    <w:p>
      <w:pPr>
        <w:pStyle w:val="2"/>
        <w:adjustRightInd w:val="0"/>
        <w:snapToGrid w:val="0"/>
        <w:spacing w:line="440" w:lineRule="exact"/>
        <w:jc w:val="center"/>
        <w:rPr>
          <w:rFonts w:ascii="黑体" w:hAnsi="黑体" w:eastAsia="黑体"/>
          <w:kern w:val="0"/>
          <w:sz w:val="32"/>
          <w:szCs w:val="32"/>
          <w:lang w:val="zh-CN"/>
        </w:rPr>
      </w:pPr>
      <w:bookmarkStart w:id="4" w:name="_Toc390713967"/>
      <w:bookmarkStart w:id="5" w:name="_Toc285612594"/>
      <w:bookmarkStart w:id="6" w:name="_Toc37172688"/>
      <w:bookmarkStart w:id="7" w:name="_Toc435540979"/>
      <w:r>
        <w:rPr>
          <w:rFonts w:hint="eastAsia" w:ascii="黑体" w:hAnsi="黑体" w:eastAsia="黑体"/>
          <w:kern w:val="0"/>
          <w:sz w:val="32"/>
          <w:szCs w:val="32"/>
          <w:lang w:val="zh-CN"/>
        </w:rPr>
        <w:t>第二部分  采购项目技</w:t>
      </w:r>
      <w:r>
        <w:rPr>
          <w:rFonts w:hint="eastAsia" w:ascii="黑体" w:hAnsi="黑体" w:eastAsia="黑体" w:cs="宋体"/>
          <w:kern w:val="0"/>
          <w:sz w:val="32"/>
          <w:szCs w:val="32"/>
          <w:lang w:val="zh-CN"/>
        </w:rPr>
        <w:t>术</w:t>
      </w:r>
      <w:r>
        <w:rPr>
          <w:rFonts w:hint="eastAsia" w:ascii="黑体" w:hAnsi="黑体" w:eastAsia="黑体" w:cs="Dotum"/>
          <w:kern w:val="0"/>
          <w:sz w:val="32"/>
          <w:szCs w:val="32"/>
          <w:lang w:val="zh-CN"/>
        </w:rPr>
        <w:t>和商</w:t>
      </w:r>
      <w:r>
        <w:rPr>
          <w:rFonts w:hint="eastAsia" w:ascii="黑体" w:hAnsi="黑体" w:eastAsia="黑体" w:cs="宋体"/>
          <w:kern w:val="0"/>
          <w:sz w:val="32"/>
          <w:szCs w:val="32"/>
          <w:lang w:val="zh-CN"/>
        </w:rPr>
        <w:t>务</w:t>
      </w:r>
      <w:r>
        <w:rPr>
          <w:rFonts w:hint="eastAsia" w:ascii="黑体" w:hAnsi="黑体" w:eastAsia="黑体"/>
          <w:kern w:val="0"/>
          <w:sz w:val="32"/>
          <w:szCs w:val="32"/>
          <w:lang w:val="zh-CN"/>
        </w:rPr>
        <w:t>要求</w:t>
      </w:r>
      <w:bookmarkEnd w:id="4"/>
      <w:bookmarkEnd w:id="5"/>
      <w:bookmarkEnd w:id="6"/>
      <w:bookmarkEnd w:id="7"/>
    </w:p>
    <w:p>
      <w:pPr>
        <w:autoSpaceDE w:val="0"/>
        <w:autoSpaceDN w:val="0"/>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一、</w:t>
      </w:r>
      <w:r>
        <w:rPr>
          <w:rFonts w:cs="Times New Roman" w:asciiTheme="minorEastAsia" w:hAnsiTheme="minorEastAsia"/>
          <w:b/>
          <w:kern w:val="0"/>
          <w:sz w:val="24"/>
          <w:szCs w:val="24"/>
        </w:rPr>
        <w:t>货物一览表</w:t>
      </w:r>
      <w:bookmarkStart w:id="8" w:name="_Toc285612596"/>
      <w:r>
        <w:rPr>
          <w:rFonts w:cs="Times New Roman" w:asciiTheme="minorEastAsia" w:hAnsiTheme="minorEastAsia"/>
          <w:b/>
          <w:kern w:val="0"/>
          <w:sz w:val="24"/>
          <w:szCs w:val="24"/>
        </w:rPr>
        <w:t>及技术</w:t>
      </w:r>
      <w:r>
        <w:rPr>
          <w:rFonts w:hint="eastAsia" w:cs="Times New Roman" w:asciiTheme="minorEastAsia" w:hAnsiTheme="minorEastAsia"/>
          <w:b/>
          <w:kern w:val="0"/>
          <w:sz w:val="24"/>
          <w:szCs w:val="24"/>
        </w:rPr>
        <w:t>要求</w:t>
      </w:r>
    </w:p>
    <w:tbl>
      <w:tblPr>
        <w:tblStyle w:val="17"/>
        <w:tblW w:w="4862" w:type="pct"/>
        <w:jc w:val="center"/>
        <w:tblLayout w:type="autofit"/>
        <w:tblCellMar>
          <w:top w:w="0" w:type="dxa"/>
          <w:left w:w="108" w:type="dxa"/>
          <w:bottom w:w="0" w:type="dxa"/>
          <w:right w:w="108" w:type="dxa"/>
        </w:tblCellMar>
      </w:tblPr>
      <w:tblGrid>
        <w:gridCol w:w="851"/>
        <w:gridCol w:w="2268"/>
        <w:gridCol w:w="1275"/>
        <w:gridCol w:w="2421"/>
        <w:gridCol w:w="1059"/>
        <w:gridCol w:w="936"/>
      </w:tblGrid>
      <w:tr>
        <w:tblPrEx>
          <w:tblCellMar>
            <w:top w:w="0" w:type="dxa"/>
            <w:left w:w="108" w:type="dxa"/>
            <w:bottom w:w="0" w:type="dxa"/>
            <w:right w:w="108" w:type="dxa"/>
          </w:tblCellMar>
        </w:tblPrEx>
        <w:trPr>
          <w:trHeight w:val="956" w:hRule="exact"/>
          <w:jc w:val="center"/>
        </w:trPr>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序号</w:t>
            </w:r>
          </w:p>
        </w:tc>
        <w:tc>
          <w:tcPr>
            <w:tcW w:w="2268"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物资名称</w:t>
            </w:r>
          </w:p>
        </w:tc>
        <w:tc>
          <w:tcPr>
            <w:tcW w:w="1275"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规格</w:t>
            </w:r>
          </w:p>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型号</w:t>
            </w:r>
          </w:p>
        </w:tc>
        <w:tc>
          <w:tcPr>
            <w:tcW w:w="242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技术指标参数要求</w:t>
            </w:r>
          </w:p>
        </w:tc>
        <w:tc>
          <w:tcPr>
            <w:tcW w:w="1059"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计量</w:t>
            </w:r>
          </w:p>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单位</w:t>
            </w:r>
          </w:p>
        </w:tc>
        <w:tc>
          <w:tcPr>
            <w:tcW w:w="936"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数量</w:t>
            </w:r>
          </w:p>
        </w:tc>
      </w:tr>
      <w:tr>
        <w:tblPrEx>
          <w:tblCellMar>
            <w:top w:w="0" w:type="dxa"/>
            <w:left w:w="108" w:type="dxa"/>
            <w:bottom w:w="0" w:type="dxa"/>
            <w:right w:w="108" w:type="dxa"/>
          </w:tblCellMar>
        </w:tblPrEx>
        <w:trPr>
          <w:trHeight w:val="855" w:hRule="exact"/>
          <w:jc w:val="center"/>
        </w:trPr>
        <w:tc>
          <w:tcPr>
            <w:tcW w:w="851"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1</w:t>
            </w:r>
          </w:p>
        </w:tc>
        <w:tc>
          <w:tcPr>
            <w:tcW w:w="2268" w:type="dxa"/>
            <w:tcBorders>
              <w:top w:val="single" w:color="auto" w:sz="4" w:space="0"/>
              <w:left w:val="nil"/>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 w:val="21"/>
                <w:szCs w:val="21"/>
              </w:rPr>
            </w:pPr>
            <w:r>
              <w:rPr>
                <w:rFonts w:hint="eastAsia" w:cs="Times New Roman" w:asciiTheme="minorEastAsia" w:hAnsiTheme="minorEastAsia"/>
                <w:sz w:val="21"/>
                <w:szCs w:val="21"/>
              </w:rPr>
              <w:t>低端多参数监护仪</w:t>
            </w:r>
          </w:p>
        </w:tc>
        <w:tc>
          <w:tcPr>
            <w:tcW w:w="1275" w:type="dxa"/>
            <w:tcBorders>
              <w:top w:val="single" w:color="auto" w:sz="4" w:space="0"/>
              <w:left w:val="nil"/>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 w:val="21"/>
                <w:szCs w:val="21"/>
              </w:rPr>
            </w:pPr>
            <w:r>
              <w:rPr>
                <w:rFonts w:hint="eastAsia" w:cs="Times New Roman" w:asciiTheme="minorEastAsia" w:hAnsiTheme="minorEastAsia"/>
                <w:kern w:val="0"/>
                <w:sz w:val="21"/>
                <w:szCs w:val="21"/>
              </w:rPr>
              <w:t>/</w:t>
            </w:r>
          </w:p>
        </w:tc>
        <w:tc>
          <w:tcPr>
            <w:tcW w:w="242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 w:val="21"/>
                <w:szCs w:val="21"/>
              </w:rPr>
            </w:pPr>
            <w:r>
              <w:rPr>
                <w:rFonts w:hint="eastAsia" w:cs="Times New Roman" w:asciiTheme="minorEastAsia" w:hAnsiTheme="minorEastAsia"/>
                <w:kern w:val="0"/>
                <w:sz w:val="21"/>
                <w:szCs w:val="21"/>
              </w:rPr>
              <w:t>详见下表</w:t>
            </w:r>
          </w:p>
        </w:tc>
        <w:tc>
          <w:tcPr>
            <w:tcW w:w="1059" w:type="dxa"/>
            <w:tcBorders>
              <w:top w:val="single" w:color="auto" w:sz="4" w:space="0"/>
              <w:left w:val="nil"/>
              <w:bottom w:val="single" w:color="auto" w:sz="4" w:space="0"/>
              <w:right w:val="single" w:color="auto" w:sz="4" w:space="0"/>
            </w:tcBorders>
            <w:vAlign w:val="center"/>
          </w:tcPr>
          <w:p>
            <w:pPr>
              <w:adjustRightInd w:val="0"/>
              <w:snapToGrid w:val="0"/>
              <w:jc w:val="center"/>
              <w:rPr>
                <w:rFonts w:hint="eastAsia" w:cs="Times New Roman" w:asciiTheme="minorEastAsia" w:hAnsiTheme="minorEastAsia" w:eastAsiaTheme="minorEastAsia"/>
                <w:kern w:val="0"/>
                <w:sz w:val="21"/>
                <w:szCs w:val="21"/>
                <w:lang w:eastAsia="zh-CN"/>
              </w:rPr>
            </w:pPr>
            <w:r>
              <w:rPr>
                <w:rFonts w:hint="eastAsia" w:cs="Times New Roman" w:asciiTheme="minorEastAsia" w:hAnsiTheme="minorEastAsia"/>
                <w:kern w:val="0"/>
                <w:sz w:val="21"/>
                <w:szCs w:val="21"/>
                <w:lang w:eastAsia="zh-CN"/>
              </w:rPr>
              <w:t>台</w:t>
            </w:r>
          </w:p>
        </w:tc>
        <w:tc>
          <w:tcPr>
            <w:tcW w:w="936" w:type="dxa"/>
            <w:tcBorders>
              <w:top w:val="single" w:color="auto" w:sz="4" w:space="0"/>
              <w:left w:val="nil"/>
              <w:bottom w:val="single" w:color="auto" w:sz="4" w:space="0"/>
              <w:right w:val="single" w:color="auto" w:sz="4" w:space="0"/>
            </w:tcBorders>
            <w:noWrap/>
            <w:vAlign w:val="center"/>
          </w:tcPr>
          <w:p>
            <w:pPr>
              <w:adjustRightInd w:val="0"/>
              <w:snapToGrid w:val="0"/>
              <w:jc w:val="center"/>
              <w:rPr>
                <w:rFonts w:hint="default"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1"/>
                <w:szCs w:val="21"/>
                <w:lang w:val="en-US" w:eastAsia="zh-CN"/>
              </w:rPr>
              <w:t>15</w:t>
            </w:r>
          </w:p>
        </w:tc>
      </w:tr>
      <w:bookmarkEnd w:id="8"/>
    </w:tbl>
    <w:p>
      <w:pPr>
        <w:adjustRightInd w:val="0"/>
        <w:snapToGrid w:val="0"/>
        <w:spacing w:line="440" w:lineRule="exact"/>
        <w:jc w:val="center"/>
        <w:rPr>
          <w:rFonts w:ascii="宋体" w:hAnsi="宋体" w:cs="宋体"/>
          <w:bCs/>
          <w:kern w:val="0"/>
          <w:sz w:val="44"/>
          <w:szCs w:val="44"/>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6"/>
        <w:gridCol w:w="2185"/>
        <w:gridCol w:w="4680"/>
        <w:gridCol w:w="1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0" w:type="dxa"/>
            <w:gridSpan w:val="4"/>
            <w:tcBorders>
              <w:top w:val="nil"/>
              <w:left w:val="nil"/>
              <w:right w:val="nil"/>
            </w:tcBorders>
            <w:noWrap w:val="0"/>
            <w:vAlign w:val="center"/>
          </w:tcPr>
          <w:p>
            <w:pPr>
              <w:jc w:val="center"/>
              <w:rPr>
                <w:rFonts w:hint="eastAsia" w:ascii="方正大标宋简体" w:hAnsi="宋体" w:eastAsia="方正大标宋简体" w:cs="宋体"/>
                <w:bCs/>
                <w:kern w:val="0"/>
                <w:sz w:val="44"/>
                <w:szCs w:val="44"/>
              </w:rPr>
            </w:pPr>
            <w:r>
              <w:rPr>
                <w:rFonts w:hint="eastAsia" w:ascii="方正大标宋简体" w:hAnsi="宋体" w:eastAsia="方正大标宋简体"/>
                <w:sz w:val="44"/>
                <w:szCs w:val="44"/>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6" w:type="dxa"/>
            <w:noWrap w:val="0"/>
            <w:vAlign w:val="center"/>
          </w:tcPr>
          <w:p>
            <w:pPr>
              <w:widowControl/>
              <w:spacing w:line="240" w:lineRule="auto"/>
              <w:jc w:val="center"/>
              <w:rPr>
                <w:rFonts w:ascii="宋体" w:hAnsi="宋体" w:cs="Calibri"/>
                <w:b/>
                <w:sz w:val="21"/>
                <w:szCs w:val="21"/>
              </w:rPr>
            </w:pPr>
            <w:r>
              <w:rPr>
                <w:rFonts w:hint="eastAsia" w:ascii="宋体" w:hAnsi="宋体" w:cs="宋体"/>
                <w:b/>
                <w:bCs/>
                <w:kern w:val="0"/>
                <w:sz w:val="21"/>
                <w:szCs w:val="21"/>
              </w:rPr>
              <w:t>序号</w:t>
            </w:r>
          </w:p>
        </w:tc>
        <w:tc>
          <w:tcPr>
            <w:tcW w:w="2185" w:type="dxa"/>
            <w:noWrap w:val="0"/>
            <w:vAlign w:val="center"/>
          </w:tcPr>
          <w:p>
            <w:pPr>
              <w:widowControl/>
              <w:spacing w:line="240" w:lineRule="auto"/>
              <w:jc w:val="center"/>
              <w:rPr>
                <w:rFonts w:ascii="宋体" w:hAnsi="宋体" w:cs="Calibri"/>
                <w:b/>
                <w:sz w:val="21"/>
                <w:szCs w:val="21"/>
              </w:rPr>
            </w:pPr>
            <w:r>
              <w:rPr>
                <w:rFonts w:hint="eastAsia" w:ascii="宋体" w:hAnsi="宋体" w:cs="宋体"/>
                <w:b/>
                <w:bCs/>
                <w:kern w:val="0"/>
                <w:sz w:val="21"/>
                <w:szCs w:val="21"/>
              </w:rPr>
              <w:t>技术参数和性能名称</w:t>
            </w:r>
          </w:p>
        </w:tc>
        <w:tc>
          <w:tcPr>
            <w:tcW w:w="4680" w:type="dxa"/>
            <w:noWrap w:val="0"/>
            <w:vAlign w:val="center"/>
          </w:tcPr>
          <w:p>
            <w:pPr>
              <w:widowControl/>
              <w:spacing w:line="240" w:lineRule="auto"/>
              <w:jc w:val="center"/>
              <w:rPr>
                <w:rFonts w:ascii="宋体" w:hAnsi="宋体" w:cs="Calibri"/>
                <w:b/>
                <w:sz w:val="21"/>
                <w:szCs w:val="21"/>
              </w:rPr>
            </w:pPr>
            <w:r>
              <w:rPr>
                <w:rFonts w:hint="eastAsia" w:ascii="宋体" w:hAnsi="宋体" w:cs="宋体"/>
                <w:b/>
                <w:bCs/>
                <w:kern w:val="0"/>
                <w:sz w:val="21"/>
                <w:szCs w:val="21"/>
              </w:rPr>
              <w:t>技术参数和性能要求</w:t>
            </w:r>
          </w:p>
        </w:tc>
        <w:tc>
          <w:tcPr>
            <w:tcW w:w="1389" w:type="dxa"/>
            <w:noWrap w:val="0"/>
            <w:vAlign w:val="center"/>
          </w:tcPr>
          <w:p>
            <w:pPr>
              <w:widowControl/>
              <w:spacing w:line="240" w:lineRule="auto"/>
              <w:jc w:val="center"/>
              <w:rPr>
                <w:rFonts w:ascii="宋体" w:hAnsi="宋体" w:cs="Calibri"/>
                <w:b/>
                <w:sz w:val="24"/>
                <w:szCs w:val="18"/>
              </w:rPr>
            </w:pPr>
            <w:r>
              <w:rPr>
                <w:rFonts w:hint="eastAsia" w:ascii="宋体" w:hAnsi="宋体" w:cs="宋体"/>
                <w:b/>
                <w:bCs/>
                <w:kern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Calibri"/>
                <w:b/>
                <w:sz w:val="21"/>
                <w:szCs w:val="21"/>
              </w:rPr>
            </w:pPr>
            <w:r>
              <w:rPr>
                <w:rFonts w:hint="eastAsia" w:ascii="宋体" w:hAnsi="宋体" w:cs="宋体"/>
                <w:b/>
                <w:bCs/>
                <w:kern w:val="0"/>
                <w:sz w:val="21"/>
                <w:szCs w:val="21"/>
              </w:rPr>
              <w:t>1</w:t>
            </w:r>
          </w:p>
        </w:tc>
        <w:tc>
          <w:tcPr>
            <w:tcW w:w="218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Calibri"/>
                <w:b/>
                <w:sz w:val="21"/>
                <w:szCs w:val="21"/>
              </w:rPr>
            </w:pPr>
            <w:r>
              <w:rPr>
                <w:rFonts w:hint="eastAsia" w:ascii="宋体" w:hAnsi="宋体" w:cs="宋体"/>
                <w:b/>
                <w:bCs/>
                <w:kern w:val="0"/>
                <w:sz w:val="21"/>
                <w:szCs w:val="21"/>
              </w:rPr>
              <w:t>使用需求</w:t>
            </w:r>
          </w:p>
        </w:tc>
        <w:tc>
          <w:tcPr>
            <w:tcW w:w="46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Calibri"/>
                <w:sz w:val="21"/>
                <w:szCs w:val="21"/>
              </w:rPr>
            </w:pPr>
          </w:p>
        </w:tc>
        <w:tc>
          <w:tcPr>
            <w:tcW w:w="1389" w:type="dxa"/>
            <w:noWrap w:val="0"/>
            <w:vAlign w:val="center"/>
          </w:tcPr>
          <w:p>
            <w:pPr>
              <w:widowControl/>
              <w:spacing w:line="240" w:lineRule="auto"/>
              <w:jc w:val="center"/>
              <w:rPr>
                <w:rFonts w:ascii="宋体" w:hAnsi="宋体" w:cs="Calibri"/>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0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Calibri"/>
                <w:sz w:val="21"/>
                <w:szCs w:val="21"/>
              </w:rPr>
            </w:pPr>
            <w:r>
              <w:rPr>
                <w:rFonts w:hint="eastAsia" w:ascii="宋体" w:hAnsi="宋体" w:cs="宋体"/>
                <w:kern w:val="0"/>
                <w:sz w:val="21"/>
                <w:szCs w:val="21"/>
              </w:rPr>
              <w:t>1.1</w:t>
            </w:r>
          </w:p>
        </w:tc>
        <w:tc>
          <w:tcPr>
            <w:tcW w:w="218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Calibri"/>
                <w:sz w:val="21"/>
                <w:szCs w:val="21"/>
              </w:rPr>
            </w:pPr>
            <w:r>
              <w:rPr>
                <w:rFonts w:hint="eastAsia" w:ascii="宋体" w:hAnsi="宋体" w:cs="宋体"/>
                <w:kern w:val="0"/>
                <w:sz w:val="21"/>
                <w:szCs w:val="21"/>
              </w:rPr>
              <w:t>设备用途</w:t>
            </w:r>
          </w:p>
        </w:tc>
        <w:tc>
          <w:tcPr>
            <w:tcW w:w="46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ascii="宋体" w:hAnsi="宋体" w:cs="Calibri"/>
                <w:sz w:val="21"/>
                <w:szCs w:val="21"/>
              </w:rPr>
            </w:pPr>
            <w:r>
              <w:rPr>
                <w:rFonts w:hint="eastAsia" w:ascii="宋体" w:hAnsi="宋体" w:cs="宋体"/>
                <w:kern w:val="0"/>
                <w:sz w:val="21"/>
                <w:szCs w:val="21"/>
              </w:rPr>
              <w:t>对患者进行心率/脉率、无创血压、呼吸、心电、血氧饱和度和体温的生命体征监护。</w:t>
            </w:r>
          </w:p>
        </w:tc>
        <w:tc>
          <w:tcPr>
            <w:tcW w:w="1389" w:type="dxa"/>
            <w:noWrap w:val="0"/>
            <w:vAlign w:val="center"/>
          </w:tcPr>
          <w:p>
            <w:pPr>
              <w:widowControl/>
              <w:spacing w:line="240" w:lineRule="auto"/>
              <w:jc w:val="center"/>
              <w:rPr>
                <w:rFonts w:ascii="宋体" w:hAnsi="宋体" w:cs="Calibri"/>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Calibri"/>
                <w:sz w:val="21"/>
                <w:szCs w:val="21"/>
              </w:rPr>
            </w:pPr>
            <w:r>
              <w:rPr>
                <w:rFonts w:hint="eastAsia" w:ascii="宋体" w:hAnsi="宋体" w:cs="宋体"/>
                <w:kern w:val="0"/>
                <w:sz w:val="21"/>
                <w:szCs w:val="21"/>
              </w:rPr>
              <w:t>1.2</w:t>
            </w:r>
          </w:p>
        </w:tc>
        <w:tc>
          <w:tcPr>
            <w:tcW w:w="218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Calibri"/>
                <w:sz w:val="21"/>
                <w:szCs w:val="21"/>
              </w:rPr>
            </w:pPr>
            <w:r>
              <w:rPr>
                <w:rFonts w:hint="eastAsia" w:ascii="宋体" w:hAnsi="宋体" w:cs="宋体"/>
                <w:kern w:val="0"/>
                <w:sz w:val="21"/>
                <w:szCs w:val="21"/>
              </w:rPr>
              <w:t>实验对象</w:t>
            </w:r>
          </w:p>
        </w:tc>
        <w:tc>
          <w:tcPr>
            <w:tcW w:w="46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Calibri"/>
                <w:b/>
                <w:sz w:val="21"/>
                <w:szCs w:val="21"/>
              </w:rPr>
            </w:pPr>
          </w:p>
        </w:tc>
        <w:tc>
          <w:tcPr>
            <w:tcW w:w="1389" w:type="dxa"/>
            <w:noWrap w:val="0"/>
            <w:vAlign w:val="center"/>
          </w:tcPr>
          <w:p>
            <w:pPr>
              <w:widowControl/>
              <w:spacing w:line="240" w:lineRule="auto"/>
              <w:jc w:val="center"/>
              <w:rPr>
                <w:rFonts w:ascii="宋体" w:hAnsi="宋体" w:cs="Calibri"/>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Calibri"/>
                <w:b/>
                <w:sz w:val="21"/>
                <w:szCs w:val="21"/>
              </w:rPr>
            </w:pPr>
            <w:r>
              <w:rPr>
                <w:rFonts w:hint="eastAsia" w:ascii="宋体" w:hAnsi="宋体" w:cs="宋体"/>
                <w:kern w:val="0"/>
                <w:sz w:val="21"/>
                <w:szCs w:val="21"/>
              </w:rPr>
              <w:t>1.3</w:t>
            </w:r>
          </w:p>
        </w:tc>
        <w:tc>
          <w:tcPr>
            <w:tcW w:w="218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Calibri"/>
                <w:b/>
                <w:sz w:val="21"/>
                <w:szCs w:val="21"/>
              </w:rPr>
            </w:pPr>
            <w:r>
              <w:rPr>
                <w:rFonts w:hint="eastAsia" w:ascii="宋体" w:hAnsi="宋体" w:cs="宋体"/>
                <w:kern w:val="0"/>
                <w:sz w:val="21"/>
                <w:szCs w:val="21"/>
              </w:rPr>
              <w:t>特殊功能需求</w:t>
            </w:r>
          </w:p>
        </w:tc>
        <w:tc>
          <w:tcPr>
            <w:tcW w:w="46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Calibri"/>
                <w:sz w:val="21"/>
                <w:szCs w:val="21"/>
              </w:rPr>
            </w:pPr>
            <w:r>
              <w:rPr>
                <w:rFonts w:hint="eastAsia" w:ascii="宋体" w:hAnsi="宋体" w:cs="宋体"/>
                <w:kern w:val="0"/>
                <w:sz w:val="21"/>
                <w:szCs w:val="21"/>
              </w:rPr>
              <w:t>可穿戴，无线传输</w:t>
            </w:r>
          </w:p>
        </w:tc>
        <w:tc>
          <w:tcPr>
            <w:tcW w:w="1389" w:type="dxa"/>
            <w:noWrap w:val="0"/>
            <w:vAlign w:val="center"/>
          </w:tcPr>
          <w:p>
            <w:pPr>
              <w:widowControl/>
              <w:spacing w:line="240" w:lineRule="auto"/>
              <w:jc w:val="center"/>
              <w:rPr>
                <w:rFonts w:ascii="宋体" w:hAnsi="宋体" w:cs="Calibri"/>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Calibri"/>
                <w:sz w:val="21"/>
                <w:szCs w:val="21"/>
              </w:rPr>
            </w:pPr>
            <w:r>
              <w:rPr>
                <w:rFonts w:hint="eastAsia" w:ascii="宋体" w:hAnsi="宋体" w:cs="宋体"/>
                <w:b/>
                <w:bCs/>
                <w:kern w:val="0"/>
                <w:sz w:val="21"/>
                <w:szCs w:val="21"/>
              </w:rPr>
              <w:t>2</w:t>
            </w:r>
          </w:p>
        </w:tc>
        <w:tc>
          <w:tcPr>
            <w:tcW w:w="218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Calibri"/>
                <w:color w:val="000000"/>
                <w:sz w:val="21"/>
                <w:szCs w:val="21"/>
              </w:rPr>
            </w:pPr>
            <w:r>
              <w:rPr>
                <w:rFonts w:hint="eastAsia" w:ascii="宋体" w:hAnsi="宋体" w:cs="宋体"/>
                <w:b/>
                <w:bCs/>
                <w:kern w:val="0"/>
                <w:sz w:val="21"/>
                <w:szCs w:val="21"/>
              </w:rPr>
              <w:t>主要技术参数</w:t>
            </w:r>
          </w:p>
        </w:tc>
        <w:tc>
          <w:tcPr>
            <w:tcW w:w="46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Calibri"/>
                <w:color w:val="000000"/>
                <w:sz w:val="21"/>
                <w:szCs w:val="21"/>
              </w:rPr>
            </w:pPr>
          </w:p>
        </w:tc>
        <w:tc>
          <w:tcPr>
            <w:tcW w:w="1389" w:type="dxa"/>
            <w:noWrap w:val="0"/>
            <w:vAlign w:val="center"/>
          </w:tcPr>
          <w:p>
            <w:pPr>
              <w:widowControl/>
              <w:spacing w:line="240" w:lineRule="auto"/>
              <w:jc w:val="center"/>
              <w:rPr>
                <w:rFonts w:ascii="宋体" w:hAnsi="宋体" w:cs="Calibri"/>
                <w:color w:val="000000"/>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80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Calibri"/>
                <w:sz w:val="21"/>
                <w:szCs w:val="21"/>
              </w:rPr>
            </w:pPr>
            <w:r>
              <w:rPr>
                <w:rFonts w:hint="eastAsia" w:ascii="宋体" w:hAnsi="宋体" w:cs="宋体"/>
                <w:kern w:val="0"/>
                <w:sz w:val="21"/>
                <w:szCs w:val="21"/>
              </w:rPr>
              <w:t>2.1</w:t>
            </w:r>
          </w:p>
        </w:tc>
        <w:tc>
          <w:tcPr>
            <w:tcW w:w="218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Calibri"/>
                <w:color w:val="000000"/>
                <w:sz w:val="21"/>
                <w:szCs w:val="21"/>
              </w:rPr>
            </w:pPr>
            <w:r>
              <w:rPr>
                <w:rFonts w:hint="eastAsia" w:ascii="宋体" w:hAnsi="宋体"/>
                <w:kern w:val="0"/>
                <w:sz w:val="21"/>
                <w:szCs w:val="21"/>
              </w:rPr>
              <w:t>★</w:t>
            </w:r>
            <w:r>
              <w:rPr>
                <w:rFonts w:hint="eastAsia" w:ascii="宋体" w:hAnsi="宋体" w:cs="Arial"/>
                <w:b/>
                <w:bCs/>
                <w:color w:val="000000"/>
                <w:sz w:val="21"/>
                <w:szCs w:val="21"/>
              </w:rPr>
              <w:t>参数1</w:t>
            </w:r>
          </w:p>
        </w:tc>
        <w:tc>
          <w:tcPr>
            <w:tcW w:w="46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color w:val="000000"/>
                <w:sz w:val="21"/>
                <w:szCs w:val="21"/>
              </w:rPr>
            </w:pPr>
            <w:r>
              <w:rPr>
                <w:rFonts w:hint="eastAsia" w:ascii="宋体" w:hAnsi="宋体"/>
                <w:bCs/>
                <w:sz w:val="21"/>
                <w:szCs w:val="21"/>
              </w:rPr>
              <w:t>具有心电、血氧、血压、脉搏、心率、呼吸、体温监护功能：</w:t>
            </w:r>
          </w:p>
        </w:tc>
        <w:tc>
          <w:tcPr>
            <w:tcW w:w="1389" w:type="dxa"/>
            <w:noWrap w:val="0"/>
            <w:vAlign w:val="center"/>
          </w:tcPr>
          <w:p>
            <w:pPr>
              <w:widowControl/>
              <w:spacing w:line="240" w:lineRule="auto"/>
              <w:rPr>
                <w:rFonts w:ascii="宋体" w:hAnsi="宋体" w:cs="Calibri"/>
                <w:color w:val="000000"/>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80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Calibri"/>
                <w:sz w:val="21"/>
                <w:szCs w:val="21"/>
              </w:rPr>
            </w:pPr>
            <w:r>
              <w:rPr>
                <w:rFonts w:hint="eastAsia" w:ascii="宋体" w:hAnsi="宋体" w:cs="宋体"/>
                <w:kern w:val="0"/>
                <w:sz w:val="21"/>
                <w:szCs w:val="21"/>
              </w:rPr>
              <w:t>2.2</w:t>
            </w:r>
          </w:p>
        </w:tc>
        <w:tc>
          <w:tcPr>
            <w:tcW w:w="218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cs="宋体"/>
                <w:color w:val="000000"/>
                <w:sz w:val="21"/>
                <w:szCs w:val="21"/>
              </w:rPr>
            </w:pPr>
            <w:r>
              <w:rPr>
                <w:rFonts w:hint="eastAsia" w:ascii="宋体" w:hAnsi="宋体"/>
                <w:kern w:val="0"/>
                <w:sz w:val="21"/>
                <w:szCs w:val="21"/>
              </w:rPr>
              <w:t>★</w:t>
            </w:r>
            <w:r>
              <w:rPr>
                <w:rFonts w:hint="eastAsia" w:ascii="宋体" w:hAnsi="宋体" w:cs="Arial"/>
                <w:b/>
                <w:bCs/>
                <w:color w:val="000000"/>
                <w:sz w:val="21"/>
                <w:szCs w:val="21"/>
              </w:rPr>
              <w:t>参数2</w:t>
            </w:r>
          </w:p>
        </w:tc>
        <w:tc>
          <w:tcPr>
            <w:tcW w:w="46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cs="Calibri"/>
                <w:color w:val="000000"/>
                <w:sz w:val="21"/>
                <w:szCs w:val="21"/>
              </w:rPr>
            </w:pPr>
            <w:r>
              <w:rPr>
                <w:rFonts w:hint="eastAsia" w:ascii="宋体" w:hAnsi="宋体"/>
                <w:bCs/>
                <w:sz w:val="21"/>
                <w:szCs w:val="21"/>
              </w:rPr>
              <w:t>设备具有无线传输功能</w:t>
            </w:r>
          </w:p>
        </w:tc>
        <w:tc>
          <w:tcPr>
            <w:tcW w:w="1389" w:type="dxa"/>
            <w:noWrap w:val="0"/>
            <w:vAlign w:val="center"/>
          </w:tcPr>
          <w:p>
            <w:pPr>
              <w:widowControl/>
              <w:spacing w:line="240" w:lineRule="auto"/>
              <w:rPr>
                <w:rFonts w:hint="eastAsia" w:ascii="宋体" w:hAnsi="宋体" w:cs="Calibri"/>
                <w:color w:val="000000"/>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80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Calibri"/>
                <w:sz w:val="21"/>
                <w:szCs w:val="21"/>
              </w:rPr>
            </w:pPr>
            <w:r>
              <w:rPr>
                <w:rFonts w:hint="eastAsia" w:ascii="宋体" w:hAnsi="宋体" w:cs="宋体"/>
                <w:kern w:val="0"/>
                <w:sz w:val="21"/>
                <w:szCs w:val="21"/>
              </w:rPr>
              <w:t>2.3</w:t>
            </w:r>
          </w:p>
        </w:tc>
        <w:tc>
          <w:tcPr>
            <w:tcW w:w="218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Calibri"/>
                <w:color w:val="000000"/>
                <w:sz w:val="21"/>
                <w:szCs w:val="21"/>
              </w:rPr>
            </w:pPr>
            <w:r>
              <w:rPr>
                <w:rFonts w:hint="eastAsia" w:ascii="宋体" w:hAnsi="宋体" w:cs="Arial"/>
                <w:b/>
                <w:bCs/>
                <w:color w:val="000000"/>
                <w:sz w:val="21"/>
                <w:szCs w:val="21"/>
              </w:rPr>
              <w:t>▲参数3</w:t>
            </w:r>
          </w:p>
        </w:tc>
        <w:tc>
          <w:tcPr>
            <w:tcW w:w="46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ascii="宋体" w:hAnsi="宋体" w:cs="Calibri"/>
                <w:color w:val="000000"/>
                <w:sz w:val="21"/>
                <w:szCs w:val="21"/>
              </w:rPr>
            </w:pPr>
            <w:r>
              <w:rPr>
                <w:rFonts w:hint="eastAsia" w:ascii="宋体" w:hAnsi="宋体"/>
                <w:bCs/>
                <w:sz w:val="21"/>
                <w:szCs w:val="21"/>
              </w:rPr>
              <w:t>电池续航连续使用时间</w:t>
            </w:r>
            <w:r>
              <w:rPr>
                <w:rFonts w:hint="eastAsia" w:ascii="宋体" w:hAnsi="宋体" w:cs="宋体"/>
                <w:kern w:val="0"/>
                <w:sz w:val="21"/>
                <w:szCs w:val="21"/>
              </w:rPr>
              <w:t>≥</w:t>
            </w:r>
            <w:r>
              <w:rPr>
                <w:rFonts w:ascii="宋体" w:hAnsi="宋体"/>
                <w:bCs/>
                <w:sz w:val="21"/>
                <w:szCs w:val="21"/>
              </w:rPr>
              <w:t>120</w:t>
            </w:r>
            <w:r>
              <w:rPr>
                <w:rFonts w:hint="eastAsia" w:ascii="宋体" w:hAnsi="宋体"/>
                <w:bCs/>
                <w:sz w:val="21"/>
                <w:szCs w:val="21"/>
              </w:rPr>
              <w:t>小时；</w:t>
            </w:r>
          </w:p>
        </w:tc>
        <w:tc>
          <w:tcPr>
            <w:tcW w:w="1389" w:type="dxa"/>
            <w:noWrap w:val="0"/>
            <w:vAlign w:val="center"/>
          </w:tcPr>
          <w:p>
            <w:pPr>
              <w:widowControl/>
              <w:spacing w:line="240" w:lineRule="auto"/>
              <w:rPr>
                <w:rFonts w:ascii="宋体" w:hAnsi="宋体" w:cs="Calibri"/>
                <w:color w:val="000000"/>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Calibri"/>
                <w:sz w:val="21"/>
                <w:szCs w:val="21"/>
              </w:rPr>
            </w:pPr>
            <w:r>
              <w:rPr>
                <w:rFonts w:hint="eastAsia" w:ascii="宋体" w:hAnsi="宋体" w:cs="宋体"/>
                <w:kern w:val="0"/>
                <w:sz w:val="21"/>
                <w:szCs w:val="21"/>
              </w:rPr>
              <w:t>2.4</w:t>
            </w:r>
          </w:p>
        </w:tc>
        <w:tc>
          <w:tcPr>
            <w:tcW w:w="218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Calibri"/>
                <w:color w:val="000000"/>
                <w:sz w:val="21"/>
                <w:szCs w:val="21"/>
              </w:rPr>
            </w:pPr>
            <w:r>
              <w:rPr>
                <w:rFonts w:hint="eastAsia" w:ascii="宋体" w:hAnsi="宋体" w:cs="Arial"/>
                <w:b/>
                <w:bCs/>
                <w:color w:val="000000"/>
                <w:sz w:val="21"/>
                <w:szCs w:val="21"/>
              </w:rPr>
              <w:t>▲参数4</w:t>
            </w:r>
          </w:p>
        </w:tc>
        <w:tc>
          <w:tcPr>
            <w:tcW w:w="46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ascii="宋体" w:hAnsi="宋体" w:cs="Calibri"/>
                <w:color w:val="000000"/>
                <w:sz w:val="21"/>
                <w:szCs w:val="21"/>
              </w:rPr>
            </w:pPr>
            <w:r>
              <w:rPr>
                <w:rFonts w:hint="eastAsia" w:ascii="宋体" w:hAnsi="宋体"/>
                <w:sz w:val="21"/>
                <w:szCs w:val="21"/>
              </w:rPr>
              <w:t>心电输入阻抗≥10</w:t>
            </w:r>
            <w:r>
              <w:rPr>
                <w:rFonts w:ascii="宋体" w:hAnsi="宋体"/>
                <w:sz w:val="21"/>
                <w:szCs w:val="21"/>
              </w:rPr>
              <w:t>M</w:t>
            </w:r>
            <w:r>
              <w:rPr>
                <w:rFonts w:hint="eastAsia" w:ascii="宋体" w:hAnsi="宋体"/>
                <w:sz w:val="21"/>
                <w:szCs w:val="21"/>
              </w:rPr>
              <w:t>欧，共模抑制比≥90</w:t>
            </w:r>
            <w:r>
              <w:rPr>
                <w:rFonts w:ascii="宋体" w:hAnsi="宋体"/>
                <w:sz w:val="21"/>
                <w:szCs w:val="21"/>
              </w:rPr>
              <w:t>Db,</w:t>
            </w:r>
            <w:r>
              <w:rPr>
                <w:rFonts w:hint="eastAsia" w:ascii="宋体" w:hAnsi="宋体"/>
                <w:sz w:val="21"/>
                <w:szCs w:val="21"/>
              </w:rPr>
              <w:t>允许电极化电压幅值≦</w:t>
            </w:r>
            <w:r>
              <w:rPr>
                <w:rFonts w:hint="eastAsia" w:ascii="宋体" w:hAnsi="宋体" w:cs="宋体"/>
                <w:kern w:val="0"/>
                <w:sz w:val="21"/>
                <w:szCs w:val="21"/>
              </w:rPr>
              <w:t>±400</w:t>
            </w:r>
            <w:r>
              <w:rPr>
                <w:rFonts w:ascii="宋体" w:hAnsi="宋体" w:cs="宋体"/>
                <w:kern w:val="0"/>
                <w:sz w:val="21"/>
                <w:szCs w:val="21"/>
              </w:rPr>
              <w:t>mV</w:t>
            </w:r>
          </w:p>
        </w:tc>
        <w:tc>
          <w:tcPr>
            <w:tcW w:w="1389" w:type="dxa"/>
            <w:noWrap w:val="0"/>
            <w:vAlign w:val="center"/>
          </w:tcPr>
          <w:p>
            <w:pPr>
              <w:widowControl/>
              <w:spacing w:line="240" w:lineRule="auto"/>
              <w:rPr>
                <w:rFonts w:hint="eastAsia" w:ascii="宋体" w:hAnsi="宋体" w:cs="Calibri"/>
                <w:color w:val="000000"/>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80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Calibri"/>
                <w:sz w:val="21"/>
                <w:szCs w:val="21"/>
              </w:rPr>
            </w:pPr>
            <w:r>
              <w:rPr>
                <w:rFonts w:hint="eastAsia" w:ascii="宋体" w:hAnsi="宋体" w:cs="宋体"/>
                <w:kern w:val="0"/>
                <w:sz w:val="21"/>
                <w:szCs w:val="21"/>
              </w:rPr>
              <w:t>2.5</w:t>
            </w:r>
          </w:p>
        </w:tc>
        <w:tc>
          <w:tcPr>
            <w:tcW w:w="218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Calibri"/>
                <w:color w:val="000000"/>
                <w:sz w:val="21"/>
                <w:szCs w:val="21"/>
              </w:rPr>
            </w:pPr>
            <w:r>
              <w:rPr>
                <w:rFonts w:hint="eastAsia" w:ascii="宋体" w:hAnsi="宋体" w:cs="Arial"/>
                <w:b/>
                <w:bCs/>
                <w:color w:val="000000"/>
                <w:sz w:val="21"/>
                <w:szCs w:val="21"/>
              </w:rPr>
              <w:t>▲</w:t>
            </w:r>
            <w:r>
              <w:rPr>
                <w:rFonts w:hint="eastAsia" w:ascii="宋体" w:hAnsi="宋体" w:cs="宋体"/>
                <w:b/>
                <w:kern w:val="0"/>
                <w:sz w:val="21"/>
                <w:szCs w:val="21"/>
              </w:rPr>
              <w:t>参数5</w:t>
            </w:r>
          </w:p>
        </w:tc>
        <w:tc>
          <w:tcPr>
            <w:tcW w:w="46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ascii="宋体" w:hAnsi="宋体" w:cs="Calibri"/>
                <w:color w:val="000000"/>
                <w:sz w:val="21"/>
                <w:szCs w:val="21"/>
              </w:rPr>
            </w:pPr>
            <w:r>
              <w:rPr>
                <w:rFonts w:hint="eastAsia" w:ascii="宋体" w:hAnsi="宋体"/>
                <w:bCs/>
                <w:sz w:val="21"/>
                <w:szCs w:val="21"/>
              </w:rPr>
              <w:t>具备电外科干扰抑制功能，符合YY 1079-2008标准</w:t>
            </w:r>
          </w:p>
        </w:tc>
        <w:tc>
          <w:tcPr>
            <w:tcW w:w="1389" w:type="dxa"/>
            <w:noWrap w:val="0"/>
            <w:vAlign w:val="center"/>
          </w:tcPr>
          <w:p>
            <w:pPr>
              <w:widowControl/>
              <w:spacing w:line="240" w:lineRule="auto"/>
              <w:rPr>
                <w:rFonts w:hint="eastAsia" w:ascii="宋体" w:hAnsi="宋体" w:cs="Calibri"/>
                <w:color w:val="000000"/>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80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Calibri"/>
                <w:sz w:val="21"/>
                <w:szCs w:val="21"/>
              </w:rPr>
            </w:pPr>
            <w:r>
              <w:rPr>
                <w:rFonts w:hint="eastAsia" w:ascii="宋体" w:hAnsi="宋体" w:cs="宋体"/>
                <w:kern w:val="0"/>
                <w:sz w:val="21"/>
                <w:szCs w:val="21"/>
              </w:rPr>
              <w:t>2.6</w:t>
            </w:r>
          </w:p>
        </w:tc>
        <w:tc>
          <w:tcPr>
            <w:tcW w:w="218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Calibri"/>
                <w:color w:val="000000"/>
                <w:sz w:val="21"/>
                <w:szCs w:val="21"/>
              </w:rPr>
            </w:pPr>
            <w:r>
              <w:rPr>
                <w:rFonts w:hint="eastAsia" w:ascii="宋体" w:hAnsi="宋体" w:cs="宋体"/>
                <w:b/>
                <w:kern w:val="0"/>
                <w:sz w:val="21"/>
                <w:szCs w:val="21"/>
              </w:rPr>
              <w:t>参数6</w:t>
            </w:r>
          </w:p>
        </w:tc>
        <w:tc>
          <w:tcPr>
            <w:tcW w:w="46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ascii="宋体" w:hAnsi="宋体" w:cs="Calibri"/>
                <w:color w:val="000000"/>
                <w:sz w:val="21"/>
                <w:szCs w:val="21"/>
              </w:rPr>
            </w:pPr>
            <w:r>
              <w:rPr>
                <w:rFonts w:hint="eastAsia" w:ascii="宋体" w:hAnsi="宋体"/>
                <w:bCs/>
                <w:sz w:val="21"/>
                <w:szCs w:val="21"/>
              </w:rPr>
              <w:t>呼吸率测量范围：10</w:t>
            </w:r>
            <w:r>
              <w:rPr>
                <w:rFonts w:ascii="宋体" w:hAnsi="宋体"/>
                <w:bCs/>
                <w:sz w:val="21"/>
                <w:szCs w:val="21"/>
              </w:rPr>
              <w:t>rpm-120rpm,</w:t>
            </w:r>
            <w:r>
              <w:rPr>
                <w:rFonts w:hint="eastAsia" w:ascii="宋体" w:hAnsi="宋体"/>
                <w:bCs/>
                <w:sz w:val="21"/>
                <w:szCs w:val="21"/>
              </w:rPr>
              <w:t>测量精度≦</w:t>
            </w:r>
            <w:r>
              <w:rPr>
                <w:rFonts w:hint="eastAsia" w:ascii="宋体" w:hAnsi="宋体" w:cs="宋体"/>
                <w:kern w:val="0"/>
                <w:sz w:val="21"/>
                <w:szCs w:val="21"/>
              </w:rPr>
              <w:t>±2</w:t>
            </w:r>
            <w:r>
              <w:rPr>
                <w:rFonts w:ascii="宋体" w:hAnsi="宋体" w:cs="宋体"/>
                <w:kern w:val="0"/>
                <w:sz w:val="21"/>
                <w:szCs w:val="21"/>
              </w:rPr>
              <w:t>rpm</w:t>
            </w:r>
          </w:p>
        </w:tc>
        <w:tc>
          <w:tcPr>
            <w:tcW w:w="1389" w:type="dxa"/>
            <w:noWrap w:val="0"/>
            <w:vAlign w:val="center"/>
          </w:tcPr>
          <w:p>
            <w:pPr>
              <w:widowControl/>
              <w:spacing w:line="240" w:lineRule="auto"/>
              <w:rPr>
                <w:rFonts w:ascii="宋体" w:hAnsi="宋体" w:cs="Calibri"/>
                <w:color w:val="000000"/>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80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Calibri"/>
                <w:sz w:val="21"/>
                <w:szCs w:val="21"/>
              </w:rPr>
            </w:pPr>
            <w:r>
              <w:rPr>
                <w:rFonts w:hint="eastAsia" w:ascii="宋体" w:hAnsi="宋体" w:cs="宋体"/>
                <w:kern w:val="0"/>
                <w:sz w:val="21"/>
                <w:szCs w:val="21"/>
              </w:rPr>
              <w:t>2.7</w:t>
            </w:r>
          </w:p>
        </w:tc>
        <w:tc>
          <w:tcPr>
            <w:tcW w:w="218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Calibri"/>
                <w:color w:val="000000"/>
                <w:sz w:val="21"/>
                <w:szCs w:val="21"/>
              </w:rPr>
            </w:pPr>
            <w:r>
              <w:rPr>
                <w:rFonts w:hint="eastAsia" w:ascii="宋体" w:hAnsi="宋体" w:cs="Arial"/>
                <w:b/>
                <w:bCs/>
                <w:color w:val="000000"/>
                <w:sz w:val="21"/>
                <w:szCs w:val="21"/>
              </w:rPr>
              <w:t>参数7</w:t>
            </w:r>
          </w:p>
        </w:tc>
        <w:tc>
          <w:tcPr>
            <w:tcW w:w="46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ascii="宋体" w:hAnsi="宋体" w:cs="Calibri"/>
                <w:color w:val="000000"/>
                <w:sz w:val="21"/>
                <w:szCs w:val="21"/>
              </w:rPr>
            </w:pPr>
            <w:r>
              <w:rPr>
                <w:rFonts w:hint="eastAsia" w:ascii="宋体" w:hAnsi="宋体"/>
                <w:bCs/>
                <w:sz w:val="21"/>
                <w:szCs w:val="21"/>
              </w:rPr>
              <w:t>监测数据可存储，可回朔</w:t>
            </w:r>
          </w:p>
        </w:tc>
        <w:tc>
          <w:tcPr>
            <w:tcW w:w="1389" w:type="dxa"/>
            <w:noWrap w:val="0"/>
            <w:vAlign w:val="center"/>
          </w:tcPr>
          <w:p>
            <w:pPr>
              <w:widowControl/>
              <w:spacing w:line="240" w:lineRule="auto"/>
              <w:jc w:val="center"/>
              <w:rPr>
                <w:rFonts w:ascii="宋体" w:hAnsi="宋体" w:cs="Calibri"/>
                <w:color w:val="000000"/>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0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Calibri"/>
                <w:sz w:val="21"/>
                <w:szCs w:val="21"/>
              </w:rPr>
            </w:pPr>
            <w:r>
              <w:rPr>
                <w:rFonts w:hint="eastAsia" w:ascii="宋体" w:hAnsi="宋体" w:cs="宋体"/>
                <w:kern w:val="0"/>
                <w:sz w:val="21"/>
                <w:szCs w:val="21"/>
              </w:rPr>
              <w:t>3</w:t>
            </w:r>
          </w:p>
        </w:tc>
        <w:tc>
          <w:tcPr>
            <w:tcW w:w="218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Calibri"/>
                <w:sz w:val="21"/>
                <w:szCs w:val="21"/>
              </w:rPr>
            </w:pPr>
            <w:r>
              <w:rPr>
                <w:rFonts w:hint="eastAsia" w:ascii="宋体" w:hAnsi="宋体" w:cs="宋体"/>
                <w:b/>
                <w:bCs/>
                <w:kern w:val="0"/>
                <w:sz w:val="21"/>
                <w:szCs w:val="21"/>
              </w:rPr>
              <w:t>配置需求</w:t>
            </w:r>
          </w:p>
        </w:tc>
        <w:tc>
          <w:tcPr>
            <w:tcW w:w="46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cs="微软雅黑"/>
                <w:bCs/>
                <w:color w:val="000000"/>
                <w:sz w:val="21"/>
                <w:szCs w:val="21"/>
              </w:rPr>
            </w:pPr>
          </w:p>
        </w:tc>
        <w:tc>
          <w:tcPr>
            <w:tcW w:w="1389" w:type="dxa"/>
            <w:noWrap w:val="0"/>
            <w:vAlign w:val="center"/>
          </w:tcPr>
          <w:p>
            <w:pPr>
              <w:widowControl/>
              <w:spacing w:line="240" w:lineRule="auto"/>
              <w:jc w:val="center"/>
              <w:rPr>
                <w:rFonts w:ascii="宋体" w:hAnsi="宋体" w:cs="Calibri"/>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80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Calibri"/>
                <w:sz w:val="21"/>
                <w:szCs w:val="21"/>
              </w:rPr>
            </w:pPr>
            <w:r>
              <w:rPr>
                <w:rFonts w:hint="eastAsia" w:ascii="宋体" w:hAnsi="宋体" w:cs="宋体"/>
                <w:kern w:val="0"/>
                <w:sz w:val="21"/>
                <w:szCs w:val="21"/>
              </w:rPr>
              <w:t>3.1</w:t>
            </w:r>
          </w:p>
        </w:tc>
        <w:tc>
          <w:tcPr>
            <w:tcW w:w="218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Calibri"/>
                <w:sz w:val="21"/>
                <w:szCs w:val="21"/>
              </w:rPr>
            </w:pPr>
            <w:r>
              <w:rPr>
                <w:rFonts w:hint="eastAsia" w:ascii="宋体" w:hAnsi="宋体" w:cs="宋体"/>
                <w:kern w:val="0"/>
                <w:sz w:val="21"/>
                <w:szCs w:val="21"/>
              </w:rPr>
              <w:t>配置1</w:t>
            </w:r>
          </w:p>
        </w:tc>
        <w:tc>
          <w:tcPr>
            <w:tcW w:w="46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Calibri"/>
                <w:sz w:val="21"/>
                <w:szCs w:val="21"/>
              </w:rPr>
            </w:pPr>
            <w:r>
              <w:rPr>
                <w:rFonts w:hint="eastAsia" w:ascii="宋体" w:hAnsi="宋体"/>
                <w:sz w:val="21"/>
                <w:szCs w:val="21"/>
              </w:rPr>
              <w:t xml:space="preserve">多参数监护仪 </w:t>
            </w:r>
            <w:r>
              <w:rPr>
                <w:rFonts w:ascii="宋体" w:hAnsi="宋体"/>
                <w:sz w:val="21"/>
                <w:szCs w:val="21"/>
              </w:rPr>
              <w:t xml:space="preserve">    </w:t>
            </w:r>
            <w:r>
              <w:rPr>
                <w:rFonts w:hint="eastAsia" w:ascii="宋体" w:hAnsi="宋体"/>
                <w:sz w:val="21"/>
                <w:szCs w:val="21"/>
              </w:rPr>
              <w:t>1台</w:t>
            </w:r>
          </w:p>
        </w:tc>
        <w:tc>
          <w:tcPr>
            <w:tcW w:w="1389" w:type="dxa"/>
            <w:noWrap w:val="0"/>
            <w:vAlign w:val="center"/>
          </w:tcPr>
          <w:p>
            <w:pPr>
              <w:widowControl/>
              <w:spacing w:line="240" w:lineRule="auto"/>
              <w:jc w:val="center"/>
              <w:rPr>
                <w:rFonts w:ascii="宋体" w:hAnsi="宋体" w:cs="Calibri"/>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Calibri"/>
                <w:b/>
                <w:sz w:val="21"/>
                <w:szCs w:val="21"/>
              </w:rPr>
            </w:pPr>
            <w:r>
              <w:rPr>
                <w:rFonts w:hint="eastAsia" w:ascii="宋体" w:hAnsi="宋体" w:cs="宋体"/>
                <w:kern w:val="0"/>
                <w:sz w:val="21"/>
                <w:szCs w:val="21"/>
              </w:rPr>
              <w:t>3.2</w:t>
            </w:r>
          </w:p>
        </w:tc>
        <w:tc>
          <w:tcPr>
            <w:tcW w:w="218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Calibri"/>
                <w:b/>
                <w:sz w:val="21"/>
                <w:szCs w:val="21"/>
              </w:rPr>
            </w:pPr>
            <w:r>
              <w:rPr>
                <w:rFonts w:hint="eastAsia" w:ascii="宋体" w:hAnsi="宋体" w:cs="宋体"/>
                <w:kern w:val="0"/>
                <w:sz w:val="21"/>
                <w:szCs w:val="21"/>
              </w:rPr>
              <w:t>配置2</w:t>
            </w:r>
          </w:p>
        </w:tc>
        <w:tc>
          <w:tcPr>
            <w:tcW w:w="46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Calibri"/>
                <w:sz w:val="21"/>
                <w:szCs w:val="21"/>
              </w:rPr>
            </w:pPr>
            <w:r>
              <w:rPr>
                <w:rFonts w:hint="eastAsia" w:ascii="宋体" w:hAnsi="宋体"/>
                <w:bCs/>
                <w:sz w:val="21"/>
                <w:szCs w:val="21"/>
              </w:rPr>
              <w:t xml:space="preserve">心电导联 </w:t>
            </w:r>
            <w:r>
              <w:rPr>
                <w:rFonts w:ascii="宋体" w:hAnsi="宋体"/>
                <w:bCs/>
                <w:sz w:val="21"/>
                <w:szCs w:val="21"/>
              </w:rPr>
              <w:t xml:space="preserve">         </w:t>
            </w:r>
            <w:r>
              <w:rPr>
                <w:rFonts w:hint="eastAsia" w:ascii="宋体" w:hAnsi="宋体"/>
                <w:bCs/>
                <w:sz w:val="21"/>
                <w:szCs w:val="21"/>
              </w:rPr>
              <w:t>1套</w:t>
            </w:r>
          </w:p>
        </w:tc>
        <w:tc>
          <w:tcPr>
            <w:tcW w:w="1389" w:type="dxa"/>
            <w:noWrap w:val="0"/>
            <w:vAlign w:val="center"/>
          </w:tcPr>
          <w:p>
            <w:pPr>
              <w:widowControl/>
              <w:spacing w:line="240" w:lineRule="auto"/>
              <w:jc w:val="center"/>
              <w:rPr>
                <w:rFonts w:ascii="宋体" w:hAnsi="宋体" w:cs="Calibri"/>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Calibri"/>
                <w:sz w:val="21"/>
                <w:szCs w:val="21"/>
              </w:rPr>
            </w:pPr>
            <w:r>
              <w:rPr>
                <w:rFonts w:hint="eastAsia" w:ascii="宋体" w:hAnsi="宋体" w:cs="宋体"/>
                <w:kern w:val="0"/>
                <w:sz w:val="21"/>
                <w:szCs w:val="21"/>
              </w:rPr>
              <w:t>3.3</w:t>
            </w:r>
          </w:p>
        </w:tc>
        <w:tc>
          <w:tcPr>
            <w:tcW w:w="218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Calibri"/>
                <w:sz w:val="21"/>
                <w:szCs w:val="21"/>
              </w:rPr>
            </w:pPr>
            <w:r>
              <w:rPr>
                <w:rFonts w:hint="eastAsia" w:ascii="宋体" w:hAnsi="宋体" w:cs="宋体"/>
                <w:kern w:val="0"/>
                <w:sz w:val="21"/>
                <w:szCs w:val="21"/>
              </w:rPr>
              <w:t>配置3</w:t>
            </w:r>
          </w:p>
        </w:tc>
        <w:tc>
          <w:tcPr>
            <w:tcW w:w="46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Calibri"/>
                <w:sz w:val="21"/>
                <w:szCs w:val="21"/>
              </w:rPr>
            </w:pPr>
            <w:r>
              <w:rPr>
                <w:rFonts w:hint="eastAsia" w:ascii="宋体" w:hAnsi="宋体"/>
                <w:sz w:val="21"/>
                <w:szCs w:val="21"/>
              </w:rPr>
              <w:t xml:space="preserve">血氧导联线 </w:t>
            </w:r>
            <w:r>
              <w:rPr>
                <w:rFonts w:ascii="宋体" w:hAnsi="宋体"/>
                <w:sz w:val="21"/>
                <w:szCs w:val="21"/>
              </w:rPr>
              <w:t xml:space="preserve">      </w:t>
            </w:r>
            <w:r>
              <w:rPr>
                <w:rFonts w:hint="eastAsia" w:ascii="宋体" w:hAnsi="宋体"/>
                <w:sz w:val="21"/>
                <w:szCs w:val="21"/>
              </w:rPr>
              <w:t>1套</w:t>
            </w:r>
          </w:p>
        </w:tc>
        <w:tc>
          <w:tcPr>
            <w:tcW w:w="1389" w:type="dxa"/>
            <w:noWrap w:val="0"/>
            <w:vAlign w:val="center"/>
          </w:tcPr>
          <w:p>
            <w:pPr>
              <w:widowControl/>
              <w:spacing w:line="240" w:lineRule="auto"/>
              <w:jc w:val="center"/>
              <w:rPr>
                <w:rFonts w:ascii="宋体" w:hAnsi="宋体" w:cs="Calibri"/>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Calibri"/>
                <w:sz w:val="21"/>
                <w:szCs w:val="21"/>
              </w:rPr>
            </w:pPr>
            <w:r>
              <w:rPr>
                <w:rFonts w:hint="eastAsia" w:ascii="宋体" w:hAnsi="宋体" w:cs="宋体"/>
                <w:kern w:val="0"/>
                <w:sz w:val="21"/>
                <w:szCs w:val="21"/>
              </w:rPr>
              <w:t>3.4</w:t>
            </w:r>
          </w:p>
        </w:tc>
        <w:tc>
          <w:tcPr>
            <w:tcW w:w="218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Calibri"/>
                <w:sz w:val="21"/>
                <w:szCs w:val="21"/>
              </w:rPr>
            </w:pPr>
            <w:r>
              <w:rPr>
                <w:rFonts w:hint="eastAsia" w:ascii="宋体" w:hAnsi="宋体" w:cs="宋体"/>
                <w:kern w:val="0"/>
                <w:sz w:val="21"/>
                <w:szCs w:val="21"/>
              </w:rPr>
              <w:t>配置4</w:t>
            </w:r>
          </w:p>
        </w:tc>
        <w:tc>
          <w:tcPr>
            <w:tcW w:w="46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Calibri"/>
                <w:sz w:val="21"/>
                <w:szCs w:val="21"/>
              </w:rPr>
            </w:pPr>
            <w:r>
              <w:rPr>
                <w:rFonts w:hint="eastAsia" w:ascii="宋体" w:hAnsi="宋体"/>
                <w:sz w:val="21"/>
                <w:szCs w:val="21"/>
              </w:rPr>
              <w:t xml:space="preserve">血压袖带 </w:t>
            </w:r>
            <w:r>
              <w:rPr>
                <w:rFonts w:ascii="宋体" w:hAnsi="宋体"/>
                <w:sz w:val="21"/>
                <w:szCs w:val="21"/>
              </w:rPr>
              <w:t xml:space="preserve">         </w:t>
            </w:r>
            <w:r>
              <w:rPr>
                <w:rFonts w:hint="eastAsia" w:ascii="宋体" w:hAnsi="宋体"/>
                <w:sz w:val="21"/>
                <w:szCs w:val="21"/>
              </w:rPr>
              <w:t>1套</w:t>
            </w:r>
          </w:p>
        </w:tc>
        <w:tc>
          <w:tcPr>
            <w:tcW w:w="1389" w:type="dxa"/>
            <w:noWrap w:val="0"/>
            <w:vAlign w:val="center"/>
          </w:tcPr>
          <w:p>
            <w:pPr>
              <w:widowControl/>
              <w:spacing w:line="240" w:lineRule="auto"/>
              <w:jc w:val="center"/>
              <w:rPr>
                <w:rFonts w:ascii="宋体" w:hAnsi="宋体" w:cs="Calibri"/>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Calibri"/>
                <w:b/>
                <w:sz w:val="21"/>
                <w:szCs w:val="21"/>
              </w:rPr>
            </w:pPr>
            <w:r>
              <w:rPr>
                <w:rFonts w:hint="eastAsia" w:ascii="宋体" w:hAnsi="宋体" w:cs="宋体"/>
                <w:b/>
                <w:bCs/>
                <w:kern w:val="0"/>
                <w:sz w:val="21"/>
                <w:szCs w:val="21"/>
              </w:rPr>
              <w:t>4</w:t>
            </w:r>
          </w:p>
        </w:tc>
        <w:tc>
          <w:tcPr>
            <w:tcW w:w="218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Calibri"/>
                <w:b/>
                <w:sz w:val="21"/>
                <w:szCs w:val="21"/>
              </w:rPr>
            </w:pPr>
            <w:r>
              <w:rPr>
                <w:rFonts w:hint="eastAsia" w:ascii="宋体" w:hAnsi="宋体" w:cs="宋体"/>
                <w:b/>
                <w:bCs/>
                <w:kern w:val="0"/>
                <w:sz w:val="21"/>
                <w:szCs w:val="21"/>
              </w:rPr>
              <w:t>售后服务</w:t>
            </w:r>
          </w:p>
        </w:tc>
        <w:tc>
          <w:tcPr>
            <w:tcW w:w="46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Calibri"/>
                <w:sz w:val="21"/>
                <w:szCs w:val="21"/>
              </w:rPr>
            </w:pPr>
          </w:p>
        </w:tc>
        <w:tc>
          <w:tcPr>
            <w:tcW w:w="1389" w:type="dxa"/>
            <w:noWrap w:val="0"/>
            <w:vAlign w:val="center"/>
          </w:tcPr>
          <w:p>
            <w:pPr>
              <w:widowControl/>
              <w:spacing w:line="240" w:lineRule="auto"/>
              <w:jc w:val="center"/>
              <w:rPr>
                <w:rFonts w:ascii="宋体" w:hAnsi="宋体" w:cs="Calibri"/>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Calibri"/>
                <w:b/>
                <w:sz w:val="21"/>
                <w:szCs w:val="21"/>
              </w:rPr>
            </w:pPr>
            <w:r>
              <w:rPr>
                <w:rFonts w:hint="eastAsia" w:ascii="宋体" w:hAnsi="宋体" w:cs="宋体"/>
                <w:kern w:val="0"/>
                <w:sz w:val="21"/>
                <w:szCs w:val="21"/>
              </w:rPr>
              <w:t>4.1</w:t>
            </w:r>
          </w:p>
        </w:tc>
        <w:tc>
          <w:tcPr>
            <w:tcW w:w="218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Calibri"/>
                <w:b/>
                <w:sz w:val="21"/>
                <w:szCs w:val="21"/>
              </w:rPr>
            </w:pPr>
            <w:r>
              <w:rPr>
                <w:rFonts w:hint="eastAsia" w:ascii="宋体" w:hAnsi="宋体" w:cs="宋体"/>
                <w:kern w:val="0"/>
                <w:sz w:val="21"/>
                <w:szCs w:val="21"/>
              </w:rPr>
              <w:t>保修年限</w:t>
            </w:r>
          </w:p>
        </w:tc>
        <w:tc>
          <w:tcPr>
            <w:tcW w:w="46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1608" w:firstLineChars="800"/>
              <w:jc w:val="left"/>
              <w:textAlignment w:val="auto"/>
              <w:rPr>
                <w:rFonts w:ascii="宋体" w:hAnsi="宋体" w:cs="Calibri"/>
                <w:sz w:val="21"/>
                <w:szCs w:val="21"/>
              </w:rPr>
            </w:pPr>
            <w:r>
              <w:rPr>
                <w:rFonts w:hint="eastAsia" w:ascii="宋体" w:hAnsi="宋体" w:cs="宋体"/>
                <w:kern w:val="0"/>
                <w:sz w:val="21"/>
                <w:szCs w:val="21"/>
              </w:rPr>
              <w:t>≥3年</w:t>
            </w:r>
          </w:p>
        </w:tc>
        <w:tc>
          <w:tcPr>
            <w:tcW w:w="1389" w:type="dxa"/>
            <w:noWrap w:val="0"/>
            <w:vAlign w:val="center"/>
          </w:tcPr>
          <w:p>
            <w:pPr>
              <w:widowControl/>
              <w:spacing w:line="240" w:lineRule="auto"/>
              <w:jc w:val="center"/>
              <w:rPr>
                <w:rFonts w:ascii="宋体" w:hAnsi="宋体" w:cs="Calibri"/>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Calibri"/>
                <w:b/>
                <w:sz w:val="21"/>
                <w:szCs w:val="21"/>
              </w:rPr>
            </w:pPr>
            <w:r>
              <w:rPr>
                <w:rFonts w:hint="eastAsia" w:ascii="宋体" w:hAnsi="宋体" w:cs="宋体"/>
                <w:kern w:val="0"/>
                <w:sz w:val="21"/>
                <w:szCs w:val="21"/>
              </w:rPr>
              <w:t>4.2</w:t>
            </w:r>
          </w:p>
        </w:tc>
        <w:tc>
          <w:tcPr>
            <w:tcW w:w="218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Calibri"/>
                <w:b/>
                <w:sz w:val="21"/>
                <w:szCs w:val="21"/>
              </w:rPr>
            </w:pPr>
            <w:r>
              <w:rPr>
                <w:rFonts w:hint="eastAsia" w:ascii="宋体" w:hAnsi="宋体" w:cs="宋体"/>
                <w:kern w:val="0"/>
                <w:sz w:val="21"/>
                <w:szCs w:val="21"/>
              </w:rPr>
              <w:t>出现故障响应时间</w:t>
            </w:r>
          </w:p>
        </w:tc>
        <w:tc>
          <w:tcPr>
            <w:tcW w:w="46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Calibri"/>
                <w:sz w:val="21"/>
                <w:szCs w:val="21"/>
              </w:rPr>
            </w:pPr>
            <w:r>
              <w:rPr>
                <w:rFonts w:hint="eastAsia" w:ascii="宋体" w:hAnsi="宋体" w:cs="宋体"/>
                <w:kern w:val="0"/>
                <w:sz w:val="21"/>
                <w:szCs w:val="21"/>
              </w:rPr>
              <w:t>维修到达现场时间≤ 6小时（本地）</w:t>
            </w:r>
            <w:r>
              <w:rPr>
                <w:rFonts w:hint="eastAsia" w:ascii="宋体" w:hAnsi="宋体" w:cs="宋体"/>
                <w:kern w:val="0"/>
                <w:sz w:val="21"/>
                <w:szCs w:val="21"/>
              </w:rPr>
              <w:br w:type="textWrapping"/>
            </w:r>
            <w:r>
              <w:rPr>
                <w:rFonts w:hint="eastAsia" w:ascii="宋体" w:hAnsi="宋体" w:cs="宋体"/>
                <w:kern w:val="0"/>
                <w:sz w:val="21"/>
                <w:szCs w:val="21"/>
              </w:rPr>
              <w:t>维修到达现场时间≤24小时（外地）</w:t>
            </w:r>
          </w:p>
        </w:tc>
        <w:tc>
          <w:tcPr>
            <w:tcW w:w="1389" w:type="dxa"/>
            <w:noWrap w:val="0"/>
            <w:vAlign w:val="center"/>
          </w:tcPr>
          <w:p>
            <w:pPr>
              <w:widowControl/>
              <w:spacing w:line="240" w:lineRule="auto"/>
              <w:jc w:val="center"/>
              <w:rPr>
                <w:rFonts w:ascii="宋体" w:hAnsi="宋体" w:cs="Calibri"/>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Calibri"/>
                <w:sz w:val="21"/>
                <w:szCs w:val="21"/>
              </w:rPr>
            </w:pPr>
            <w:r>
              <w:rPr>
                <w:rFonts w:hint="eastAsia" w:ascii="宋体" w:hAnsi="宋体" w:cs="宋体"/>
                <w:kern w:val="0"/>
                <w:sz w:val="21"/>
                <w:szCs w:val="21"/>
              </w:rPr>
              <w:t>4.3</w:t>
            </w:r>
          </w:p>
        </w:tc>
        <w:tc>
          <w:tcPr>
            <w:tcW w:w="218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Calibri"/>
                <w:sz w:val="21"/>
                <w:szCs w:val="21"/>
              </w:rPr>
            </w:pPr>
            <w:r>
              <w:rPr>
                <w:rFonts w:hint="eastAsia" w:ascii="宋体" w:hAnsi="宋体" w:cs="宋体"/>
                <w:kern w:val="0"/>
                <w:sz w:val="21"/>
                <w:szCs w:val="21"/>
              </w:rPr>
              <w:t>维修支持</w:t>
            </w:r>
          </w:p>
        </w:tc>
        <w:tc>
          <w:tcPr>
            <w:tcW w:w="46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Calibri"/>
                <w:sz w:val="21"/>
                <w:szCs w:val="21"/>
              </w:rPr>
            </w:pPr>
            <w:r>
              <w:rPr>
                <w:rFonts w:hint="eastAsia" w:ascii="宋体" w:hAnsi="宋体" w:cs="宋体"/>
                <w:kern w:val="0"/>
                <w:sz w:val="21"/>
                <w:szCs w:val="21"/>
              </w:rPr>
              <w:t>配件供应时间≥10年</w:t>
            </w:r>
          </w:p>
        </w:tc>
        <w:tc>
          <w:tcPr>
            <w:tcW w:w="1389" w:type="dxa"/>
            <w:noWrap w:val="0"/>
            <w:vAlign w:val="center"/>
          </w:tcPr>
          <w:p>
            <w:pPr>
              <w:widowControl/>
              <w:spacing w:line="240" w:lineRule="auto"/>
              <w:jc w:val="center"/>
              <w:rPr>
                <w:rFonts w:ascii="宋体" w:hAnsi="宋体" w:cs="Calibri"/>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Calibri"/>
                <w:sz w:val="21"/>
                <w:szCs w:val="21"/>
              </w:rPr>
            </w:pPr>
            <w:r>
              <w:rPr>
                <w:rFonts w:hint="eastAsia" w:ascii="宋体" w:hAnsi="宋体" w:cs="宋体"/>
                <w:kern w:val="0"/>
                <w:sz w:val="21"/>
                <w:szCs w:val="21"/>
              </w:rPr>
              <w:t>4.4</w:t>
            </w:r>
          </w:p>
        </w:tc>
        <w:tc>
          <w:tcPr>
            <w:tcW w:w="218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Calibri"/>
                <w:sz w:val="21"/>
                <w:szCs w:val="21"/>
              </w:rPr>
            </w:pPr>
            <w:r>
              <w:rPr>
                <w:rFonts w:hint="eastAsia" w:ascii="宋体" w:hAnsi="宋体" w:cs="宋体"/>
                <w:kern w:val="0"/>
                <w:sz w:val="21"/>
                <w:szCs w:val="21"/>
              </w:rPr>
              <w:t>耗材及零配件</w:t>
            </w:r>
          </w:p>
        </w:tc>
        <w:tc>
          <w:tcPr>
            <w:tcW w:w="46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Calibri"/>
                <w:sz w:val="21"/>
                <w:szCs w:val="21"/>
              </w:rPr>
            </w:pPr>
            <w:r>
              <w:rPr>
                <w:rFonts w:hint="eastAsia" w:ascii="宋体" w:hAnsi="宋体" w:cs="宋体"/>
                <w:kern w:val="0"/>
                <w:sz w:val="21"/>
                <w:szCs w:val="21"/>
              </w:rPr>
              <w:t>提供耗材及主要零配件目录（含报价）</w:t>
            </w:r>
          </w:p>
        </w:tc>
        <w:tc>
          <w:tcPr>
            <w:tcW w:w="1389" w:type="dxa"/>
            <w:noWrap w:val="0"/>
            <w:vAlign w:val="center"/>
          </w:tcPr>
          <w:p>
            <w:pPr>
              <w:widowControl/>
              <w:spacing w:line="240" w:lineRule="auto"/>
              <w:jc w:val="center"/>
              <w:rPr>
                <w:rFonts w:ascii="宋体" w:hAnsi="宋体" w:cs="Calibri"/>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Calibri"/>
                <w:sz w:val="21"/>
                <w:szCs w:val="21"/>
              </w:rPr>
            </w:pPr>
            <w:r>
              <w:rPr>
                <w:rFonts w:hint="eastAsia" w:ascii="宋体" w:hAnsi="宋体" w:cs="宋体"/>
                <w:kern w:val="0"/>
                <w:sz w:val="21"/>
                <w:szCs w:val="21"/>
              </w:rPr>
              <w:t>4.5</w:t>
            </w:r>
          </w:p>
        </w:tc>
        <w:tc>
          <w:tcPr>
            <w:tcW w:w="218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Calibri"/>
                <w:sz w:val="21"/>
                <w:szCs w:val="21"/>
              </w:rPr>
            </w:pPr>
            <w:r>
              <w:rPr>
                <w:rFonts w:hint="eastAsia" w:ascii="宋体" w:hAnsi="宋体" w:cs="宋体"/>
                <w:kern w:val="0"/>
                <w:sz w:val="21"/>
                <w:szCs w:val="21"/>
              </w:rPr>
              <w:t>维修资料</w:t>
            </w:r>
          </w:p>
        </w:tc>
        <w:tc>
          <w:tcPr>
            <w:tcW w:w="46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Calibri"/>
                <w:sz w:val="21"/>
                <w:szCs w:val="21"/>
              </w:rPr>
            </w:pPr>
            <w:r>
              <w:rPr>
                <w:rFonts w:hint="eastAsia" w:ascii="宋体" w:hAnsi="宋体" w:cs="宋体"/>
                <w:kern w:val="0"/>
                <w:sz w:val="21"/>
                <w:szCs w:val="21"/>
              </w:rPr>
              <w:t>提供详细操作手册、维修保养手册、安装手册等</w:t>
            </w:r>
          </w:p>
        </w:tc>
        <w:tc>
          <w:tcPr>
            <w:tcW w:w="1389" w:type="dxa"/>
            <w:noWrap w:val="0"/>
            <w:vAlign w:val="center"/>
          </w:tcPr>
          <w:p>
            <w:pPr>
              <w:widowControl/>
              <w:spacing w:line="240" w:lineRule="auto"/>
              <w:jc w:val="center"/>
              <w:rPr>
                <w:rFonts w:ascii="宋体" w:hAnsi="宋体" w:cs="Calibri"/>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Calibri"/>
                <w:sz w:val="21"/>
                <w:szCs w:val="21"/>
              </w:rPr>
            </w:pPr>
            <w:r>
              <w:rPr>
                <w:rFonts w:hint="eastAsia" w:ascii="宋体" w:hAnsi="宋体" w:cs="宋体"/>
                <w:kern w:val="0"/>
                <w:sz w:val="21"/>
                <w:szCs w:val="21"/>
              </w:rPr>
              <w:t>4.6</w:t>
            </w:r>
          </w:p>
        </w:tc>
        <w:tc>
          <w:tcPr>
            <w:tcW w:w="218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Calibri"/>
                <w:sz w:val="21"/>
                <w:szCs w:val="21"/>
              </w:rPr>
            </w:pPr>
            <w:r>
              <w:rPr>
                <w:rFonts w:hint="eastAsia" w:ascii="宋体" w:hAnsi="宋体" w:cs="宋体"/>
                <w:kern w:val="0"/>
                <w:sz w:val="21"/>
                <w:szCs w:val="21"/>
              </w:rPr>
              <w:t>维修工具</w:t>
            </w:r>
          </w:p>
        </w:tc>
        <w:tc>
          <w:tcPr>
            <w:tcW w:w="46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Calibri"/>
                <w:sz w:val="21"/>
                <w:szCs w:val="21"/>
              </w:rPr>
            </w:pPr>
            <w:r>
              <w:rPr>
                <w:rFonts w:hint="eastAsia" w:ascii="宋体" w:hAnsi="宋体" w:cs="宋体"/>
                <w:kern w:val="0"/>
                <w:sz w:val="21"/>
                <w:szCs w:val="21"/>
              </w:rPr>
              <w:t>提供维修专用工具1套</w:t>
            </w:r>
          </w:p>
        </w:tc>
        <w:tc>
          <w:tcPr>
            <w:tcW w:w="1389" w:type="dxa"/>
            <w:noWrap w:val="0"/>
            <w:vAlign w:val="center"/>
          </w:tcPr>
          <w:p>
            <w:pPr>
              <w:widowControl/>
              <w:spacing w:line="240" w:lineRule="auto"/>
              <w:jc w:val="center"/>
              <w:rPr>
                <w:rFonts w:ascii="宋体" w:hAnsi="宋体" w:cs="Calibri"/>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Calibri"/>
                <w:sz w:val="21"/>
                <w:szCs w:val="21"/>
              </w:rPr>
            </w:pPr>
            <w:r>
              <w:rPr>
                <w:rFonts w:hint="eastAsia" w:ascii="宋体" w:hAnsi="宋体" w:cs="宋体"/>
                <w:kern w:val="0"/>
                <w:sz w:val="21"/>
                <w:szCs w:val="21"/>
              </w:rPr>
              <w:t>4.7</w:t>
            </w:r>
          </w:p>
        </w:tc>
        <w:tc>
          <w:tcPr>
            <w:tcW w:w="218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Calibri"/>
                <w:sz w:val="21"/>
                <w:szCs w:val="21"/>
              </w:rPr>
            </w:pPr>
            <w:r>
              <w:rPr>
                <w:rFonts w:hint="eastAsia" w:ascii="宋体" w:hAnsi="宋体" w:cs="宋体"/>
                <w:kern w:val="0"/>
                <w:sz w:val="21"/>
                <w:szCs w:val="21"/>
              </w:rPr>
              <w:t>预防性维修</w:t>
            </w:r>
            <w:r>
              <w:rPr>
                <w:rFonts w:hint="eastAsia" w:ascii="宋体" w:hAnsi="宋体" w:cs="宋体"/>
                <w:kern w:val="0"/>
                <w:sz w:val="21"/>
                <w:szCs w:val="21"/>
              </w:rPr>
              <w:br w:type="textWrapping"/>
            </w:r>
            <w:r>
              <w:rPr>
                <w:rFonts w:hint="eastAsia" w:ascii="宋体" w:hAnsi="宋体" w:cs="宋体"/>
                <w:kern w:val="0"/>
                <w:sz w:val="21"/>
                <w:szCs w:val="21"/>
              </w:rPr>
              <w:t>/定期维护保养</w:t>
            </w:r>
          </w:p>
        </w:tc>
        <w:tc>
          <w:tcPr>
            <w:tcW w:w="46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Calibri"/>
                <w:sz w:val="21"/>
                <w:szCs w:val="21"/>
              </w:rPr>
            </w:pPr>
            <w:r>
              <w:rPr>
                <w:rFonts w:hint="eastAsia" w:ascii="宋体" w:hAnsi="宋体" w:cs="宋体"/>
                <w:kern w:val="0"/>
                <w:sz w:val="21"/>
                <w:szCs w:val="21"/>
              </w:rPr>
              <w:t>保修期内提供定期维护保养服务</w:t>
            </w:r>
          </w:p>
        </w:tc>
        <w:tc>
          <w:tcPr>
            <w:tcW w:w="1389" w:type="dxa"/>
            <w:noWrap w:val="0"/>
            <w:vAlign w:val="center"/>
          </w:tcPr>
          <w:p>
            <w:pPr>
              <w:widowControl/>
              <w:spacing w:line="240" w:lineRule="auto"/>
              <w:jc w:val="center"/>
              <w:rPr>
                <w:rFonts w:ascii="宋体" w:hAnsi="宋体" w:cs="Calibri"/>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Calibri"/>
                <w:sz w:val="21"/>
                <w:szCs w:val="21"/>
              </w:rPr>
            </w:pPr>
            <w:r>
              <w:rPr>
                <w:rFonts w:hint="eastAsia" w:ascii="宋体" w:hAnsi="宋体" w:cs="宋体"/>
                <w:kern w:val="0"/>
                <w:sz w:val="21"/>
                <w:szCs w:val="21"/>
              </w:rPr>
              <w:t>4.8</w:t>
            </w:r>
          </w:p>
        </w:tc>
        <w:tc>
          <w:tcPr>
            <w:tcW w:w="218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Calibri"/>
                <w:sz w:val="21"/>
                <w:szCs w:val="21"/>
              </w:rPr>
            </w:pPr>
            <w:r>
              <w:rPr>
                <w:rFonts w:hint="eastAsia" w:ascii="宋体" w:hAnsi="宋体" w:cs="宋体"/>
                <w:kern w:val="0"/>
                <w:sz w:val="21"/>
                <w:szCs w:val="21"/>
              </w:rPr>
              <w:t>维修密码支持</w:t>
            </w:r>
          </w:p>
        </w:tc>
        <w:tc>
          <w:tcPr>
            <w:tcW w:w="46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Calibri"/>
                <w:sz w:val="21"/>
                <w:szCs w:val="21"/>
              </w:rPr>
            </w:pPr>
            <w:r>
              <w:rPr>
                <w:rFonts w:hint="eastAsia" w:ascii="宋体" w:hAnsi="宋体" w:cs="宋体"/>
                <w:kern w:val="0"/>
                <w:sz w:val="21"/>
                <w:szCs w:val="21"/>
              </w:rPr>
              <w:t>开放</w:t>
            </w:r>
          </w:p>
        </w:tc>
        <w:tc>
          <w:tcPr>
            <w:tcW w:w="1389" w:type="dxa"/>
            <w:noWrap w:val="0"/>
            <w:vAlign w:val="center"/>
          </w:tcPr>
          <w:p>
            <w:pPr>
              <w:widowControl/>
              <w:spacing w:line="240" w:lineRule="auto"/>
              <w:jc w:val="center"/>
              <w:rPr>
                <w:rFonts w:ascii="宋体" w:hAnsi="宋体" w:cs="Calibri"/>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Calibri"/>
                <w:sz w:val="21"/>
                <w:szCs w:val="21"/>
              </w:rPr>
            </w:pPr>
            <w:r>
              <w:rPr>
                <w:rFonts w:hint="eastAsia" w:ascii="宋体" w:hAnsi="宋体" w:cs="宋体"/>
                <w:kern w:val="0"/>
                <w:sz w:val="21"/>
                <w:szCs w:val="21"/>
              </w:rPr>
              <w:t>4.9</w:t>
            </w:r>
          </w:p>
        </w:tc>
        <w:tc>
          <w:tcPr>
            <w:tcW w:w="218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Calibri"/>
                <w:sz w:val="21"/>
                <w:szCs w:val="21"/>
              </w:rPr>
            </w:pPr>
            <w:r>
              <w:rPr>
                <w:rFonts w:hint="eastAsia" w:ascii="宋体" w:hAnsi="宋体" w:cs="宋体"/>
                <w:kern w:val="0"/>
                <w:sz w:val="21"/>
                <w:szCs w:val="21"/>
              </w:rPr>
              <w:t>升级</w:t>
            </w:r>
          </w:p>
        </w:tc>
        <w:tc>
          <w:tcPr>
            <w:tcW w:w="46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Calibri"/>
                <w:sz w:val="21"/>
                <w:szCs w:val="21"/>
              </w:rPr>
            </w:pPr>
            <w:r>
              <w:rPr>
                <w:rFonts w:hint="eastAsia" w:ascii="宋体" w:hAnsi="宋体" w:cs="宋体"/>
                <w:kern w:val="0"/>
                <w:sz w:val="21"/>
                <w:szCs w:val="21"/>
              </w:rPr>
              <w:t>终身免费软件升级</w:t>
            </w:r>
          </w:p>
        </w:tc>
        <w:tc>
          <w:tcPr>
            <w:tcW w:w="1389" w:type="dxa"/>
            <w:noWrap w:val="0"/>
            <w:vAlign w:val="center"/>
          </w:tcPr>
          <w:p>
            <w:pPr>
              <w:widowControl/>
              <w:spacing w:line="240" w:lineRule="auto"/>
              <w:jc w:val="center"/>
              <w:rPr>
                <w:rFonts w:ascii="宋体" w:hAnsi="宋体" w:cs="Calibri"/>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Calibri"/>
                <w:sz w:val="21"/>
                <w:szCs w:val="21"/>
              </w:rPr>
            </w:pPr>
            <w:r>
              <w:rPr>
                <w:rFonts w:hint="eastAsia" w:ascii="宋体" w:hAnsi="宋体" w:cs="宋体"/>
                <w:kern w:val="0"/>
                <w:sz w:val="21"/>
                <w:szCs w:val="21"/>
              </w:rPr>
              <w:t>4.10</w:t>
            </w:r>
          </w:p>
        </w:tc>
        <w:tc>
          <w:tcPr>
            <w:tcW w:w="218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Calibri"/>
                <w:sz w:val="21"/>
                <w:szCs w:val="21"/>
              </w:rPr>
            </w:pPr>
            <w:r>
              <w:rPr>
                <w:rFonts w:hint="eastAsia" w:ascii="宋体" w:hAnsi="宋体" w:cs="宋体"/>
                <w:kern w:val="0"/>
                <w:sz w:val="21"/>
                <w:szCs w:val="21"/>
              </w:rPr>
              <w:t>技术培训</w:t>
            </w:r>
          </w:p>
        </w:tc>
        <w:tc>
          <w:tcPr>
            <w:tcW w:w="46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Calibri"/>
                <w:sz w:val="21"/>
                <w:szCs w:val="21"/>
              </w:rPr>
            </w:pPr>
            <w:r>
              <w:rPr>
                <w:rFonts w:hint="eastAsia" w:ascii="宋体" w:hAnsi="宋体" w:cs="宋体"/>
                <w:kern w:val="0"/>
                <w:sz w:val="21"/>
                <w:szCs w:val="21"/>
              </w:rPr>
              <w:t>支持</w:t>
            </w:r>
          </w:p>
        </w:tc>
        <w:tc>
          <w:tcPr>
            <w:tcW w:w="1389" w:type="dxa"/>
            <w:noWrap w:val="0"/>
            <w:vAlign w:val="center"/>
          </w:tcPr>
          <w:p>
            <w:pPr>
              <w:widowControl/>
              <w:spacing w:line="240" w:lineRule="auto"/>
              <w:jc w:val="center"/>
              <w:rPr>
                <w:rFonts w:ascii="宋体" w:hAnsi="宋体" w:cs="Calibri"/>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Calibri"/>
                <w:sz w:val="21"/>
                <w:szCs w:val="21"/>
              </w:rPr>
            </w:pPr>
            <w:r>
              <w:rPr>
                <w:rFonts w:hint="eastAsia" w:ascii="宋体" w:hAnsi="宋体" w:cs="宋体"/>
                <w:kern w:val="0"/>
                <w:sz w:val="21"/>
                <w:szCs w:val="21"/>
              </w:rPr>
              <w:t>4.11</w:t>
            </w:r>
          </w:p>
        </w:tc>
        <w:tc>
          <w:tcPr>
            <w:tcW w:w="218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Calibri"/>
                <w:sz w:val="21"/>
                <w:szCs w:val="21"/>
              </w:rPr>
            </w:pPr>
            <w:r>
              <w:rPr>
                <w:rFonts w:hint="eastAsia" w:ascii="宋体" w:hAnsi="宋体" w:cs="宋体"/>
                <w:kern w:val="0"/>
                <w:sz w:val="21"/>
                <w:szCs w:val="21"/>
              </w:rPr>
              <w:t>工程师培训</w:t>
            </w:r>
          </w:p>
        </w:tc>
        <w:tc>
          <w:tcPr>
            <w:tcW w:w="46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Calibri"/>
                <w:sz w:val="21"/>
                <w:szCs w:val="21"/>
              </w:rPr>
            </w:pPr>
            <w:r>
              <w:rPr>
                <w:rFonts w:hint="eastAsia" w:ascii="宋体" w:hAnsi="宋体" w:cs="宋体"/>
                <w:kern w:val="0"/>
                <w:sz w:val="21"/>
                <w:szCs w:val="21"/>
              </w:rPr>
              <w:t>支持</w:t>
            </w:r>
          </w:p>
        </w:tc>
        <w:tc>
          <w:tcPr>
            <w:tcW w:w="1389" w:type="dxa"/>
            <w:noWrap w:val="0"/>
            <w:vAlign w:val="center"/>
          </w:tcPr>
          <w:p>
            <w:pPr>
              <w:widowControl/>
              <w:spacing w:line="240" w:lineRule="auto"/>
              <w:jc w:val="center"/>
              <w:rPr>
                <w:rFonts w:ascii="宋体" w:hAnsi="宋体" w:cs="Calibri"/>
                <w:sz w:val="24"/>
                <w:szCs w:val="18"/>
              </w:rPr>
            </w:pPr>
          </w:p>
        </w:tc>
      </w:tr>
    </w:tbl>
    <w:p>
      <w:pPr>
        <w:adjustRightInd w:val="0"/>
        <w:snapToGrid w:val="0"/>
        <w:spacing w:line="440" w:lineRule="exact"/>
        <w:ind w:firstLine="339" w:firstLineChars="147"/>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注：关键重要技术指标参数以</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标记（有1项不满足即按无效投标处理），重要指标参数以▲标记，一般技术指标参数不作标记。投标人须提供技术支持资料</w:t>
      </w:r>
      <w:r>
        <w:rPr>
          <w:rFonts w:hint="eastAsia" w:cs="Times New Roman" w:asciiTheme="minorEastAsia" w:hAnsiTheme="minorEastAsia"/>
          <w:kern w:val="0"/>
          <w:sz w:val="24"/>
          <w:szCs w:val="24"/>
        </w:rPr>
        <w:t>，包括制造商公开发布的资料（含制造商出具的产品规格表或检测机构出具的检测报告）。</w:t>
      </w:r>
    </w:p>
    <w:p>
      <w:pPr>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二、</w:t>
      </w:r>
      <w:r>
        <w:rPr>
          <w:rFonts w:cs="Times New Roman" w:asciiTheme="minorEastAsia" w:hAnsiTheme="minorEastAsia"/>
          <w:b/>
          <w:kern w:val="0"/>
          <w:sz w:val="24"/>
          <w:szCs w:val="24"/>
        </w:rPr>
        <w:t>商务要求</w:t>
      </w:r>
    </w:p>
    <w:p>
      <w:pPr>
        <w:adjustRightInd w:val="0"/>
        <w:snapToGrid w:val="0"/>
        <w:spacing w:line="440" w:lineRule="exact"/>
        <w:ind w:firstLine="462" w:firstLineChars="200"/>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（一）交货时间：</w:t>
      </w:r>
      <w:r>
        <w:rPr>
          <w:rFonts w:hint="eastAsia" w:cs="Times New Roman" w:asciiTheme="minorEastAsia" w:hAnsiTheme="minorEastAsia"/>
          <w:kern w:val="0"/>
          <w:sz w:val="24"/>
          <w:szCs w:val="24"/>
          <w:u w:val="single"/>
        </w:rPr>
        <w:t>中标人应在采购合同签订后90个日历日</w:t>
      </w:r>
      <w:r>
        <w:rPr>
          <w:rFonts w:cs="Times New Roman" w:asciiTheme="minorEastAsia" w:hAnsiTheme="minorEastAsia"/>
          <w:kern w:val="0"/>
          <w:sz w:val="24"/>
          <w:szCs w:val="24"/>
          <w:u w:val="single"/>
        </w:rPr>
        <w:t>内</w:t>
      </w:r>
      <w:r>
        <w:rPr>
          <w:rFonts w:hint="eastAsia" w:cs="Times New Roman" w:asciiTheme="minorEastAsia" w:hAnsiTheme="minorEastAsia"/>
          <w:kern w:val="0"/>
          <w:sz w:val="24"/>
          <w:szCs w:val="24"/>
          <w:u w:val="single"/>
        </w:rPr>
        <w:t xml:space="preserve">   </w:t>
      </w:r>
    </w:p>
    <w:p>
      <w:pPr>
        <w:adjustRightInd w:val="0"/>
        <w:snapToGrid w:val="0"/>
        <w:spacing w:line="440" w:lineRule="exact"/>
        <w:ind w:firstLine="1141" w:firstLineChars="494"/>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交货地点：</w:t>
      </w:r>
      <w:r>
        <w:rPr>
          <w:rFonts w:hint="eastAsia" w:cs="Times New Roman" w:asciiTheme="minorEastAsia" w:hAnsiTheme="minorEastAsia"/>
          <w:kern w:val="0"/>
          <w:sz w:val="24"/>
          <w:szCs w:val="24"/>
          <w:u w:val="single"/>
          <w:lang w:val="zh-CN"/>
        </w:rPr>
        <w:t xml:space="preserve">   重庆市（指定地点）                    </w:t>
      </w:r>
    </w:p>
    <w:p>
      <w:pPr>
        <w:adjustRightInd w:val="0"/>
        <w:snapToGrid w:val="0"/>
        <w:spacing w:line="440" w:lineRule="exact"/>
        <w:ind w:firstLine="1141" w:firstLineChars="494"/>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交货方式：</w:t>
      </w:r>
      <w:r>
        <w:rPr>
          <w:rFonts w:hint="eastAsia" w:cs="Times New Roman" w:asciiTheme="minorEastAsia" w:hAnsiTheme="minorEastAsia"/>
          <w:kern w:val="0"/>
          <w:sz w:val="24"/>
          <w:szCs w:val="24"/>
          <w:u w:val="single"/>
          <w:lang w:val="zh-CN"/>
        </w:rPr>
        <w:t xml:space="preserve">   </w:t>
      </w:r>
      <w:r>
        <w:rPr>
          <w:rFonts w:hint="eastAsia" w:cs="Times New Roman" w:asciiTheme="minorEastAsia" w:hAnsiTheme="minorEastAsia"/>
          <w:kern w:val="0"/>
          <w:sz w:val="24"/>
          <w:szCs w:val="24"/>
          <w:u w:val="single"/>
        </w:rPr>
        <w:t>按计划送至需方指定地点且安装调试合格</w:t>
      </w:r>
      <w:r>
        <w:rPr>
          <w:rFonts w:hint="eastAsia" w:cs="Times New Roman" w:asciiTheme="minorEastAsia" w:hAnsiTheme="minorEastAsia"/>
          <w:kern w:val="0"/>
          <w:sz w:val="24"/>
          <w:szCs w:val="24"/>
          <w:u w:val="single"/>
          <w:lang w:val="zh-CN"/>
        </w:rPr>
        <w:t xml:space="preserve">  </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（二）</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售后服务</w:t>
      </w:r>
      <w:r>
        <w:rPr>
          <w:rFonts w:hint="eastAsia" w:asciiTheme="minorEastAsia" w:hAnsiTheme="minorEastAsia"/>
          <w:sz w:val="24"/>
          <w:szCs w:val="24"/>
        </w:rPr>
        <w:t>（招标文件实质性条款，投标文件中需承诺）</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 保修期：自验收合格之日起，整机免费保修期至少</w:t>
      </w:r>
      <w:r>
        <w:rPr>
          <w:rFonts w:hint="eastAsia" w:cs="Times New Roman" w:asciiTheme="minorEastAsia" w:hAnsiTheme="minorEastAsia"/>
          <w:kern w:val="0"/>
          <w:sz w:val="24"/>
          <w:szCs w:val="24"/>
          <w:u w:val="single"/>
          <w:lang w:val="zh-CN"/>
        </w:rPr>
        <w:t xml:space="preserve">  3  </w:t>
      </w:r>
      <w:r>
        <w:rPr>
          <w:rFonts w:hint="eastAsia" w:cs="Times New Roman" w:asciiTheme="minorEastAsia" w:hAnsiTheme="minorEastAsia"/>
          <w:kern w:val="0"/>
          <w:sz w:val="24"/>
          <w:szCs w:val="24"/>
          <w:lang w:val="zh-CN"/>
        </w:rPr>
        <w:t>年。</w:t>
      </w:r>
      <w:r>
        <w:rPr>
          <w:rFonts w:cs="Times New Roman" w:asciiTheme="minorEastAsia" w:hAnsiTheme="minorEastAsia"/>
          <w:kern w:val="0"/>
          <w:sz w:val="24"/>
          <w:szCs w:val="24"/>
        </w:rPr>
        <w:t>在</w:t>
      </w:r>
      <w:r>
        <w:rPr>
          <w:rFonts w:hint="eastAsia" w:cs="Times New Roman" w:asciiTheme="minorEastAsia" w:hAnsiTheme="minorEastAsia"/>
          <w:kern w:val="0"/>
          <w:sz w:val="24"/>
          <w:szCs w:val="24"/>
        </w:rPr>
        <w:t>保修期内，除消耗品和人为损坏外，一切均免费维修和维护。</w:t>
      </w:r>
      <w:r>
        <w:rPr>
          <w:rFonts w:hint="eastAsia" w:cs="Times New Roman" w:asciiTheme="minorEastAsia" w:hAnsiTheme="minorEastAsia"/>
          <w:kern w:val="0"/>
          <w:sz w:val="24"/>
          <w:szCs w:val="24"/>
          <w:lang w:val="zh-CN"/>
        </w:rPr>
        <w:t>免费保修期</w:t>
      </w:r>
      <w:r>
        <w:rPr>
          <w:rFonts w:hint="eastAsia" w:cs="Times New Roman" w:asciiTheme="minorEastAsia" w:hAnsiTheme="minorEastAsia"/>
          <w:kern w:val="0"/>
          <w:sz w:val="24"/>
          <w:szCs w:val="24"/>
        </w:rPr>
        <w:t>外，提供终身维修等技术服务保障承诺（因产品或配件停产等导致设备无法维修的原因除外）</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2.</w:t>
      </w:r>
      <w:r>
        <w:rPr>
          <w:rFonts w:hint="eastAsia" w:ascii="楷体" w:hAnsi="楷体" w:eastAsia="楷体" w:cs="Times New Roman"/>
          <w:sz w:val="28"/>
          <w:szCs w:val="28"/>
        </w:rPr>
        <w:t xml:space="preserve"> </w:t>
      </w:r>
      <w:r>
        <w:rPr>
          <w:rFonts w:hint="eastAsia" w:cs="Times New Roman" w:asciiTheme="minorEastAsia" w:hAnsiTheme="minorEastAsia"/>
          <w:kern w:val="0"/>
          <w:sz w:val="24"/>
          <w:szCs w:val="24"/>
        </w:rPr>
        <w:t>响应时间：接到用户报修通知响应时间：</w:t>
      </w:r>
      <w:r>
        <w:rPr>
          <w:rFonts w:hint="eastAsia" w:cs="Times New Roman" w:asciiTheme="minorEastAsia" w:hAnsiTheme="minorEastAsia"/>
          <w:kern w:val="0"/>
          <w:sz w:val="24"/>
          <w:szCs w:val="24"/>
          <w:u w:val="single"/>
        </w:rPr>
        <w:t xml:space="preserve"> 4 </w:t>
      </w:r>
      <w:r>
        <w:rPr>
          <w:rFonts w:hint="eastAsia" w:cs="Times New Roman" w:asciiTheme="minorEastAsia" w:hAnsiTheme="minorEastAsia"/>
          <w:kern w:val="0"/>
          <w:sz w:val="24"/>
          <w:szCs w:val="24"/>
        </w:rPr>
        <w:t>小时以内。本地到现场时间：</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节假日照常服务)。外地到现场时间：</w:t>
      </w:r>
      <w:r>
        <w:rPr>
          <w:rFonts w:hint="eastAsia" w:cs="Times New Roman" w:asciiTheme="minorEastAsia" w:hAnsiTheme="minorEastAsia"/>
          <w:kern w:val="0"/>
          <w:sz w:val="24"/>
          <w:szCs w:val="24"/>
          <w:u w:val="single"/>
        </w:rPr>
        <w:t xml:space="preserve"> 24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w:t>
      </w:r>
    </w:p>
    <w:p>
      <w:pPr>
        <w:adjustRightInd w:val="0"/>
        <w:snapToGrid w:val="0"/>
        <w:spacing w:line="440" w:lineRule="exact"/>
        <w:ind w:firstLine="462" w:firstLineChars="200"/>
        <w:rPr>
          <w:rFonts w:cs="Arial" w:asciiTheme="minorEastAsia" w:hAnsiTheme="minorEastAsia"/>
          <w:sz w:val="24"/>
          <w:szCs w:val="24"/>
        </w:rPr>
      </w:pPr>
      <w:r>
        <w:rPr>
          <w:rFonts w:hint="eastAsia" w:cs="Times New Roman" w:asciiTheme="minorEastAsia" w:hAnsiTheme="minorEastAsia"/>
          <w:kern w:val="0"/>
          <w:sz w:val="24"/>
          <w:szCs w:val="24"/>
          <w:lang w:val="zh-CN"/>
        </w:rPr>
        <w:t>3.</w:t>
      </w:r>
      <w:r>
        <w:rPr>
          <w:rFonts w:cs="Arial" w:asciiTheme="minorEastAsia" w:hAnsiTheme="minorEastAsia"/>
          <w:sz w:val="24"/>
          <w:szCs w:val="24"/>
        </w:rPr>
        <w:t>保修期内的开机率：保证开机率</w:t>
      </w:r>
      <w:r>
        <w:rPr>
          <w:rFonts w:hint="eastAsia" w:cs="Arial" w:asciiTheme="minorEastAsia" w:hAnsiTheme="minorEastAsia"/>
          <w:sz w:val="24"/>
          <w:szCs w:val="24"/>
          <w:u w:val="single"/>
        </w:rPr>
        <w:t xml:space="preserve">  </w:t>
      </w:r>
      <w:r>
        <w:rPr>
          <w:rFonts w:cs="Arial" w:asciiTheme="minorEastAsia" w:hAnsiTheme="minorEastAsia"/>
          <w:sz w:val="24"/>
          <w:szCs w:val="24"/>
          <w:u w:val="single"/>
        </w:rPr>
        <w:t>95%</w:t>
      </w:r>
      <w:r>
        <w:rPr>
          <w:rFonts w:hint="eastAsia" w:cs="Arial" w:asciiTheme="minorEastAsia" w:hAnsiTheme="minorEastAsia"/>
          <w:sz w:val="24"/>
          <w:szCs w:val="24"/>
          <w:u w:val="single"/>
        </w:rPr>
        <w:t xml:space="preserve"> </w:t>
      </w:r>
      <w:r>
        <w:rPr>
          <w:rFonts w:cs="Arial" w:asciiTheme="minorEastAsia" w:hAnsiTheme="minorEastAsia"/>
          <w:sz w:val="24"/>
          <w:szCs w:val="24"/>
        </w:rPr>
        <w:t>（按一年365天计算）</w:t>
      </w:r>
      <w:r>
        <w:rPr>
          <w:rFonts w:hint="eastAsia" w:cs="Arial" w:asciiTheme="minorEastAsia" w:hAnsiTheme="minorEastAsia"/>
          <w:sz w:val="24"/>
          <w:szCs w:val="24"/>
        </w:rPr>
        <w:t>。</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4.保外维修人工费免费（含交通、住宿、维修工时等）</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5.软件升级：终身免费升级</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6.凡涉及与我院HIS、LIS、PACS、电生理系统、病理信息系统等系统连接的设备，要求具有标准数字接口，若投标产品没有匹配的接口，由中标供应商负责改造并承担相应费用。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7.所有设备应在投标/报价文件商务条款中列出第4-5年全保费用金额，5年以后全保费用金额（如：免费保修3年，第4-5年全保费用不超过合同成交价的3%，5年以后全保费用不超过合同成交价的5%），未列出的按该项条款执行。</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8.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hint="eastAsia" w:asciiTheme="minorEastAsia" w:hAnsiTheme="minorEastAsia"/>
          <w:sz w:val="24"/>
          <w:szCs w:val="24"/>
        </w:rPr>
        <w:t>按国际标准或经双方协商认可的标准、合同要求及技术协议执行。</w:t>
      </w:r>
      <w:r>
        <w:rPr>
          <w:rFonts w:hint="eastAsia" w:cs="Arial" w:asciiTheme="minorEastAsia" w:hAnsiTheme="minorEastAsia"/>
          <w:sz w:val="24"/>
          <w:szCs w:val="24"/>
        </w:rPr>
        <w:t>仪器技术指标经验收合格后，出具验收报告并正式交付用户使用。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9.</w:t>
      </w:r>
      <w:r>
        <w:rPr>
          <w:rFonts w:hint="eastAsia" w:asciiTheme="minorEastAsia" w:hAnsiTheme="minorEastAsia"/>
          <w:sz w:val="24"/>
          <w:szCs w:val="24"/>
        </w:rPr>
        <w:t>包装和运输：卖方负责设备的包装和运输。包装必须坚固，能适用远距离的海运、空运及气候的变化，并能适应中国境内铁路、公路运输。</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10.若此次招标设备需配套使用耗材（试剂），耗材（试剂）需要一并进行报价，视情纳入计算经济分。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★（三）</w:t>
      </w:r>
      <w:r>
        <w:rPr>
          <w:rFonts w:hint="eastAsia" w:cs="Times New Roman" w:asciiTheme="minorEastAsia" w:hAnsiTheme="minorEastAsia"/>
          <w:kern w:val="0"/>
          <w:sz w:val="24"/>
          <w:szCs w:val="24"/>
        </w:rPr>
        <w:t>专利权和保密要求</w:t>
      </w:r>
      <w:r>
        <w:rPr>
          <w:rFonts w:hint="eastAsia" w:asciiTheme="minorEastAsia" w:hAnsiTheme="minorEastAsia"/>
          <w:sz w:val="24"/>
          <w:szCs w:val="24"/>
        </w:rPr>
        <w:t>（招标文件实质性条款，投标文件中需承诺）</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投标人应保证使用方在使用该货物或其任何一部分时，不受第三方侵权指控。同时，投标人不得向第三方泄露招标人提供的技术文件等资料。</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（四）现场勘查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1.本项目不组织现场勘查。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p>
    <w:p>
      <w:pPr>
        <w:adjustRightInd w:val="0"/>
        <w:snapToGrid w:val="0"/>
        <w:spacing w:line="440" w:lineRule="exact"/>
        <w:ind w:firstLine="462" w:firstLineChars="200"/>
        <w:rPr>
          <w:rFonts w:cs="Times New Roman" w:asciiTheme="minorEastAsia" w:hAnsiTheme="minorEastAsia"/>
          <w:b/>
          <w:kern w:val="0"/>
          <w:sz w:val="24"/>
          <w:szCs w:val="24"/>
        </w:rPr>
        <w:sectPr>
          <w:headerReference r:id="rId5" w:type="default"/>
          <w:footerReference r:id="rId6" w:type="default"/>
          <w:pgSz w:w="11906" w:h="16838"/>
          <w:pgMar w:top="2098" w:right="1474" w:bottom="1985" w:left="1588" w:header="851" w:footer="992" w:gutter="0"/>
          <w:cols w:space="425" w:num="1"/>
          <w:docGrid w:type="linesAndChars" w:linePitch="579" w:charSpace="-1844"/>
        </w:sectPr>
      </w:pPr>
    </w:p>
    <w:p>
      <w:pPr>
        <w:autoSpaceDE w:val="0"/>
        <w:autoSpaceDN w:val="0"/>
        <w:adjustRightInd w:val="0"/>
        <w:snapToGrid w:val="0"/>
        <w:spacing w:line="440" w:lineRule="exact"/>
        <w:jc w:val="center"/>
        <w:outlineLvl w:val="0"/>
        <w:rPr>
          <w:rFonts w:ascii="黑体" w:hAnsi="黑体" w:eastAsia="黑体" w:cs="Times New Roman"/>
          <w:kern w:val="0"/>
          <w:sz w:val="32"/>
          <w:szCs w:val="32"/>
        </w:rPr>
      </w:pPr>
      <w:bookmarkStart w:id="9" w:name="_Toc37172689"/>
      <w:bookmarkStart w:id="10" w:name="_Toc240432230"/>
      <w:bookmarkStart w:id="11" w:name="_Toc435540980"/>
      <w:bookmarkStart w:id="12" w:name="_Toc390713968"/>
      <w:bookmarkStart w:id="13" w:name="_Toc285612601"/>
      <w:r>
        <w:rPr>
          <w:rFonts w:hint="eastAsia" w:ascii="黑体" w:hAnsi="黑体" w:eastAsia="黑体" w:cs="Times New Roman"/>
          <w:kern w:val="0"/>
          <w:sz w:val="32"/>
          <w:szCs w:val="32"/>
        </w:rPr>
        <w:t xml:space="preserve">第三部分  </w:t>
      </w:r>
      <w:r>
        <w:rPr>
          <w:rFonts w:hint="eastAsia" w:ascii="黑体" w:hAnsi="黑体" w:eastAsia="黑体" w:cs="Times New Roman"/>
          <w:kern w:val="0"/>
          <w:sz w:val="32"/>
          <w:szCs w:val="32"/>
          <w:lang w:val="zh-CN"/>
        </w:rPr>
        <w:t>投标人</w:t>
      </w:r>
      <w:r>
        <w:rPr>
          <w:rFonts w:hint="eastAsia" w:ascii="黑体" w:hAnsi="黑体" w:eastAsia="黑体" w:cs="Times New Roman"/>
          <w:kern w:val="0"/>
          <w:sz w:val="32"/>
          <w:szCs w:val="32"/>
        </w:rPr>
        <w:t>须知</w:t>
      </w:r>
      <w:bookmarkEnd w:id="9"/>
      <w:bookmarkEnd w:id="10"/>
      <w:bookmarkEnd w:id="11"/>
      <w:bookmarkEnd w:id="12"/>
      <w:bookmarkEnd w:id="13"/>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一、</w:t>
      </w:r>
      <w:r>
        <w:rPr>
          <w:rFonts w:cs="Times New Roman" w:asciiTheme="minorEastAsia" w:hAnsiTheme="minorEastAsia"/>
          <w:kern w:val="0"/>
          <w:sz w:val="24"/>
          <w:szCs w:val="24"/>
        </w:rPr>
        <w:t>说</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明</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（一）概述</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rPr>
        <w:t>1.</w:t>
      </w:r>
      <w:r>
        <w:rPr>
          <w:rFonts w:hint="eastAsia" w:cs="Times New Roman" w:asciiTheme="minorEastAsia" w:hAnsiTheme="minorEastAsia"/>
          <w:snapToGrid w:val="0"/>
          <w:kern w:val="0"/>
          <w:sz w:val="24"/>
          <w:szCs w:val="24"/>
          <w:lang w:val="zh-CN"/>
        </w:rPr>
        <w:t>本招标文件仅适用于《招标公告》中所述的采购项目；</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rPr>
        <w:t>2.</w:t>
      </w:r>
      <w:r>
        <w:rPr>
          <w:rFonts w:hint="eastAsia" w:asciiTheme="minorEastAsia" w:hAnsiTheme="minor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（二）定义</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1.“采购项目”系指本招标文件描述的所需采购的货物和相关服务；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2.“招标人”系指组织本次招标的</w:t>
      </w:r>
      <w:r>
        <w:rPr>
          <w:rFonts w:hint="eastAsia" w:cs="Times New Roman" w:asciiTheme="minorEastAsia" w:hAnsiTheme="minorEastAsia"/>
          <w:snapToGrid w:val="0"/>
          <w:kern w:val="0"/>
          <w:sz w:val="24"/>
          <w:szCs w:val="24"/>
          <w:u w:val="single"/>
          <w:lang w:val="zh-CN"/>
        </w:rPr>
        <w:t xml:space="preserve">  物资采购中心  </w:t>
      </w:r>
      <w:r>
        <w:rPr>
          <w:rFonts w:hint="eastAsia" w:cs="Times New Roman" w:asciiTheme="minorEastAsia" w:hAnsiTheme="minorEastAsia"/>
          <w:snapToGrid w:val="0"/>
          <w:kern w:val="0"/>
          <w:sz w:val="24"/>
          <w:szCs w:val="24"/>
          <w:lang w:val="zh-CN"/>
        </w:rPr>
        <w:t>；</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3.“投标人”系指从招标人按规定获取招标文件，并提交投标文件的供应商；</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4.“中标人”系指经过招标评审，授予合同的投标人；</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5.“货物”系指中标人按招标文件规定，所提供的各种形态和种类的物品，包括设备、产品、备品备件、工具、手册等；</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6.“服务”系指中标人按招标文件规定，必须承担的运输、安装、调试、技术协助、培训、维修、配件供应等义务。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（三）合格的投标人</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1.能够遵守国家和军队的有关法律、法规和本次招标的有关规定；</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2.符合《招标公告》所述投标人的资格要求和特定资格条件；</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3.能够承担投标及履约中应承担的全部责任与义务。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（四）合格的货物和相关服务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 xml:space="preserve">1.投标人对所提供的货物应当享有合法的所有权，没有侵犯任何第三方的知识产权、技术秘密等权利，而且不存在任何抵押、留置、查封等产权瑕疵； </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2.投标人提供的货物必须是全新的、未使用过的，货物和相关服务应当符合招标文件要求。</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（五）投标委托</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如投标人代表不是法定代表人，须持有《法定代表人授权书》（</w:t>
      </w:r>
      <w:r>
        <w:rPr>
          <w:rFonts w:hint="eastAsia" w:cs="Times New Roman" w:asciiTheme="minorEastAsia" w:hAnsiTheme="minorEastAsia"/>
          <w:kern w:val="0"/>
          <w:sz w:val="24"/>
          <w:szCs w:val="24"/>
          <w:lang w:val="zh-CN"/>
        </w:rPr>
        <w:t>附件17</w:t>
      </w:r>
      <w:r>
        <w:rPr>
          <w:rFonts w:hint="eastAsia" w:cs="Times New Roman" w:asciiTheme="minorEastAsia" w:hAnsiTheme="minorEastAsia"/>
          <w:snapToGrid w:val="0"/>
          <w:kern w:val="0"/>
          <w:sz w:val="24"/>
          <w:szCs w:val="24"/>
          <w:lang w:val="zh-CN"/>
        </w:rPr>
        <w:t>）。</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（六）付款及结算方式</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2.预留质量保证金为合同总金额的</w:t>
      </w:r>
      <w:r>
        <w:rPr>
          <w:rFonts w:hint="eastAsia" w:cs="Times New Roman" w:asciiTheme="minorEastAsia" w:hAnsiTheme="minorEastAsia"/>
          <w:kern w:val="0"/>
          <w:sz w:val="24"/>
          <w:szCs w:val="24"/>
          <w:u w:val="single"/>
          <w:lang w:val="zh-CN"/>
        </w:rPr>
        <w:t xml:space="preserve">  5%  </w:t>
      </w:r>
      <w:r>
        <w:rPr>
          <w:rFonts w:hint="eastAsia" w:cs="Times New Roman" w:asciiTheme="minorEastAsia" w:hAnsiTheme="minorEastAsia"/>
          <w:kern w:val="0"/>
          <w:sz w:val="24"/>
          <w:szCs w:val="24"/>
          <w:lang w:val="zh-CN"/>
        </w:rPr>
        <w:t>，</w:t>
      </w:r>
      <w:r>
        <w:rPr>
          <w:rFonts w:hint="eastAsia" w:cs="Times New Roman" w:asciiTheme="minorEastAsia" w:hAnsiTheme="minorEastAsia"/>
          <w:kern w:val="0"/>
          <w:sz w:val="24"/>
          <w:szCs w:val="24"/>
        </w:rPr>
        <w:t>自验收合格之日起，</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十二个月 </w:t>
      </w:r>
      <w:r>
        <w:rPr>
          <w:rFonts w:hint="eastAsia" w:cs="Times New Roman" w:asciiTheme="minorEastAsia" w:hAnsiTheme="minorEastAsia"/>
          <w:kern w:val="0"/>
          <w:sz w:val="24"/>
          <w:szCs w:val="24"/>
        </w:rPr>
        <w:t>正常使用且无质量问题时，一次性结清。</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（七）投标费用</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不论投标结果如何，投标人均应自行承担与投标有关的全部费用。</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（八）信息发布</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本采购项目需要公开的有关信息，招标人均同步在《军队采购网》（www.plap.cn）、《中国</w:t>
      </w:r>
      <w:r>
        <w:rPr>
          <w:rFonts w:hint="eastAsia" w:cs="Times New Roman" w:asciiTheme="minorEastAsia" w:hAnsiTheme="minorEastAsia"/>
          <w:snapToGrid w:val="0"/>
          <w:kern w:val="0"/>
          <w:sz w:val="24"/>
          <w:szCs w:val="24"/>
          <w:lang w:val="en-US" w:eastAsia="zh-CN"/>
        </w:rPr>
        <w:t>政府采购</w:t>
      </w:r>
      <w:r>
        <w:rPr>
          <w:rFonts w:hint="eastAsia" w:cs="Times New Roman" w:asciiTheme="minorEastAsia" w:hAnsiTheme="minorEastAsia"/>
          <w:snapToGrid w:val="0"/>
          <w:kern w:val="0"/>
          <w:sz w:val="24"/>
          <w:szCs w:val="24"/>
          <w:lang w:val="zh-CN"/>
        </w:rPr>
        <w:t>网》（</w:t>
      </w:r>
      <w:r>
        <w:rPr>
          <w:rFonts w:hint="eastAsia" w:cs="Times New Roman" w:asciiTheme="minorEastAsia" w:hAnsiTheme="minorEastAsia"/>
          <w:snapToGrid w:val="0"/>
          <w:kern w:val="0"/>
          <w:sz w:val="24"/>
          <w:szCs w:val="24"/>
          <w:lang w:val="zh-CN"/>
        </w:rPr>
        <w:fldChar w:fldCharType="begin"/>
      </w:r>
      <w:r>
        <w:rPr>
          <w:rFonts w:hint="eastAsia" w:cs="Times New Roman" w:asciiTheme="minorEastAsia" w:hAnsiTheme="minorEastAsia"/>
          <w:snapToGrid w:val="0"/>
          <w:kern w:val="0"/>
          <w:sz w:val="24"/>
          <w:szCs w:val="24"/>
          <w:lang w:val="zh-CN"/>
        </w:rPr>
        <w:instrText xml:space="preserve"> HYPERLINK "http://www.zhaobiao.cn" </w:instrText>
      </w:r>
      <w:r>
        <w:rPr>
          <w:rFonts w:hint="eastAsia" w:cs="Times New Roman" w:asciiTheme="minorEastAsia" w:hAnsiTheme="minorEastAsia"/>
          <w:snapToGrid w:val="0"/>
          <w:kern w:val="0"/>
          <w:sz w:val="24"/>
          <w:szCs w:val="24"/>
          <w:lang w:val="zh-CN"/>
        </w:rPr>
        <w:fldChar w:fldCharType="separate"/>
      </w:r>
      <w:r>
        <w:rPr>
          <w:rFonts w:hint="eastAsia" w:cs="Times New Roman" w:asciiTheme="minorEastAsia" w:hAnsiTheme="minorEastAsia"/>
          <w:snapToGrid w:val="0"/>
          <w:kern w:val="0"/>
          <w:sz w:val="24"/>
          <w:szCs w:val="24"/>
          <w:lang w:val="zh-CN"/>
        </w:rPr>
        <w:t>www.</w:t>
      </w:r>
      <w:r>
        <w:rPr>
          <w:rFonts w:hint="eastAsia" w:cs="Times New Roman" w:asciiTheme="minorEastAsia" w:hAnsiTheme="minorEastAsia"/>
          <w:snapToGrid w:val="0"/>
          <w:kern w:val="0"/>
          <w:sz w:val="24"/>
          <w:szCs w:val="24"/>
          <w:lang w:val="en-US" w:eastAsia="zh-CN"/>
        </w:rPr>
        <w:t>ccgp.gov</w:t>
      </w:r>
      <w:r>
        <w:rPr>
          <w:rFonts w:hint="eastAsia" w:cs="Times New Roman" w:asciiTheme="minorEastAsia" w:hAnsiTheme="minorEastAsia"/>
          <w:snapToGrid w:val="0"/>
          <w:kern w:val="0"/>
          <w:sz w:val="24"/>
          <w:szCs w:val="24"/>
          <w:lang w:val="zh-CN"/>
        </w:rPr>
        <w:t>.cn</w:t>
      </w:r>
      <w:r>
        <w:rPr>
          <w:rFonts w:hint="eastAsia" w:cs="Times New Roman" w:asciiTheme="minorEastAsia" w:hAnsiTheme="minorEastAsia"/>
          <w:snapToGrid w:val="0"/>
          <w:kern w:val="0"/>
          <w:sz w:val="24"/>
          <w:szCs w:val="24"/>
          <w:lang w:val="zh-CN"/>
        </w:rPr>
        <w:fldChar w:fldCharType="end"/>
      </w:r>
      <w:r>
        <w:rPr>
          <w:rFonts w:hint="eastAsia" w:cs="Times New Roman" w:asciiTheme="minorEastAsia" w:hAnsiTheme="minorEastAsia"/>
          <w:snapToGrid w:val="0"/>
          <w:kern w:val="0"/>
          <w:sz w:val="24"/>
          <w:szCs w:val="24"/>
          <w:lang w:val="zh-CN"/>
        </w:rPr>
        <w:t>）及我院官网（www.xnyy.cn）公开发布。投标人在参与本采购项目招投标活动期间，请及时关注以上媒体上的相关信息，投标人因没有及时关注而未能如期获取相关信息，将会增加投标风险，招标人对此不承担任何责任。</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二、招标</w:t>
      </w:r>
      <w:r>
        <w:rPr>
          <w:rFonts w:cs="Times New Roman" w:asciiTheme="minorEastAsia" w:hAnsiTheme="minorEastAsia"/>
          <w:kern w:val="0"/>
          <w:sz w:val="24"/>
          <w:szCs w:val="24"/>
        </w:rPr>
        <w:t>文件</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（一）招标文件的内容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招标文件由招标公告、采购项目技术和商务要求、投标人须知、合同样本、附件/投标文件格式等内容构成。</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招标文件以中文编写。纸质招标文件与电子版招标文件具有同等法律效力，两者出现不一致时，以纸质招标文件为准。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（二）招标文件的澄清</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（三）招标文件的修改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1.投标截止时间前，招标人可对已发出的招标文件进行修改。招标文件修改内容是招标文件的组成部分。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三、投标</w:t>
      </w:r>
      <w:r>
        <w:rPr>
          <w:rFonts w:cs="Times New Roman" w:asciiTheme="minorEastAsia" w:hAnsiTheme="minorEastAsia"/>
          <w:kern w:val="0"/>
          <w:sz w:val="24"/>
          <w:szCs w:val="24"/>
        </w:rPr>
        <w:t>文件编制</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（一）注意事项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（二）投标文件的语言及计量单位</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1.投标文件和来往信函均以中文书写。确有需要时，相关内容可以使用其他语言书写，但必须同时提供中文译文，不同语言文本投标文件的解释发生异议的，以中文译文为准。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2.投标文件中所使用的计量单位，除投标文件中有特殊要求外，均采用国家法定计量单位。</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（三）投标文件组成（包括3部分：价格文件、投标书、资格证明文件）</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1.价格文件包括（信封单独封装）：</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(1)开标一览表（附件1）</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(2)分项报价表（附件2）</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2.投标书包括：</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(1)投标函（附件3）</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(2)货物简要说明一览表（附件4）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(3)主要技术性能参数表（附件5）</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(4)技术指标参数响应偏离表（附件6）</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(5)主要商务条款响应偏离表（附件7）</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(6)交货清单（附件8）</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(7)易损易耗件清单（附件9）</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(8)专机配套耗材（试剂）明细表（附件10）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(9)投标人售后服务承诺（附件11）</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(10)生产厂家售后服务承诺（进口设备由总代提供，附件12）</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(11)近3年中标成交案例及同类项目案例（附件13）</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(12)投标产品相关检测报告</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(13)技术评审表（附件14）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(14)商务评审表（附件15）</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(15)投标人认为需要加以说明的其他内容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投标人可以选择性提供其他材料，包括但不限于投标人的质量管理制度、质量检测机构、质量检测设备（提供设备清单和图片），以及第三方质量检测报告等与质量控制相关的证明材料及投标人拟用于履行本项目所必需的设施设备（提供图片、说明和购置发票或租赁协议）、专业技术能力、专业技术人员（提供人员清单和学历、学位或职称证书）的证明材料，仅作为商务、技术评审依据，不作为资格性和符合性审查要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3.资格证明文件包括（除必须要求原件外，其他资料原件和复印件均可）：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(2)法定代表人资格证明书（含法定代表人身份证复印件）（原件，附件16）</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(3)法定代表人授权书（含被授权人身份证复印件）（原件，如法定代表人未到开标现场需提供，附件17）</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(4)主要股东或出资人信息（附件18）</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(5)保密承诺书（附件19）</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r>
        <w:rPr>
          <w:rFonts w:hint="eastAsia" w:cs="Times New Roman" w:asciiTheme="minorEastAsia" w:hAnsiTheme="minorEastAsia"/>
          <w:kern w:val="0"/>
          <w:sz w:val="24"/>
          <w:szCs w:val="24"/>
        </w:rPr>
        <w:t>（附件20）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(7)最近连续6个月缴纳社会保障金的银行转账汇款单或相应证明材料（依法不需要缴纳社会保障资金的投标人，应提供相应文件证明其不需要缴纳社会保障资金）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(8)最近连续6个月纳税的银行转账汇款单或相应证明材料（依法免税的投标人，应提供相应文件证明其依法免税）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(10)相关声明书（包含但不限于以下内容）：①非外资企业或外资控股企业的书面声明；②参加本次采购活动前3年内在经营活动中没有重大违法记录的书面声明。（附件21）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(11)医疗器械经营许可证或二类备案凭证（需具备投标产品经营资格)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(13)生产企业《医疗器械生产许可证》（需具备投标产品生产资格，进口产品提供国内总代理相关经营许可证）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(14)投标产品《医疗器械产品注册证》（所投产品不属于医疗器械的无需提供）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(15)生产企业对代理公司投标授权书（进口产品需提供原产厂家对中国总代的中英文授权书复印件或同步翻译件。附件22）</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(16)投标人认为需要加以说明的其他内容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(17)投标人可以选择性提供其他资格证明文件，包括但不限于质量管理体系认证证书、环境管理体系认证证书、职业健康管理体系认证证书、3C认证、</w:t>
      </w:r>
      <w:r>
        <w:rPr>
          <w:rFonts w:hint="eastAsia" w:asciiTheme="majorEastAsia" w:hAnsiTheme="majorEastAsia" w:eastAsiaTheme="majorEastAsia"/>
          <w:sz w:val="24"/>
          <w:szCs w:val="24"/>
        </w:rPr>
        <w:t>计量器具许可证、消毒产品生产企业卫生许可和消毒卫生产品安全评价报告</w:t>
      </w:r>
      <w:r>
        <w:rPr>
          <w:rFonts w:hint="eastAsia" w:cs="Times New Roman" w:asciiTheme="minorEastAsia" w:hAnsiTheme="minorEastAsia"/>
          <w:kern w:val="0"/>
          <w:sz w:val="24"/>
          <w:szCs w:val="24"/>
        </w:rPr>
        <w:t>等相关行业资质证明材料，仅作为商务、技术评审依据，不作为资格性和符合性审查要素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投标人必须按上述统一格式及顺序向招标人提供《价格文件》《投标书》和《资格证明文件》，否则可能被视为无效投标。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（四）投标文件的格式规定和签署</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w:t>
      </w:r>
      <w:r>
        <w:rPr>
          <w:rFonts w:hint="eastAsia" w:ascii="宋体" w:hAnsi="宋体" w:eastAsia="宋体" w:cs="Times New Roman"/>
          <w:kern w:val="0"/>
          <w:sz w:val="24"/>
          <w:szCs w:val="24"/>
        </w:rPr>
        <w:t>投标文件应当工整、规范、统一、清晰，</w:t>
      </w:r>
      <w:r>
        <w:rPr>
          <w:rFonts w:hint="eastAsia" w:ascii="宋体" w:hAnsi="宋体" w:eastAsia="宋体" w:cs="Times New Roman"/>
          <w:b/>
          <w:kern w:val="0"/>
          <w:sz w:val="24"/>
          <w:szCs w:val="24"/>
        </w:rPr>
        <w:t>采用A4幅面纸胶装成册、标注页码</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2.</w:t>
      </w:r>
      <w:r>
        <w:rPr>
          <w:rFonts w:hint="eastAsia" w:cs="Times New Roman" w:asciiTheme="minorEastAsia" w:hAnsiTheme="minorEastAsia"/>
          <w:kern w:val="0"/>
          <w:sz w:val="24"/>
          <w:szCs w:val="24"/>
        </w:rPr>
        <w:t>投标人应当按照招标文件规定的统一格式填写投标文件，投标文件开始部分应当有目录，以及方便评审委员会评审使用的项目索引。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3.投标人名称应当填写全称，同时加盖单位公章。</w:t>
      </w:r>
    </w:p>
    <w:p>
      <w:pPr>
        <w:adjustRightInd w:val="0"/>
        <w:snapToGrid w:val="0"/>
        <w:spacing w:line="440" w:lineRule="exact"/>
        <w:ind w:firstLine="462" w:firstLineChars="200"/>
        <w:rPr>
          <w:rFonts w:cs="宋体" w:asciiTheme="minorEastAsia" w:hAnsiTheme="minorEastAsia"/>
          <w:snapToGrid w:val="0"/>
          <w:kern w:val="0"/>
          <w:sz w:val="24"/>
          <w:szCs w:val="24"/>
          <w:lang w:val="zh-CN"/>
        </w:rPr>
      </w:pPr>
      <w:r>
        <w:rPr>
          <w:rFonts w:hint="eastAsia" w:cs="Times New Roman" w:asciiTheme="minorEastAsia" w:hAnsiTheme="minorEastAsia"/>
          <w:kern w:val="0"/>
          <w:sz w:val="24"/>
          <w:szCs w:val="24"/>
        </w:rPr>
        <w:t>4.价格文件、投标书、资格证明文件须单独封装。价格文件一式1份，其中正本1份；投标书一式</w:t>
      </w:r>
      <w:r>
        <w:rPr>
          <w:rFonts w:hint="eastAsia" w:cs="Times New Roman" w:asciiTheme="minorEastAsia" w:hAnsiTheme="minorEastAsia"/>
          <w:kern w:val="0"/>
          <w:sz w:val="24"/>
          <w:szCs w:val="24"/>
          <w:u w:val="single"/>
        </w:rPr>
        <w:t xml:space="preserve"> 7 </w:t>
      </w:r>
      <w:r>
        <w:rPr>
          <w:rFonts w:hint="eastAsia" w:cs="Times New Roman" w:asciiTheme="minorEastAsia" w:hAnsiTheme="minorEastAsia"/>
          <w:kern w:val="0"/>
          <w:sz w:val="24"/>
          <w:szCs w:val="24"/>
        </w:rPr>
        <w:t>份，其中正本1份，副本</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份；资格证明文件一式</w:t>
      </w:r>
      <w:r>
        <w:rPr>
          <w:rFonts w:hint="eastAsia" w:cs="Times New Roman" w:asciiTheme="minorEastAsia" w:hAnsiTheme="minorEastAsia"/>
          <w:kern w:val="0"/>
          <w:sz w:val="24"/>
          <w:szCs w:val="24"/>
          <w:u w:val="single"/>
        </w:rPr>
        <w:t xml:space="preserve"> 3 </w:t>
      </w:r>
      <w:r>
        <w:rPr>
          <w:rFonts w:hint="eastAsia" w:cs="Times New Roman" w:asciiTheme="minorEastAsia" w:hAnsiTheme="minorEastAsia"/>
          <w:kern w:val="0"/>
          <w:sz w:val="24"/>
          <w:szCs w:val="24"/>
        </w:rPr>
        <w:t>份，其中正本1份，副本</w:t>
      </w:r>
      <w:r>
        <w:rPr>
          <w:rFonts w:hint="eastAsia" w:cs="Times New Roman" w:asciiTheme="minorEastAsia" w:hAnsiTheme="minorEastAsia"/>
          <w:kern w:val="0"/>
          <w:sz w:val="24"/>
          <w:szCs w:val="24"/>
          <w:u w:val="single"/>
        </w:rPr>
        <w:t xml:space="preserve"> 2 </w:t>
      </w:r>
      <w:r>
        <w:rPr>
          <w:rFonts w:hint="eastAsia" w:cs="Times New Roman" w:asciiTheme="minorEastAsia" w:hAnsiTheme="minorEastAsia"/>
          <w:kern w:val="0"/>
          <w:sz w:val="24"/>
          <w:szCs w:val="24"/>
        </w:rPr>
        <w:t>份。在每一份文件上要注明“正本”或“副本”字样。如果正本与副本不符，以正本为准。</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5.投标文件必须打印或用黑色、蓝黑色墨水填写。</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6.开标一览表必须按照规定的格式填写，不得自行增减内容。</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7.投标文件必须由法定代表人或授权代表签署。</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8.投标文件不得随意涂改和增删。如有修改错漏之处，必须由法定代表人或授权代表签字、盖章。</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8.投标文件</w:t>
      </w:r>
      <w:r>
        <w:rPr>
          <w:rFonts w:hint="eastAsia" w:cs="Times New Roman" w:asciiTheme="minorEastAsia" w:hAnsiTheme="minorEastAsia"/>
          <w:kern w:val="0"/>
          <w:sz w:val="24"/>
          <w:szCs w:val="24"/>
          <w:lang w:val="zh-CN"/>
        </w:rPr>
        <w:t>因字迹潦草或表述不清以及复印件不清所引起的后果由投标人自行负责</w:t>
      </w:r>
      <w:r>
        <w:rPr>
          <w:rFonts w:hint="eastAsia" w:cs="Times New Roman" w:asciiTheme="minorEastAsia" w:hAnsiTheme="minorEastAsia"/>
          <w:kern w:val="0"/>
          <w:sz w:val="24"/>
          <w:szCs w:val="24"/>
        </w:rPr>
        <w:t>。</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rPr>
        <w:t>（五）</w:t>
      </w:r>
      <w:r>
        <w:rPr>
          <w:rFonts w:hint="eastAsia" w:cs="Times New Roman" w:asciiTheme="minorEastAsia" w:hAnsiTheme="minorEastAsia"/>
          <w:snapToGrid w:val="0"/>
          <w:kern w:val="0"/>
          <w:sz w:val="24"/>
          <w:szCs w:val="24"/>
        </w:rPr>
        <w:t>投标文件有效期</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snapToGrid w:val="0"/>
          <w:kern w:val="0"/>
          <w:sz w:val="24"/>
          <w:szCs w:val="24"/>
        </w:rPr>
        <w:t>1.</w:t>
      </w:r>
      <w:r>
        <w:rPr>
          <w:rFonts w:hint="eastAsia" w:cs="Times New Roman" w:asciiTheme="minorEastAsia" w:hAnsiTheme="minorEastAsia"/>
          <w:kern w:val="0"/>
          <w:sz w:val="24"/>
          <w:szCs w:val="24"/>
          <w:lang w:val="zh-CN"/>
        </w:rPr>
        <w:t>投标文件自投标截止时间起</w:t>
      </w:r>
      <w:r>
        <w:rPr>
          <w:rFonts w:hint="eastAsia" w:cs="宋体" w:asciiTheme="minorEastAsia" w:hAnsiTheme="minorEastAsia"/>
          <w:snapToGrid w:val="0"/>
          <w:kern w:val="0"/>
          <w:sz w:val="24"/>
          <w:szCs w:val="24"/>
          <w:lang w:val="zh-CN"/>
        </w:rPr>
        <w:t>180</w:t>
      </w:r>
      <w:r>
        <w:rPr>
          <w:rFonts w:hint="eastAsia" w:cs="Times New Roman" w:asciiTheme="minorEastAsia" w:hAnsiTheme="minorEastAsia"/>
          <w:kern w:val="0"/>
          <w:sz w:val="24"/>
          <w:szCs w:val="24"/>
          <w:lang w:val="zh-CN"/>
        </w:rPr>
        <w:t>日内保持有效。</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2.投标文件有效期需要延长的，招标人可与投标人进行协商，并以书面形式予以确认。同意延长有效期的投标人不能修改投标文件。</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3.在招标过程中</w:t>
      </w:r>
      <w:r>
        <w:rPr>
          <w:rFonts w:hint="eastAsia" w:cs="Times New Roman" w:asciiTheme="minorEastAsia" w:hAnsiTheme="minorEastAsia"/>
          <w:kern w:val="0"/>
          <w:sz w:val="24"/>
          <w:szCs w:val="24"/>
        </w:rPr>
        <w:t>，投标人发生合并、分立、破产等重大变化时，应当及时书面告知招标人。</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rPr>
        <w:t>（六）投标</w:t>
      </w:r>
      <w:r>
        <w:rPr>
          <w:rFonts w:hint="eastAsia" w:cs="Times New Roman" w:asciiTheme="minorEastAsia" w:hAnsiTheme="minorEastAsia"/>
          <w:snapToGrid w:val="0"/>
          <w:kern w:val="0"/>
          <w:sz w:val="24"/>
          <w:szCs w:val="24"/>
        </w:rPr>
        <w:t>报价</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1.</w:t>
      </w:r>
      <w:r>
        <w:rPr>
          <w:rFonts w:hint="eastAsia" w:cs="Times New Roman" w:asciiTheme="minorEastAsia" w:hAnsiTheme="minorEastAsia"/>
          <w:kern w:val="0"/>
          <w:sz w:val="24"/>
          <w:szCs w:val="24"/>
          <w:lang w:val="zh-CN"/>
        </w:rPr>
        <w:t>所有报价均以人民币为货币单位</w:t>
      </w:r>
      <w:r>
        <w:rPr>
          <w:rFonts w:hint="eastAsia" w:cs="Times New Roman" w:asciiTheme="minorEastAsia" w:hAnsiTheme="minorEastAsia"/>
          <w:kern w:val="0"/>
          <w:sz w:val="24"/>
          <w:szCs w:val="24"/>
        </w:rPr>
        <w:t>。</w:t>
      </w:r>
    </w:p>
    <w:p>
      <w:pPr>
        <w:tabs>
          <w:tab w:val="left" w:pos="-1418"/>
        </w:tabs>
        <w:autoSpaceDE w:val="0"/>
        <w:autoSpaceDN w:val="0"/>
        <w:adjustRightInd w:val="0"/>
        <w:snapToGrid w:val="0"/>
        <w:spacing w:line="440" w:lineRule="exact"/>
        <w:ind w:firstLine="462" w:firstLineChars="200"/>
        <w:rPr>
          <w:rFonts w:cs="宋体" w:asciiTheme="minorEastAsia" w:hAnsiTheme="minorEastAsia"/>
          <w:snapToGrid w:val="0"/>
          <w:kern w:val="0"/>
          <w:sz w:val="24"/>
          <w:szCs w:val="24"/>
          <w:lang w:val="zh-CN"/>
        </w:rPr>
      </w:pPr>
      <w:r>
        <w:rPr>
          <w:rFonts w:hint="eastAsia" w:cs="Times New Roman" w:asciiTheme="minorEastAsia" w:hAnsiTheme="minorEastAsia"/>
          <w:kern w:val="0"/>
          <w:sz w:val="24"/>
          <w:szCs w:val="24"/>
        </w:rPr>
        <w:t>2.</w:t>
      </w:r>
      <w:r>
        <w:rPr>
          <w:rFonts w:hint="eastAsia" w:cs="Times New Roman" w:asciiTheme="minorEastAsia" w:hAnsiTheme="minorEastAsia"/>
          <w:kern w:val="0"/>
          <w:sz w:val="24"/>
          <w:szCs w:val="24"/>
          <w:lang w:val="zh-CN"/>
        </w:rPr>
        <w:t>所有单价和总价按照开标一览表格式要求填报。</w:t>
      </w:r>
      <w:r>
        <w:rPr>
          <w:rFonts w:hint="eastAsia" w:cs="宋体" w:asciiTheme="minorEastAsia" w:hAnsiTheme="minorEastAsia"/>
          <w:snapToGrid w:val="0"/>
          <w:kern w:val="0"/>
          <w:sz w:val="24"/>
          <w:szCs w:val="24"/>
          <w:lang w:val="zh-CN"/>
        </w:rPr>
        <w:t>报价应包括货款、标准附件、备品备件、专用工具、包装、安装、调试、培训、保修等费用和税金。</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宋体" w:asciiTheme="minorEastAsia" w:hAnsiTheme="minorEastAsia"/>
          <w:snapToGrid w:val="0"/>
          <w:kern w:val="0"/>
          <w:sz w:val="24"/>
          <w:szCs w:val="24"/>
          <w:lang w:val="zh-CN"/>
        </w:rPr>
        <w:t>3.</w:t>
      </w:r>
      <w:r>
        <w:rPr>
          <w:rFonts w:hint="eastAsia" w:cs="Times New Roman" w:asciiTheme="minorEastAsia" w:hAnsiTheme="minorEastAsia"/>
          <w:kern w:val="0"/>
          <w:sz w:val="24"/>
          <w:szCs w:val="24"/>
          <w:lang w:val="zh-CN"/>
        </w:rPr>
        <w:t>投标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投标文件的解释发生异议的，以中文文本为准。投标人不接受以上修正的视为无效投标。</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4.投标人</w:t>
      </w:r>
      <w:r>
        <w:rPr>
          <w:rFonts w:hint="eastAsia" w:cs="Times New Roman" w:asciiTheme="minorEastAsia" w:hAnsiTheme="minorEastAsia"/>
          <w:kern w:val="0"/>
          <w:sz w:val="24"/>
          <w:szCs w:val="24"/>
        </w:rPr>
        <w:t>对同一种货物只允许有一种报价，招标人不接受任何有选择的报价或者有附加条件的报价。</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评审委员会对投标人每个项目各品种物资报价进行评定。若五分之四以上评委认定报价或者重要分项报价明显不合理或者低于成本，有可能影响产品质量和不能诚信履约的，评审委员会应当要求其在规定时限内提供书面文件予以解释说明，并提交相关证明材料，否则评审委员会有权视其为低价恶意竞争，其投标报价无效。</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四、投标</w:t>
      </w:r>
      <w:r>
        <w:rPr>
          <w:rFonts w:cs="Times New Roman" w:asciiTheme="minorEastAsia" w:hAnsiTheme="minorEastAsia"/>
          <w:kern w:val="0"/>
          <w:sz w:val="24"/>
          <w:szCs w:val="24"/>
        </w:rPr>
        <w:t>文件递交</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（一）投标文件密封及标记</w:t>
      </w:r>
    </w:p>
    <w:p>
      <w:pPr>
        <w:adjustRightInd w:val="0"/>
        <w:snapToGrid w:val="0"/>
        <w:spacing w:line="440" w:lineRule="exact"/>
        <w:ind w:firstLine="462" w:firstLineChars="200"/>
        <w:rPr>
          <w:rFonts w:asciiTheme="minorEastAsia" w:hAnsiTheme="minorEastAsia"/>
          <w:sz w:val="24"/>
          <w:szCs w:val="24"/>
        </w:rPr>
      </w:pPr>
      <w:r>
        <w:rPr>
          <w:rFonts w:hint="eastAsia" w:cs="Times New Roman" w:asciiTheme="minorEastAsia" w:hAnsiTheme="minorEastAsia"/>
          <w:snapToGrid w:val="0"/>
          <w:kern w:val="0"/>
          <w:sz w:val="24"/>
          <w:szCs w:val="24"/>
        </w:rPr>
        <w:t>1.</w:t>
      </w:r>
      <w:r>
        <w:rPr>
          <w:rFonts w:hint="eastAsia" w:asciiTheme="minorEastAsia" w:hAnsiTheme="minorEastAsia"/>
          <w:sz w:val="24"/>
          <w:szCs w:val="24"/>
        </w:rPr>
        <w:t>价格文件须单独密封、单独递交，与其他文件合并封装的，视为无效投标。</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2.投标书、资格证明文件的正本和副本统一装入密封袋内，封口处应当有投标人单位公章，封面上注明“项目名称、项目编号、所投包号、投标人名称”和“开标时启封”字样。</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3.投标人应当在招标文件明确的递交投标文件截止时间前，将投标文件送达招标人指定地点。逾期递交的投标文件，招标人将拒收。</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4.电报、电话、电传、邮寄等形式的投标文件概不接受。</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5.投标文件未按要求密封、标记的，招标人将拒收。</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lang w:val="zh-CN"/>
        </w:rPr>
        <w:t>（二）</w:t>
      </w:r>
      <w:r>
        <w:rPr>
          <w:rFonts w:hint="eastAsia" w:cs="Times New Roman" w:asciiTheme="minorEastAsia" w:hAnsiTheme="minorEastAsia"/>
          <w:snapToGrid w:val="0"/>
          <w:kern w:val="0"/>
          <w:sz w:val="24"/>
          <w:szCs w:val="24"/>
        </w:rPr>
        <w:t>投标文件的修改和撤回</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2.在投标截止时间之后，招标人将不接受对投标文件内容的实质性修改。</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3.投标人修改投标文件的书面材料，须密封送达投标地点，并在封面上标明“投标修改文件、项目名称、项目编号、投标人名称”和“开标时启封”字样。</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5.开标后，投标人不得撤回投标。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五、开标与评标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（一）开标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w:t>
      </w:r>
      <w:r>
        <w:rPr>
          <w:rFonts w:hint="eastAsia" w:ascii="宋体" w:hAnsi="宋体" w:eastAsia="宋体" w:cs="Times New Roman"/>
          <w:snapToGrid w:val="0"/>
          <w:kern w:val="0"/>
          <w:sz w:val="24"/>
          <w:szCs w:val="24"/>
        </w:rPr>
        <w:t>投标人不足3家的不得开标，除改用比照竞争性谈判或者单一来源方式外，不得拆封供应商投标文件，并当场退还供应商</w:t>
      </w:r>
      <w:r>
        <w:rPr>
          <w:rFonts w:hint="eastAsia" w:cs="Times New Roman" w:asciiTheme="minorEastAsia" w:hAnsiTheme="minorEastAsia"/>
          <w:snapToGrid w:val="0"/>
          <w:kern w:val="0"/>
          <w:sz w:val="24"/>
          <w:szCs w:val="24"/>
        </w:rPr>
        <w:t>。</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2.招标人按招标文件规定的时间、地点开标。开标大会由招标人主持，投标人和有关方面代表参加。评审委员会成员不得参加开标大会。</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4.投标人对开标有异议的，应当在开标现场提出，招标人应当场作出答复。招标人同时做开标记录。</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（二）评标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1.评审委员会</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招标人根据规定组建评审委员会，其成员由技术、经济等方面的专家和招标人代表组成，分为技术评审组和商务评审组，对投标文件进行评审。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2.评标原则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(1)评标工作严格遵守公平、公正、择优的原则；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(2)对所有响应招标文件实质性要求的投标人一视同仁；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(3)综合比较货物性能、质量、价格、交货期、售后服务等因素，确定评审排序结果；</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(4)报价最低不作为中标的保证。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3.评标方法</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综合评分法。技术和商务评审总得分由高到低顺序排列，得分最高的投标人作为预中标人；得分相同的，按照投标报价由低到高顺序排列；得分且投标报价相同的，按照技术评审得分由高到低顺序排列。</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评审委员会成员技术、商务（不含价格因素）最终评分偏离评审委员会全体成员评分均值±20%的，该成员的评分将被剔除，以其他评委的评分均值计算，作为该成员的评分计入总分值；评审委员会所有成员评分均超出±20%时，直接以全体成员评分均值计算，不再剔除。</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投标人报价高于采购预算的，不得推荐为</w:t>
      </w:r>
      <w:r>
        <w:rPr>
          <w:rFonts w:hint="eastAsia" w:cs="Times New Roman" w:asciiTheme="minorEastAsia" w:hAnsiTheme="minorEastAsia"/>
          <w:sz w:val="24"/>
          <w:szCs w:val="24"/>
        </w:rPr>
        <w:t>预中标人</w:t>
      </w:r>
      <w:r>
        <w:rPr>
          <w:rFonts w:hint="eastAsia" w:ascii="宋体" w:hAnsi="宋体" w:eastAsia="宋体" w:cs="Times New Roman"/>
          <w:kern w:val="0"/>
          <w:sz w:val="24"/>
          <w:szCs w:val="24"/>
        </w:rPr>
        <w:t>（经采购管理部门批准同意的除外）。</w:t>
      </w:r>
    </w:p>
    <w:p>
      <w:pPr>
        <w:adjustRightInd w:val="0"/>
        <w:snapToGrid w:val="0"/>
        <w:spacing w:line="440" w:lineRule="exact"/>
        <w:ind w:firstLine="462" w:firstLineChars="200"/>
        <w:rPr>
          <w:rFonts w:cs="Times New Roman" w:asciiTheme="minorEastAsia" w:hAnsiTheme="minorEastAsia"/>
          <w:sz w:val="24"/>
          <w:szCs w:val="24"/>
        </w:rPr>
      </w:pPr>
    </w:p>
    <w:p>
      <w:pPr>
        <w:adjustRightInd w:val="0"/>
        <w:snapToGrid w:val="0"/>
        <w:spacing w:line="440" w:lineRule="exact"/>
        <w:ind w:firstLine="227" w:firstLineChars="98"/>
        <w:rPr>
          <w:rFonts w:ascii="黑体" w:hAnsi="黑体" w:eastAsia="黑体" w:cs="Times New Roman"/>
          <w:kern w:val="0"/>
          <w:sz w:val="32"/>
          <w:szCs w:val="32"/>
        </w:rPr>
      </w:pPr>
      <w:r>
        <w:rPr>
          <w:rFonts w:cs="Times New Roman" w:asciiTheme="minorEastAsia" w:hAnsiTheme="minorEastAsia"/>
          <w:color w:val="3366FF"/>
          <w:kern w:val="0"/>
          <w:sz w:val="24"/>
          <w:szCs w:val="24"/>
        </w:rPr>
        <w:br w:type="page"/>
      </w:r>
      <w:r>
        <w:rPr>
          <w:rFonts w:hint="eastAsia" w:ascii="黑体" w:hAnsi="黑体" w:eastAsia="黑体" w:cs="Times New Roman"/>
          <w:kern w:val="0"/>
          <w:sz w:val="32"/>
          <w:szCs w:val="32"/>
        </w:rPr>
        <w:t>表1</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资格性和符合性审查表</w:t>
      </w:r>
    </w:p>
    <w:p>
      <w:pPr>
        <w:adjustRightInd w:val="0"/>
        <w:snapToGrid w:val="0"/>
        <w:spacing w:line="440" w:lineRule="exact"/>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项目名称：                   </w:t>
      </w:r>
      <w:r>
        <w:rPr>
          <w:rFonts w:hint="eastAsia" w:ascii="Times New Roman" w:hAnsi="Times New Roman" w:eastAsia="宋体" w:cs="Times New Roman"/>
          <w:kern w:val="0"/>
          <w:sz w:val="24"/>
          <w:szCs w:val="24"/>
        </w:rPr>
        <w:t xml:space="preserve">     </w:t>
      </w:r>
      <w:r>
        <w:rPr>
          <w:rFonts w:ascii="Times New Roman" w:hAnsi="Times New Roman" w:eastAsia="宋体" w:cs="Times New Roman"/>
          <w:kern w:val="0"/>
          <w:sz w:val="24"/>
          <w:szCs w:val="24"/>
        </w:rPr>
        <w:t xml:space="preserve">项目编号：                            </w:t>
      </w:r>
      <w:r>
        <w:rPr>
          <w:rFonts w:hint="eastAsia" w:ascii="Times New Roman" w:hAnsi="Times New Roman" w:eastAsia="宋体" w:cs="Times New Roman"/>
          <w:kern w:val="0"/>
          <w:sz w:val="24"/>
          <w:szCs w:val="24"/>
        </w:rPr>
        <w:t xml:space="preserve"> </w:t>
      </w:r>
    </w:p>
    <w:tbl>
      <w:tblPr>
        <w:tblStyle w:val="17"/>
        <w:tblW w:w="5339" w:type="pct"/>
        <w:jc w:val="center"/>
        <w:tblLayout w:type="fixed"/>
        <w:tblCellMar>
          <w:top w:w="0" w:type="dxa"/>
          <w:left w:w="108" w:type="dxa"/>
          <w:bottom w:w="0" w:type="dxa"/>
          <w:right w:w="108" w:type="dxa"/>
        </w:tblCellMar>
      </w:tblPr>
      <w:tblGrid>
        <w:gridCol w:w="9675"/>
      </w:tblGrid>
      <w:tr>
        <w:tblPrEx>
          <w:tblCellMar>
            <w:top w:w="0" w:type="dxa"/>
            <w:left w:w="108" w:type="dxa"/>
            <w:bottom w:w="0" w:type="dxa"/>
            <w:right w:w="108" w:type="dxa"/>
          </w:tblCellMar>
        </w:tblPrEx>
        <w:trPr>
          <w:trHeight w:val="454" w:hRule="exact"/>
          <w:jc w:val="center"/>
        </w:trPr>
        <w:tc>
          <w:tcPr>
            <w:tcW w:w="96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审查项目</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bCs/>
                <w:kern w:val="0"/>
                <w:szCs w:val="21"/>
              </w:rPr>
              <w:t>一、资格性审查内容</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1.工商营业执照（三证合一）（成立时间、注册资金）</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2.法定代表人资格证明书和授权书</w:t>
            </w:r>
            <w:r>
              <w:rPr>
                <w:rFonts w:hint="eastAsia" w:cs="Times New Roman" w:asciiTheme="minorEastAsia" w:hAnsiTheme="minorEastAsia"/>
                <w:kern w:val="0"/>
                <w:szCs w:val="21"/>
              </w:rPr>
              <w:t>（含法定代表人身份证复印件）</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3.主要股东或出资人信息</w:t>
            </w:r>
            <w:r>
              <w:rPr>
                <w:rFonts w:hint="eastAsia" w:cs="Times New Roman" w:asciiTheme="minorEastAsia" w:hAnsiTheme="minorEastAsia"/>
                <w:kern w:val="0"/>
                <w:szCs w:val="21"/>
              </w:rPr>
              <w:t>（含被授权人身份证复印件）</w:t>
            </w:r>
          </w:p>
        </w:tc>
      </w:tr>
      <w:tr>
        <w:tblPrEx>
          <w:tblCellMar>
            <w:top w:w="0" w:type="dxa"/>
            <w:left w:w="108" w:type="dxa"/>
            <w:bottom w:w="0" w:type="dxa"/>
            <w:right w:w="108" w:type="dxa"/>
          </w:tblCellMar>
        </w:tblPrEx>
        <w:trPr>
          <w:trHeight w:val="655"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4.最近连续6个月缴纳社会保障金的银行转账汇款单或相应证明材料</w:t>
            </w:r>
            <w:r>
              <w:rPr>
                <w:rFonts w:hint="eastAsia" w:cs="Times New Roman" w:asciiTheme="minorEastAsia" w:hAnsiTheme="minorEastAsia"/>
                <w:kern w:val="0"/>
                <w:szCs w:val="21"/>
              </w:rPr>
              <w:t>（依法不需要缴纳社会保障资金的投标人，应提供相应文件证明其不需要缴纳社会保障资金）</w:t>
            </w:r>
          </w:p>
        </w:tc>
      </w:tr>
      <w:tr>
        <w:tblPrEx>
          <w:tblCellMar>
            <w:top w:w="0" w:type="dxa"/>
            <w:left w:w="108" w:type="dxa"/>
            <w:bottom w:w="0" w:type="dxa"/>
            <w:right w:w="108" w:type="dxa"/>
          </w:tblCellMar>
        </w:tblPrEx>
        <w:trPr>
          <w:trHeight w:val="707"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5.最近连续6个月纳税的银行转账汇款单或相应证明材料</w:t>
            </w:r>
            <w:r>
              <w:rPr>
                <w:rFonts w:hint="eastAsia" w:cs="Times New Roman" w:asciiTheme="minorEastAsia" w:hAnsiTheme="minorEastAsia"/>
                <w:kern w:val="0"/>
                <w:szCs w:val="21"/>
              </w:rPr>
              <w:t>（依法免税的投标人，应提供相应文件证明其依法免税）</w:t>
            </w:r>
          </w:p>
        </w:tc>
      </w:tr>
      <w:tr>
        <w:tblPrEx>
          <w:tblCellMar>
            <w:top w:w="0" w:type="dxa"/>
            <w:left w:w="108" w:type="dxa"/>
            <w:bottom w:w="0" w:type="dxa"/>
            <w:right w:w="108" w:type="dxa"/>
          </w:tblCellMar>
        </w:tblPrEx>
        <w:trPr>
          <w:trHeight w:val="992"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6.</w:t>
            </w:r>
            <w:r>
              <w:rPr>
                <w:rFonts w:hint="eastAsia" w:cs="Times New Roman" w:asciiTheme="minorEastAsia" w:hAnsiTheme="minorEastAsia"/>
                <w:kern w:val="0"/>
                <w:szCs w:val="21"/>
              </w:rPr>
              <w:t>良好的商业信誉和健全的财务会计制度证明材料：会计师事务所出具的近3年（不足3年以成立日期起算）审计报告主要内容或公司财务报表，至少包含资产负债表、利润表、现金流量表</w:t>
            </w:r>
          </w:p>
        </w:tc>
      </w:tr>
      <w:tr>
        <w:tblPrEx>
          <w:tblCellMar>
            <w:top w:w="0" w:type="dxa"/>
            <w:left w:w="108" w:type="dxa"/>
            <w:bottom w:w="0" w:type="dxa"/>
            <w:right w:w="108" w:type="dxa"/>
          </w:tblCellMar>
        </w:tblPrEx>
        <w:trPr>
          <w:trHeight w:val="677"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7.</w:t>
            </w:r>
            <w:r>
              <w:rPr>
                <w:rFonts w:hint="eastAsia" w:cs="Times New Roman" w:asciiTheme="minorEastAsia" w:hAnsiTheme="minorEastAsia"/>
                <w:kern w:val="0"/>
                <w:szCs w:val="21"/>
              </w:rPr>
              <w:t>相关声明书：</w:t>
            </w:r>
            <w:r>
              <w:rPr>
                <w:rFonts w:hint="eastAsia" w:cs="宋体" w:asciiTheme="minorEastAsia" w:hAnsiTheme="minorEastAsia"/>
                <w:kern w:val="0"/>
                <w:szCs w:val="21"/>
              </w:rPr>
              <w:t>非外资企业或外资控股企业的书面声明；参加本次采购活动前3年内在经营活动中没有重大违法记录的书面声明</w:t>
            </w:r>
          </w:p>
        </w:tc>
      </w:tr>
      <w:tr>
        <w:tblPrEx>
          <w:tblCellMar>
            <w:top w:w="0" w:type="dxa"/>
            <w:left w:w="108" w:type="dxa"/>
            <w:bottom w:w="0" w:type="dxa"/>
            <w:right w:w="108" w:type="dxa"/>
          </w:tblCellMar>
        </w:tblPrEx>
        <w:trPr>
          <w:trHeight w:val="44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8.医疗器械经营许可证或二类备案凭证</w:t>
            </w:r>
            <w:r>
              <w:rPr>
                <w:rFonts w:hint="eastAsia" w:cs="Times New Roman" w:asciiTheme="minorEastAsia" w:hAnsiTheme="minorEastAsia"/>
                <w:kern w:val="0"/>
                <w:szCs w:val="21"/>
              </w:rPr>
              <w:t>（需具备投标产品经营资格；所投产品不属于医疗器械的无需提供)</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9.生产企业营业执照（进口产品需提供国内总代理营业执照）</w:t>
            </w:r>
          </w:p>
        </w:tc>
      </w:tr>
      <w:tr>
        <w:tblPrEx>
          <w:tblCellMar>
            <w:top w:w="0" w:type="dxa"/>
            <w:left w:w="108" w:type="dxa"/>
            <w:bottom w:w="0" w:type="dxa"/>
            <w:right w:w="108" w:type="dxa"/>
          </w:tblCellMar>
        </w:tblPrEx>
        <w:trPr>
          <w:trHeight w:val="669" w:hRule="exact"/>
          <w:jc w:val="center"/>
        </w:trPr>
        <w:tc>
          <w:tcPr>
            <w:tcW w:w="9675" w:type="dxa"/>
            <w:tcBorders>
              <w:top w:val="nil"/>
              <w:left w:val="single" w:color="auto" w:sz="4" w:space="0"/>
              <w:bottom w:val="single" w:color="auto" w:sz="4" w:space="0"/>
              <w:right w:val="single" w:color="auto" w:sz="4" w:space="0"/>
            </w:tcBorders>
            <w:vAlign w:val="center"/>
          </w:tcPr>
          <w:p>
            <w:pPr>
              <w:adjustRightInd w:val="0"/>
              <w:snapToGrid w:val="0"/>
              <w:spacing w:line="320" w:lineRule="atLeast"/>
              <w:rPr>
                <w:rFonts w:cs="Times New Roman" w:asciiTheme="minorEastAsia" w:hAnsiTheme="minorEastAsia"/>
                <w:kern w:val="0"/>
                <w:szCs w:val="21"/>
              </w:rPr>
            </w:pPr>
            <w:r>
              <w:rPr>
                <w:rFonts w:hint="eastAsia" w:cs="宋体" w:asciiTheme="minorEastAsia" w:hAnsiTheme="minorEastAsia"/>
                <w:kern w:val="0"/>
                <w:szCs w:val="21"/>
              </w:rPr>
              <w:t>10.生产企业《医疗器械生产许可证》</w:t>
            </w:r>
            <w:r>
              <w:rPr>
                <w:rFonts w:hint="eastAsia" w:cs="Times New Roman" w:asciiTheme="minorEastAsia" w:hAnsiTheme="minorEastAsia"/>
                <w:kern w:val="0"/>
                <w:szCs w:val="21"/>
              </w:rPr>
              <w:t>（需具备投标产品生产资格，进口产品提供国内总代理相关经营许可证；所投产品不属于医疗器械的无需提供）</w:t>
            </w:r>
          </w:p>
          <w:p>
            <w:pPr>
              <w:widowControl/>
              <w:adjustRightInd w:val="0"/>
              <w:snapToGrid w:val="0"/>
              <w:spacing w:line="320" w:lineRule="atLeast"/>
              <w:rPr>
                <w:rFonts w:cs="宋体" w:asciiTheme="minorEastAsia" w:hAnsiTheme="minorEastAsia"/>
                <w:kern w:val="0"/>
                <w:szCs w:val="21"/>
              </w:rPr>
            </w:pP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11.投标产品《医疗器械产品注册证》</w:t>
            </w:r>
            <w:r>
              <w:rPr>
                <w:rFonts w:hint="eastAsia" w:cs="Times New Roman" w:asciiTheme="minorEastAsia" w:hAnsiTheme="minorEastAsia"/>
                <w:kern w:val="0"/>
                <w:szCs w:val="21"/>
              </w:rPr>
              <w:t>（所投产品不属于医疗器械的无需提供）</w:t>
            </w:r>
          </w:p>
        </w:tc>
      </w:tr>
      <w:tr>
        <w:tblPrEx>
          <w:tblCellMar>
            <w:top w:w="0" w:type="dxa"/>
            <w:left w:w="108" w:type="dxa"/>
            <w:bottom w:w="0" w:type="dxa"/>
            <w:right w:w="108" w:type="dxa"/>
          </w:tblCellMar>
        </w:tblPrEx>
        <w:trPr>
          <w:trHeight w:val="689" w:hRule="exact"/>
          <w:jc w:val="center"/>
        </w:trPr>
        <w:tc>
          <w:tcPr>
            <w:tcW w:w="9675" w:type="dxa"/>
            <w:tcBorders>
              <w:top w:val="nil"/>
              <w:left w:val="single" w:color="auto" w:sz="4" w:space="0"/>
              <w:bottom w:val="single" w:color="auto" w:sz="4" w:space="0"/>
              <w:right w:val="single" w:color="auto" w:sz="4" w:space="0"/>
            </w:tcBorders>
            <w:vAlign w:val="center"/>
          </w:tcPr>
          <w:p>
            <w:pPr>
              <w:adjustRightInd w:val="0"/>
              <w:snapToGrid w:val="0"/>
              <w:spacing w:line="320" w:lineRule="atLeast"/>
              <w:rPr>
                <w:rFonts w:cs="Times New Roman" w:asciiTheme="minorEastAsia" w:hAnsiTheme="minorEastAsia"/>
                <w:kern w:val="0"/>
                <w:szCs w:val="21"/>
              </w:rPr>
            </w:pPr>
            <w:r>
              <w:rPr>
                <w:rFonts w:hint="eastAsia" w:cs="宋体" w:asciiTheme="minorEastAsia" w:hAnsiTheme="minorEastAsia"/>
                <w:kern w:val="0"/>
                <w:szCs w:val="21"/>
              </w:rPr>
              <w:t>12.生产企业对代理公司投标授权书</w:t>
            </w:r>
            <w:r>
              <w:rPr>
                <w:rFonts w:hint="eastAsia" w:cs="Times New Roman" w:asciiTheme="minorEastAsia" w:hAnsiTheme="minorEastAsia"/>
                <w:kern w:val="0"/>
                <w:szCs w:val="21"/>
              </w:rPr>
              <w:t>（进口产品需提供原产厂家对中国总代的中英文授权书复印件或同步翻译件）</w:t>
            </w:r>
          </w:p>
          <w:p>
            <w:pPr>
              <w:widowControl/>
              <w:adjustRightInd w:val="0"/>
              <w:snapToGrid w:val="0"/>
              <w:spacing w:line="320" w:lineRule="atLeast"/>
              <w:rPr>
                <w:rFonts w:cs="宋体" w:asciiTheme="minorEastAsia" w:hAnsiTheme="minorEastAsia"/>
                <w:kern w:val="0"/>
                <w:szCs w:val="21"/>
              </w:rPr>
            </w:pP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13.保密承诺书及廉洁诚信承诺书</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二、符合性审查内容</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1.投标书、资格证明文件密封完好</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2.投标文件签署、盖章齐全完整</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3.投标文件组成齐全完整</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4.投标文件有效期满足招标文件要求</w:t>
            </w:r>
          </w:p>
        </w:tc>
      </w:tr>
      <w:tr>
        <w:tblPrEx>
          <w:tblCellMar>
            <w:top w:w="0" w:type="dxa"/>
            <w:left w:w="108" w:type="dxa"/>
            <w:bottom w:w="0" w:type="dxa"/>
            <w:right w:w="108" w:type="dxa"/>
          </w:tblCellMar>
        </w:tblPrEx>
        <w:trPr>
          <w:trHeight w:val="454" w:hRule="exact"/>
          <w:jc w:val="center"/>
        </w:trPr>
        <w:tc>
          <w:tcPr>
            <w:tcW w:w="9675" w:type="dxa"/>
            <w:tcBorders>
              <w:top w:val="single" w:color="auto" w:sz="4" w:space="0"/>
              <w:left w:val="single" w:color="auto" w:sz="4" w:space="0"/>
              <w:bottom w:val="single" w:color="auto" w:sz="4" w:space="0"/>
              <w:right w:val="single" w:color="000000" w:sz="4" w:space="0"/>
            </w:tcBorders>
            <w:noWrap/>
            <w:vAlign w:val="center"/>
          </w:tcPr>
          <w:p>
            <w:pPr>
              <w:widowControl/>
              <w:adjustRightInd w:val="0"/>
              <w:snapToGrid w:val="0"/>
              <w:spacing w:line="320" w:lineRule="atLeast"/>
              <w:rPr>
                <w:rFonts w:cs="宋体" w:asciiTheme="minorEastAsia" w:hAnsiTheme="minorEastAsia"/>
                <w:b/>
                <w:kern w:val="0"/>
                <w:szCs w:val="21"/>
              </w:rPr>
            </w:pPr>
            <w:r>
              <w:rPr>
                <w:rFonts w:hint="eastAsia" w:cs="宋体" w:asciiTheme="minorEastAsia" w:hAnsiTheme="minorEastAsia"/>
                <w:b/>
                <w:kern w:val="0"/>
                <w:szCs w:val="21"/>
              </w:rPr>
              <w:t>说明：以上资格性和符合性要求均需满足，若有一条不满足，则为无效投标。</w:t>
            </w:r>
          </w:p>
        </w:tc>
      </w:tr>
    </w:tbl>
    <w:p>
      <w:pPr>
        <w:adjustRightInd w:val="0"/>
        <w:snapToGrid w:val="0"/>
        <w:spacing w:line="440" w:lineRule="exact"/>
        <w:rPr>
          <w:rFonts w:ascii="黑体" w:hAnsi="黑体" w:eastAsia="黑体" w:cs="Times New Roman"/>
          <w:kern w:val="0"/>
          <w:sz w:val="32"/>
          <w:szCs w:val="32"/>
        </w:rPr>
      </w:pPr>
      <w:r>
        <w:rPr>
          <w:rFonts w:hint="eastAsia" w:ascii="黑体" w:hAnsi="黑体" w:eastAsia="黑体" w:cs="Times New Roman"/>
          <w:kern w:val="0"/>
          <w:sz w:val="32"/>
          <w:szCs w:val="32"/>
        </w:rPr>
        <w:t>表2</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评审标准表</w:t>
      </w:r>
    </w:p>
    <w:tbl>
      <w:tblPr>
        <w:tblStyle w:val="18"/>
        <w:tblW w:w="9356"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8"/>
        <w:gridCol w:w="852"/>
        <w:gridCol w:w="142"/>
        <w:gridCol w:w="6946"/>
        <w:gridCol w:w="7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序号</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项目</w:t>
            </w:r>
          </w:p>
        </w:tc>
        <w:tc>
          <w:tcPr>
            <w:tcW w:w="7088" w:type="dxa"/>
            <w:gridSpan w:val="2"/>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评审内容及规则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标准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8" w:hRule="atLeast"/>
        </w:trPr>
        <w:tc>
          <w:tcPr>
            <w:tcW w:w="8648" w:type="dxa"/>
            <w:gridSpan w:val="4"/>
          </w:tcPr>
          <w:p>
            <w:pPr>
              <w:spacing w:line="440" w:lineRule="exact"/>
              <w:jc w:val="center"/>
              <w:rPr>
                <w:rFonts w:cs="Times New Roman" w:asciiTheme="minorEastAsia" w:hAnsiTheme="minorEastAsia" w:eastAsiaTheme="minorEastAsia"/>
                <w:b/>
                <w:bCs/>
                <w:kern w:val="0"/>
                <w:sz w:val="21"/>
                <w:szCs w:val="21"/>
              </w:rPr>
            </w:pPr>
            <w:r>
              <w:rPr>
                <w:rFonts w:hint="eastAsia" w:cs="Times New Roman" w:asciiTheme="minorEastAsia" w:hAnsiTheme="minorEastAsia" w:eastAsiaTheme="minorEastAsia"/>
                <w:b/>
                <w:bCs/>
                <w:kern w:val="0"/>
                <w:sz w:val="21"/>
                <w:szCs w:val="21"/>
              </w:rPr>
              <w:t>商务评审</w:t>
            </w:r>
          </w:p>
        </w:tc>
        <w:tc>
          <w:tcPr>
            <w:tcW w:w="708" w:type="dxa"/>
            <w:vAlign w:val="center"/>
          </w:tcPr>
          <w:p>
            <w:pPr>
              <w:spacing w:line="440" w:lineRule="exact"/>
              <w:jc w:val="center"/>
              <w:rPr>
                <w:rFonts w:cs="Times New Roman" w:asciiTheme="minorEastAsia" w:hAnsiTheme="minorEastAsia" w:eastAsiaTheme="minorEastAsia"/>
                <w:b/>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7"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价  格</w:t>
            </w:r>
          </w:p>
        </w:tc>
        <w:tc>
          <w:tcPr>
            <w:tcW w:w="7088" w:type="dxa"/>
            <w:gridSpan w:val="2"/>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满足招标文件要求且报价最低的为评审基准价</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价格得分=（评审基准价/报价）×标准分值</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3"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业绩</w:t>
            </w:r>
          </w:p>
        </w:tc>
        <w:tc>
          <w:tcPr>
            <w:tcW w:w="7088" w:type="dxa"/>
            <w:gridSpan w:val="2"/>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比较近三年（截止开标时间）所投产品在</w:t>
            </w:r>
            <w:r>
              <w:rPr>
                <w:rFonts w:hint="eastAsia" w:ascii="宋体" w:hAnsi="宋体" w:eastAsia="宋体" w:cs="Times New Roman"/>
                <w:b/>
                <w:bCs/>
                <w:kern w:val="0"/>
                <w:sz w:val="21"/>
                <w:szCs w:val="21"/>
              </w:rPr>
              <w:t>三甲医院或高等科研院所</w:t>
            </w:r>
            <w:r>
              <w:rPr>
                <w:rFonts w:hint="eastAsia" w:cs="Times New Roman" w:asciiTheme="majorEastAsia" w:hAnsiTheme="majorEastAsia" w:eastAsiaTheme="majorEastAsia"/>
                <w:kern w:val="0"/>
                <w:sz w:val="21"/>
                <w:szCs w:val="21"/>
              </w:rPr>
              <w:t>的销售业绩。以提供的销售合同复印件为准，未盖章或盖章不清晰、总金额或数量不清晰的合同无效。</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业绩得分=（所投产品业绩/基准业绩）×标准分值</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基准业绩=近三年（截止开标时间）所投产品有效合同累计销售最高数量（以有效合同份数计算）</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4"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852"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企业</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规模</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1.根据报价方近三年平均资产总额进行评分，第一名得1分，依次递减0.2分。（以第三方会计师事务所出具的近3年的财务审计报告中显示的数据为准）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2.根据报价方近三年缴纳社保</w:t>
            </w:r>
            <w:r>
              <w:rPr>
                <w:rFonts w:hint="eastAsia" w:cs="Times New Roman" w:asciiTheme="majorEastAsia" w:hAnsiTheme="majorEastAsia" w:eastAsiaTheme="majorEastAsia"/>
                <w:b/>
                <w:kern w:val="0"/>
                <w:sz w:val="21"/>
                <w:szCs w:val="21"/>
                <w:u w:val="single"/>
              </w:rPr>
              <w:t>总金额</w:t>
            </w:r>
            <w:r>
              <w:rPr>
                <w:rFonts w:hint="eastAsia" w:cs="Times New Roman" w:asciiTheme="majorEastAsia" w:hAnsiTheme="majorEastAsia" w:eastAsiaTheme="majorEastAsia"/>
                <w:kern w:val="0"/>
                <w:sz w:val="21"/>
                <w:szCs w:val="21"/>
              </w:rPr>
              <w:t>由大至小排名，第一名得1分，依次递减0.2分。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四</w:t>
            </w:r>
          </w:p>
        </w:tc>
        <w:tc>
          <w:tcPr>
            <w:tcW w:w="852"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信  誉</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1.报价方近两年连续获得税务部门颁发的企业纳税信用</w:t>
            </w:r>
            <w:r>
              <w:rPr>
                <w:rFonts w:hint="eastAsia" w:cs="Times New Roman" w:asciiTheme="majorEastAsia" w:hAnsiTheme="majorEastAsia" w:eastAsiaTheme="majorEastAsia"/>
                <w:b/>
                <w:kern w:val="0"/>
                <w:sz w:val="21"/>
                <w:szCs w:val="21"/>
                <w:u w:val="single"/>
              </w:rPr>
              <w:t>A级</w:t>
            </w:r>
            <w:r>
              <w:rPr>
                <w:rFonts w:hint="eastAsia" w:cs="Times New Roman" w:asciiTheme="majorEastAsia" w:hAnsiTheme="majorEastAsia" w:eastAsiaTheme="majorEastAsia"/>
                <w:kern w:val="0"/>
                <w:sz w:val="21"/>
                <w:szCs w:val="21"/>
              </w:rPr>
              <w:t>评价证书的得0.5分，其他得0分。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2.报价方近一年获得银行颁发的资信（信用）</w:t>
            </w:r>
            <w:r>
              <w:rPr>
                <w:rFonts w:hint="eastAsia" w:cs="Times New Roman" w:asciiTheme="majorEastAsia" w:hAnsiTheme="majorEastAsia" w:eastAsiaTheme="majorEastAsia"/>
                <w:b/>
                <w:kern w:val="0"/>
                <w:sz w:val="21"/>
                <w:szCs w:val="21"/>
                <w:u w:val="single"/>
              </w:rPr>
              <w:t>等级</w:t>
            </w:r>
            <w:r>
              <w:rPr>
                <w:rFonts w:hint="eastAsia" w:cs="Times New Roman" w:asciiTheme="majorEastAsia" w:hAnsiTheme="majorEastAsia" w:eastAsiaTheme="majorEastAsia"/>
                <w:kern w:val="0"/>
                <w:sz w:val="21"/>
                <w:szCs w:val="21"/>
              </w:rPr>
              <w:t>证明，级别最高的得0.5分，其他得0分。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五</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财务</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状况</w:t>
            </w:r>
          </w:p>
        </w:tc>
        <w:tc>
          <w:tcPr>
            <w:tcW w:w="7088" w:type="dxa"/>
            <w:gridSpan w:val="2"/>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3"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六</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报价方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性质</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报价方是</w:t>
            </w:r>
            <w:r>
              <w:rPr>
                <w:rFonts w:hint="eastAsia" w:cs="Times New Roman" w:asciiTheme="majorEastAsia" w:hAnsiTheme="majorEastAsia" w:eastAsiaTheme="majorEastAsia"/>
                <w:b/>
                <w:kern w:val="0"/>
                <w:sz w:val="21"/>
                <w:szCs w:val="21"/>
                <w:u w:val="single"/>
              </w:rPr>
              <w:t>生产企业或进口产品全国（大区）总代理</w:t>
            </w:r>
            <w:r>
              <w:rPr>
                <w:rFonts w:hint="eastAsia" w:cs="Times New Roman" w:asciiTheme="majorEastAsia" w:hAnsiTheme="majorEastAsia" w:eastAsiaTheme="majorEastAsia"/>
                <w:kern w:val="0"/>
                <w:sz w:val="21"/>
                <w:szCs w:val="21"/>
              </w:rPr>
              <w:t>的得标准分值，不是的得0分。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8648" w:type="dxa"/>
            <w:gridSpan w:val="4"/>
            <w:vAlign w:val="center"/>
          </w:tcPr>
          <w:p>
            <w:pPr>
              <w:spacing w:line="440" w:lineRule="exact"/>
              <w:jc w:val="center"/>
              <w:rPr>
                <w:rFonts w:cs="Times New Roman" w:asciiTheme="majorEastAsia" w:hAnsiTheme="majorEastAsia" w:eastAsiaTheme="majorEastAsia"/>
                <w:b/>
                <w:bCs/>
                <w:kern w:val="0"/>
                <w:sz w:val="21"/>
                <w:szCs w:val="21"/>
              </w:rPr>
            </w:pPr>
            <w:r>
              <w:rPr>
                <w:rFonts w:hint="eastAsia" w:cs="Times New Roman" w:asciiTheme="majorEastAsia" w:hAnsiTheme="majorEastAsia" w:eastAsiaTheme="majorEastAsia"/>
                <w:b/>
                <w:bCs/>
                <w:kern w:val="0"/>
                <w:sz w:val="21"/>
                <w:szCs w:val="21"/>
              </w:rPr>
              <w:t>技术评审</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力量</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（7分）</w:t>
            </w:r>
          </w:p>
        </w:tc>
        <w:tc>
          <w:tcPr>
            <w:tcW w:w="6946" w:type="dxa"/>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1.提供所投产品技术专利证书（不包括外观专利）的1项得0.1分，最多得标准分值。</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2.所投产品具有CE认证的得标准分，没有得0分。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3.所投产品具有FDA认证的得标准分，没有得0分。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4.所投产品的同种产品投放市场时间最早的得标准分值，依次递减0.2分。（以生产企业生产该种产品首次获得的CFDA医疗器械注册证有效期起始时间为准。提供证明材料）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5.所投产品品牌入围最近年度“中国医疗设备行业数据及售后服务调查”三等甲级医院推荐品牌，排名最靠前的得标准分值，依次递减0.2分，最低得0分。（提供证明材料）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6.所投产品入围最近年度“中国医学装备协会发布优秀国产医疗设备产品目录”得标准分值，其他得0分。（提供证明材料）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7.</w:t>
            </w:r>
            <w:r>
              <w:rPr>
                <w:rFonts w:cs="Times New Roman" w:asciiTheme="majorEastAsia" w:hAnsiTheme="majorEastAsia" w:eastAsiaTheme="majorEastAsia"/>
                <w:kern w:val="0"/>
                <w:sz w:val="21"/>
                <w:szCs w:val="21"/>
              </w:rPr>
              <w:t xml:space="preserve"> 所投产品技术优势特色：最优得标准分，依次递减</w:t>
            </w:r>
            <w:r>
              <w:rPr>
                <w:rFonts w:hint="eastAsia" w:cs="Times New Roman" w:asciiTheme="majorEastAsia" w:hAnsiTheme="majorEastAsia" w:eastAsiaTheme="majorEastAsia"/>
                <w:kern w:val="0"/>
                <w:sz w:val="21"/>
                <w:szCs w:val="21"/>
              </w:rPr>
              <w:t>2分，最低得0分。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0"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产品技术性能指标参数满足偏离情况（45分）</w:t>
            </w:r>
          </w:p>
        </w:tc>
        <w:tc>
          <w:tcPr>
            <w:tcW w:w="6946" w:type="dxa"/>
            <w:tcBorders>
              <w:bottom w:val="single" w:color="auto" w:sz="4" w:space="0"/>
            </w:tcBorders>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1.可以量化排名的</w:t>
            </w:r>
            <w:r>
              <w:rPr>
                <w:rFonts w:hint="eastAsia" w:ascii="宋体" w:hAnsi="宋体" w:eastAsia="宋体" w:cs="宋体"/>
                <w:kern w:val="0"/>
                <w:sz w:val="21"/>
                <w:szCs w:val="21"/>
              </w:rPr>
              <w:t>★</w:t>
            </w:r>
            <w:r>
              <w:rPr>
                <w:rFonts w:hint="eastAsia" w:cs="Times New Roman" w:asciiTheme="majorEastAsia" w:hAnsiTheme="majorEastAsia" w:eastAsiaTheme="majorEastAsia"/>
                <w:kern w:val="0"/>
                <w:sz w:val="21"/>
                <w:szCs w:val="21"/>
              </w:rPr>
              <w:t>号、</w:t>
            </w:r>
            <w:r>
              <w:rPr>
                <w:rFonts w:hint="eastAsia" w:cs="Times New Roman" w:asciiTheme="majorEastAsia" w:hAnsiTheme="majorEastAsia" w:eastAsiaTheme="majorEastAsia"/>
                <w:kern w:val="0"/>
                <w:sz w:val="21"/>
                <w:szCs w:val="21"/>
                <w:lang w:val="zh-CN"/>
              </w:rPr>
              <w:t>▲</w:t>
            </w:r>
            <w:r>
              <w:rPr>
                <w:rFonts w:hint="eastAsia" w:cs="Times New Roman" w:asciiTheme="majorEastAsia" w:hAnsiTheme="majorEastAsia" w:eastAsiaTheme="majorEastAsia"/>
                <w:kern w:val="0"/>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08"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bottom w:val="single" w:color="auto" w:sz="4" w:space="0"/>
            </w:tcBorders>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2.可以量化排名的</w:t>
            </w:r>
            <w:r>
              <w:rPr>
                <w:rFonts w:hint="eastAsia" w:cs="Times New Roman" w:asciiTheme="majorEastAsia" w:hAnsiTheme="majorEastAsia" w:eastAsiaTheme="majorEastAsia"/>
                <w:kern w:val="0"/>
                <w:sz w:val="21"/>
                <w:szCs w:val="21"/>
                <w:lang w:val="zh-CN"/>
              </w:rPr>
              <w:t>▲</w:t>
            </w:r>
            <w:r>
              <w:rPr>
                <w:rFonts w:hint="eastAsia" w:cs="Times New Roman" w:asciiTheme="majorEastAsia" w:hAnsiTheme="majorEastAsia" w:eastAsiaTheme="majorEastAsia"/>
                <w:kern w:val="0"/>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2"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bottom w:val="single" w:color="auto" w:sz="4" w:space="0"/>
            </w:tcBorders>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 xml:space="preserve">3. </w:t>
            </w:r>
            <w:r>
              <w:rPr>
                <w:rFonts w:hint="eastAsia" w:cs="Times New Roman" w:asciiTheme="majorEastAsia" w:hAnsiTheme="majorEastAsia" w:eastAsiaTheme="majorEastAsia"/>
                <w:kern w:val="0"/>
                <w:sz w:val="21"/>
                <w:szCs w:val="21"/>
                <w:lang w:val="zh-CN"/>
              </w:rPr>
              <w:t>▲</w:t>
            </w:r>
            <w:r>
              <w:rPr>
                <w:rFonts w:hint="eastAsia" w:cs="Times New Roman" w:asciiTheme="majorEastAsia" w:hAnsiTheme="majorEastAsia" w:eastAsiaTheme="majorEastAsia"/>
                <w:kern w:val="0"/>
                <w:sz w:val="21"/>
                <w:szCs w:val="21"/>
              </w:rPr>
              <w:t>号指标和一般指标中不便量化排名的，满足要求的得标准分值，不满足的得0分。</w:t>
            </w:r>
          </w:p>
        </w:tc>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4"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shd w:val="clear" w:color="auto" w:fill="auto"/>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4.产品配置不齐全或性能用途与招标要求不符，“产品技术性能指标参数满足偏离情况”总得分为0分。</w:t>
            </w:r>
          </w:p>
        </w:tc>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vAlign w:val="center"/>
          </w:tcPr>
          <w:p>
            <w:pPr>
              <w:widowControl/>
              <w:spacing w:line="240" w:lineRule="auto"/>
              <w:jc w:val="left"/>
              <w:rPr>
                <w:rFonts w:hint="default" w:cs="Times New Roman" w:asciiTheme="majorEastAsia" w:hAnsiTheme="majorEastAsia" w:eastAsiaTheme="minorEastAsia"/>
                <w:kern w:val="0"/>
                <w:sz w:val="21"/>
                <w:szCs w:val="21"/>
                <w:lang w:val="en-US" w:eastAsia="zh-CN"/>
              </w:rPr>
            </w:pPr>
            <w:r>
              <w:rPr>
                <w:rFonts w:hint="eastAsia" w:ascii="宋体" w:hAnsi="宋体"/>
                <w:kern w:val="0"/>
              </w:rPr>
              <w:t>★</w:t>
            </w:r>
            <w:r>
              <w:rPr>
                <w:rFonts w:hint="eastAsia" w:ascii="宋体" w:hAnsi="宋体" w:cs="Arial"/>
                <w:b/>
                <w:bCs/>
                <w:color w:val="000000"/>
              </w:rPr>
              <w:t>参数1</w:t>
            </w:r>
            <w:r>
              <w:rPr>
                <w:rFonts w:hint="eastAsia" w:ascii="宋体" w:hAnsi="宋体" w:cs="Arial"/>
                <w:b/>
                <w:bCs/>
                <w:color w:val="000000"/>
                <w:lang w:val="en-US" w:eastAsia="zh-CN"/>
              </w:rPr>
              <w:t xml:space="preserve">  </w:t>
            </w:r>
            <w:r>
              <w:rPr>
                <w:rFonts w:hint="eastAsia" w:ascii="宋体" w:hAnsi="宋体"/>
                <w:bCs/>
              </w:rPr>
              <w:t>具有心电、血氧、血压、脉搏、心率、呼吸、体温监护功能：</w:t>
            </w:r>
          </w:p>
        </w:tc>
        <w:tc>
          <w:tcPr>
            <w:tcW w:w="708" w:type="dxa"/>
            <w:vAlign w:val="center"/>
          </w:tcPr>
          <w:p>
            <w:pPr>
              <w:spacing w:line="440" w:lineRule="exact"/>
              <w:jc w:val="center"/>
              <w:rPr>
                <w:rFonts w:hint="default"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1"/>
                <w:szCs w:val="21"/>
                <w:lang w:val="en-US" w:eastAsia="zh-CN"/>
              </w:rPr>
              <w:t>7.75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widowControl/>
              <w:spacing w:line="240" w:lineRule="auto"/>
              <w:jc w:val="left"/>
              <w:rPr>
                <w:rFonts w:hint="default" w:ascii="宋体" w:hAnsi="宋体" w:cs="宋体" w:eastAsiaTheme="minorEastAsia"/>
                <w:kern w:val="0"/>
                <w:sz w:val="20"/>
                <w:szCs w:val="21"/>
                <w:lang w:val="en-US" w:eastAsia="zh-CN"/>
              </w:rPr>
            </w:pPr>
            <w:r>
              <w:rPr>
                <w:rFonts w:hint="eastAsia" w:ascii="宋体" w:hAnsi="宋体"/>
                <w:kern w:val="0"/>
              </w:rPr>
              <w:t>★</w:t>
            </w:r>
            <w:r>
              <w:rPr>
                <w:rFonts w:hint="eastAsia" w:ascii="宋体" w:hAnsi="宋体" w:cs="Arial"/>
                <w:b/>
                <w:bCs/>
                <w:color w:val="000000"/>
              </w:rPr>
              <w:t>参数2</w:t>
            </w:r>
            <w:r>
              <w:rPr>
                <w:rFonts w:hint="eastAsia" w:ascii="宋体" w:hAnsi="宋体" w:cs="Arial"/>
                <w:b/>
                <w:bCs/>
                <w:color w:val="000000"/>
                <w:lang w:val="en-US" w:eastAsia="zh-CN"/>
              </w:rPr>
              <w:t xml:space="preserve">  </w:t>
            </w:r>
            <w:r>
              <w:rPr>
                <w:rFonts w:hint="eastAsia" w:ascii="宋体" w:hAnsi="宋体"/>
                <w:bCs/>
              </w:rPr>
              <w:t>设备具有无线传输功能</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7.75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widowControl/>
              <w:spacing w:line="240" w:lineRule="auto"/>
              <w:jc w:val="left"/>
              <w:rPr>
                <w:rFonts w:hint="default" w:ascii="宋体" w:hAnsi="宋体" w:cs="宋体" w:eastAsiaTheme="minorEastAsia"/>
                <w:kern w:val="0"/>
                <w:sz w:val="20"/>
                <w:szCs w:val="21"/>
                <w:lang w:val="en-US" w:eastAsia="zh-CN"/>
              </w:rPr>
            </w:pPr>
            <w:r>
              <w:rPr>
                <w:rFonts w:hint="eastAsia" w:ascii="宋体" w:hAnsi="宋体" w:cs="Arial"/>
                <w:b/>
                <w:bCs/>
                <w:color w:val="000000"/>
              </w:rPr>
              <w:t>▲参数3</w:t>
            </w:r>
            <w:r>
              <w:rPr>
                <w:rFonts w:hint="eastAsia" w:ascii="宋体" w:hAnsi="宋体" w:cs="Arial"/>
                <w:b/>
                <w:bCs/>
                <w:color w:val="000000"/>
                <w:lang w:val="en-US" w:eastAsia="zh-CN"/>
              </w:rPr>
              <w:t xml:space="preserve">  </w:t>
            </w:r>
            <w:r>
              <w:rPr>
                <w:rFonts w:hint="eastAsia" w:ascii="宋体" w:hAnsi="宋体"/>
                <w:bCs/>
              </w:rPr>
              <w:t>电池续航连续使用时间</w:t>
            </w:r>
            <w:r>
              <w:rPr>
                <w:rFonts w:hint="eastAsia" w:ascii="宋体" w:hAnsi="宋体" w:cs="宋体"/>
                <w:kern w:val="0"/>
              </w:rPr>
              <w:t>≥</w:t>
            </w:r>
            <w:r>
              <w:rPr>
                <w:rFonts w:ascii="宋体" w:hAnsi="宋体"/>
                <w:bCs/>
              </w:rPr>
              <w:t>120</w:t>
            </w:r>
            <w:r>
              <w:rPr>
                <w:rFonts w:hint="eastAsia" w:ascii="宋体" w:hAnsi="宋体"/>
                <w:bCs/>
              </w:rPr>
              <w:t>小时；</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widowControl/>
              <w:spacing w:line="240" w:lineRule="auto"/>
              <w:jc w:val="left"/>
              <w:rPr>
                <w:rFonts w:hint="default" w:ascii="宋体" w:hAnsi="宋体" w:cs="宋体" w:eastAsiaTheme="minorEastAsia"/>
                <w:kern w:val="0"/>
                <w:sz w:val="20"/>
                <w:szCs w:val="21"/>
                <w:lang w:val="en-US" w:eastAsia="zh-CN"/>
              </w:rPr>
            </w:pPr>
            <w:r>
              <w:rPr>
                <w:rFonts w:hint="eastAsia" w:ascii="宋体" w:hAnsi="宋体" w:cs="Arial"/>
                <w:b/>
                <w:bCs/>
                <w:color w:val="000000"/>
              </w:rPr>
              <w:t>▲参数4</w:t>
            </w:r>
            <w:r>
              <w:rPr>
                <w:rFonts w:hint="eastAsia" w:ascii="宋体" w:hAnsi="宋体" w:cs="Arial"/>
                <w:b/>
                <w:bCs/>
                <w:color w:val="000000"/>
                <w:lang w:val="en-US" w:eastAsia="zh-CN"/>
              </w:rPr>
              <w:t xml:space="preserve">  </w:t>
            </w:r>
            <w:r>
              <w:rPr>
                <w:rFonts w:hint="eastAsia" w:ascii="宋体" w:hAnsi="宋体"/>
              </w:rPr>
              <w:t>心电输入阻抗≥10</w:t>
            </w:r>
            <w:r>
              <w:rPr>
                <w:rFonts w:ascii="宋体" w:hAnsi="宋体"/>
              </w:rPr>
              <w:t>M</w:t>
            </w:r>
            <w:r>
              <w:rPr>
                <w:rFonts w:hint="eastAsia" w:ascii="宋体" w:hAnsi="宋体"/>
              </w:rPr>
              <w:t>欧，共模抑制比≥90</w:t>
            </w:r>
            <w:r>
              <w:rPr>
                <w:rFonts w:ascii="宋体" w:hAnsi="宋体"/>
              </w:rPr>
              <w:t>Db,</w:t>
            </w:r>
            <w:r>
              <w:rPr>
                <w:rFonts w:hint="eastAsia" w:ascii="宋体" w:hAnsi="宋体"/>
              </w:rPr>
              <w:t>允许电极化电压幅值≦</w:t>
            </w:r>
            <w:r>
              <w:rPr>
                <w:rFonts w:hint="eastAsia" w:ascii="宋体" w:hAnsi="宋体" w:cs="宋体"/>
                <w:kern w:val="0"/>
              </w:rPr>
              <w:t>±400</w:t>
            </w:r>
            <w:r>
              <w:rPr>
                <w:rFonts w:ascii="宋体" w:hAnsi="宋体" w:cs="宋体"/>
                <w:kern w:val="0"/>
              </w:rPr>
              <w:t>mV</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widowControl/>
              <w:spacing w:line="240" w:lineRule="auto"/>
              <w:jc w:val="left"/>
              <w:rPr>
                <w:rFonts w:hint="default" w:ascii="宋体" w:hAnsi="宋体" w:cs="宋体" w:eastAsiaTheme="minorEastAsia"/>
                <w:kern w:val="0"/>
                <w:sz w:val="20"/>
                <w:szCs w:val="21"/>
                <w:lang w:val="en-US" w:eastAsia="zh-CN"/>
              </w:rPr>
            </w:pPr>
            <w:r>
              <w:rPr>
                <w:rFonts w:hint="eastAsia" w:ascii="宋体" w:hAnsi="宋体" w:cs="Arial"/>
                <w:b/>
                <w:bCs/>
                <w:color w:val="000000"/>
              </w:rPr>
              <w:t>▲</w:t>
            </w:r>
            <w:r>
              <w:rPr>
                <w:rFonts w:hint="eastAsia" w:ascii="宋体" w:hAnsi="宋体" w:cs="宋体"/>
                <w:b/>
                <w:kern w:val="0"/>
              </w:rPr>
              <w:t>参数5</w:t>
            </w:r>
            <w:r>
              <w:rPr>
                <w:rFonts w:hint="eastAsia" w:ascii="宋体" w:hAnsi="宋体" w:cs="宋体"/>
                <w:b/>
                <w:kern w:val="0"/>
                <w:lang w:val="en-US" w:eastAsia="zh-CN"/>
              </w:rPr>
              <w:t xml:space="preserve">  </w:t>
            </w:r>
            <w:r>
              <w:rPr>
                <w:rFonts w:hint="eastAsia" w:ascii="宋体" w:hAnsi="宋体"/>
                <w:bCs/>
              </w:rPr>
              <w:t>具备电外科干扰抑制功能，符合YY 1079-2008标准</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widowControl/>
              <w:spacing w:line="240" w:lineRule="auto"/>
              <w:jc w:val="left"/>
              <w:rPr>
                <w:rFonts w:hint="default" w:ascii="宋体" w:hAnsi="宋体" w:cs="宋体" w:eastAsiaTheme="minorEastAsia"/>
                <w:kern w:val="0"/>
                <w:sz w:val="20"/>
                <w:szCs w:val="21"/>
                <w:lang w:val="en-US" w:eastAsia="zh-CN"/>
              </w:rPr>
            </w:pPr>
            <w:r>
              <w:rPr>
                <w:rFonts w:hint="eastAsia" w:ascii="宋体" w:hAnsi="宋体" w:cs="宋体"/>
                <w:b/>
                <w:kern w:val="0"/>
              </w:rPr>
              <w:t>参数6</w:t>
            </w:r>
            <w:r>
              <w:rPr>
                <w:rFonts w:hint="eastAsia" w:ascii="宋体" w:hAnsi="宋体" w:cs="宋体"/>
                <w:b/>
                <w:kern w:val="0"/>
                <w:lang w:val="en-US" w:eastAsia="zh-CN"/>
              </w:rPr>
              <w:t xml:space="preserve">  </w:t>
            </w:r>
            <w:r>
              <w:rPr>
                <w:rFonts w:hint="eastAsia" w:ascii="宋体" w:hAnsi="宋体"/>
                <w:bCs/>
              </w:rPr>
              <w:t>呼吸率测量范围：10</w:t>
            </w:r>
            <w:r>
              <w:rPr>
                <w:rFonts w:ascii="宋体" w:hAnsi="宋体"/>
                <w:bCs/>
              </w:rPr>
              <w:t>rpm-120rpm,</w:t>
            </w:r>
            <w:r>
              <w:rPr>
                <w:rFonts w:hint="eastAsia" w:ascii="宋体" w:hAnsi="宋体"/>
                <w:bCs/>
              </w:rPr>
              <w:t>测量精度≦</w:t>
            </w:r>
            <w:r>
              <w:rPr>
                <w:rFonts w:hint="eastAsia" w:ascii="宋体" w:hAnsi="宋体" w:cs="宋体"/>
                <w:kern w:val="0"/>
              </w:rPr>
              <w:t>±2</w:t>
            </w:r>
            <w:r>
              <w:rPr>
                <w:rFonts w:ascii="宋体" w:hAnsi="宋体" w:cs="宋体"/>
                <w:kern w:val="0"/>
              </w:rPr>
              <w:t>rpm</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jc w:val="left"/>
              <w:rPr>
                <w:rFonts w:hint="default" w:ascii="宋体" w:hAnsi="宋体" w:cs="宋体" w:eastAsiaTheme="minorEastAsia"/>
                <w:kern w:val="0"/>
                <w:sz w:val="20"/>
                <w:szCs w:val="21"/>
                <w:lang w:val="en-US" w:eastAsia="zh-CN"/>
              </w:rPr>
            </w:pPr>
            <w:r>
              <w:rPr>
                <w:rFonts w:hint="eastAsia" w:ascii="宋体" w:hAnsi="宋体" w:cs="Arial"/>
                <w:b/>
                <w:bCs/>
                <w:color w:val="000000"/>
              </w:rPr>
              <w:t>参数7</w:t>
            </w:r>
            <w:r>
              <w:rPr>
                <w:rFonts w:hint="eastAsia" w:ascii="宋体" w:hAnsi="宋体" w:cs="Arial"/>
                <w:b/>
                <w:bCs/>
                <w:color w:val="000000"/>
                <w:lang w:val="en-US" w:eastAsia="zh-CN"/>
              </w:rPr>
              <w:t xml:space="preserve">  </w:t>
            </w:r>
            <w:r>
              <w:rPr>
                <w:rFonts w:hint="eastAsia" w:ascii="宋体" w:hAnsi="宋体"/>
                <w:bCs/>
              </w:rPr>
              <w:t>监测数据可存储，可回朔</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售后</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服务</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（8分）</w:t>
            </w: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零配件支持：提供零配件全国统一报价，更换配件价格不超过统一报价的70%。在满足招标文件要求的基础上，根据</w:t>
            </w:r>
            <w:r>
              <w:rPr>
                <w:rFonts w:hint="eastAsia" w:cs="Times New Roman" w:asciiTheme="minorEastAsia" w:hAnsiTheme="minorEastAsia" w:eastAsiaTheme="minorEastAsia"/>
                <w:b/>
                <w:kern w:val="0"/>
                <w:sz w:val="21"/>
                <w:szCs w:val="21"/>
                <w:u w:val="single"/>
              </w:rPr>
              <w:t>主要零配件价格</w:t>
            </w:r>
            <w:r>
              <w:rPr>
                <w:rFonts w:hint="eastAsia" w:cs="Times New Roman" w:asciiTheme="minorEastAsia" w:hAnsiTheme="minorEastAsia" w:eastAsiaTheme="minorEastAsia"/>
                <w:kern w:val="0"/>
                <w:sz w:val="21"/>
                <w:szCs w:val="21"/>
              </w:rPr>
              <w:t>排名，报价最低的得标准分值，其余排名依次按标准分值的25%减分，最低得0分。三分之二以上技术专家认为报价不合理的得0分。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按照报价方承诺的零配件保证供应时间长短排名，时间最长的得标准分值，依次递减0.2分，最低得0分。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8"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技术支持和服务网点：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1.产品和品牌具有较高知名度及广泛普及度，提供指定地点的现场服务支持，具备全国各主要省份的售后服务网络和对应的24小时服务支持热线且技术力量能满足部队维修服务需求的得1分，不满足得0分；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2.根据指定地点的服务网点数量排名，第一名得1分，依次按标准分值25%递减，最低得0分。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1.近三年企业售后服务未满足用户要求、未按承诺履行义务、被投诉的，每次得-1分。</w:t>
            </w:r>
          </w:p>
        </w:tc>
        <w:tc>
          <w:tcPr>
            <w:tcW w:w="708" w:type="dxa"/>
            <w:tcBorders>
              <w:top w:val="single" w:color="auto" w:sz="4" w:space="0"/>
            </w:tcBorders>
            <w:vAlign w:val="center"/>
          </w:tcPr>
          <w:p>
            <w:pPr>
              <w:spacing w:line="440" w:lineRule="exact"/>
              <w:jc w:val="center"/>
              <w:rPr>
                <w:rFonts w:eastAsia="宋体" w:cs="Times New Roman" w:asciiTheme="minorEastAsia" w:hAnsiTheme="minorEastAsia"/>
                <w:kern w:val="0"/>
                <w:sz w:val="20"/>
                <w:szCs w:val="21"/>
              </w:rPr>
            </w:pPr>
          </w:p>
        </w:tc>
      </w:tr>
    </w:tbl>
    <w:p>
      <w:pPr>
        <w:adjustRightInd w:val="0"/>
        <w:snapToGrid w:val="0"/>
        <w:spacing w:line="440" w:lineRule="exact"/>
        <w:rPr>
          <w:rFonts w:ascii="宋体" w:hAnsi="宋体" w:eastAsia="宋体" w:cs="Times New Roman"/>
          <w:kern w:val="0"/>
          <w:sz w:val="28"/>
          <w:szCs w:val="28"/>
        </w:rPr>
      </w:pPr>
    </w:p>
    <w:p>
      <w:pPr>
        <w:widowControl/>
        <w:adjustRightInd w:val="0"/>
        <w:snapToGrid w:val="0"/>
        <w:spacing w:line="440" w:lineRule="exact"/>
        <w:ind w:firstLine="566" w:firstLineChars="245"/>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4.评审委员会评审程序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(2)资格性审查。依据法律、法规和招标文件的规定，对投标文件中的资格证明、投标保证金等进行审查，以确定投标人是否具备投标资格，具体审查项目见表1。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(3)符合性审查。依据招标文件的规定，从投标文件的有效性、完整性和对招标文件的响应程度进行审查，以确定投标人是否对招标文件做出实质性响应，具体审查项目见表1。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解释与澄清。对投标文件中含义不明确、同类问题表述不一致或者有明显文字和计算错误的内容，评审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①开标时未宣读的投标价格、价格折扣和招标文件允许提供的备选投标方案等实质内容；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②投标文件中不响应招标文件规定的技术参数指标和商务应答；</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③投标文件中未提供的证明其是否符合招标文件资格性、符合性规定要求的相关材料。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评审过程中，评审委员会认为招标文件有关事项表述不明确或者需要说明的，可以要求招标人书面解释。招标人应当给予书面解释，但不得改变招标文件的原义或者影响公平、公正评审。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(6)商务、技术评审。按照招标文件中规定的评标方法和标准，对资格性审查和符合性审查合格的投标文件（不含价格文件）进行商务和技术评审。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技术、商务评委应当独立评审。其中，技术评委只能按照技术评审标准进行技术评分，商务评委只能按照商务评审标准进行商务评分。独立评审前，评审委员会成员不得集体商议、沟通、协调，技术、商务评审方面存有歧义的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价格评审。待商务、技术评审结束后，工作人员再将价格文件交评审委员会评审。存在低价恶意竞争的，由评审委员会全体成员按前款（六）投标报价有关要求认定；不存在低价恶意竞争的，由商务评委依据评审方法和评审标准对价格文件进行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复核评审情况。评审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(9)评审委员会依据经过复核的评审结果，对投标人进行排序并推荐预中标人。本项目只确认一家中标供应商。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出具评标报告。评审委员会根据全体成员签字的原始评标记录和评审结果编写评标报告。评标报告主要内容由评审委员会全体成员逐页签字确认。评审委员会成员对需要共同认定的事项存在争议的，按照少数服从多数的原则做出结论。持不同意见的评审委员会成员应当在评标报告上签署不同意见并说明理由；只签字未写明不同意见或者只写明不同意见未说明理由的，视为无意见；不签字的，不影响评标报告的有效性。评标报告应当包括下列主要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①开标日期和地点；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②获取招标文件供应商名单、投标人名单和评审委员会成员名单；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③评标方法；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④开标记录和评标情况及说明，包括无效投标人名单及原因；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⑤评标结果和候选中标人排序、报价汇总表，以及推荐候选中标人的理由，尤其是报价最高且预中标的、报价最低未预中标的情形，超预算以及投标文件被认定为无效的、废标的和终止评审等情形，评审委员会应当进行重点复核、分析原因，并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⑥评审委员会授标建议。</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宣布评标结果。评标结果由评审委员会主任在评标现场向参与采购活动的投标人当场公布，且不得更改。公布的内容至少应包含预中标人名称、排序和投标报价，以及无效投标人名称和无效投标理由。投标人对评标结果有疑义的，评审委员会应当现场予以解答。</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5.评审委员会对投标文件密封、签署、盖章等进行审查过程中，有下列情形，但其他方面符合要求，应当评定为不影响整个投标文件有效性和采购活动公平竞争，并通过投标文件的符合性审查：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(1)密封时未加盖、少加盖单位公章或者密封章，但是密封完好、完整标明了投标供应商名称且得到投标供应商（法定代表人或者授权代表）现场认可的；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hint="eastAsia" w:ascii="仿宋_GB2312" w:hAnsi="宋体" w:eastAsia="仿宋_GB2312" w:cs="Times New Roman"/>
          <w:kern w:val="0"/>
          <w:sz w:val="32"/>
          <w:szCs w:val="32"/>
        </w:rPr>
        <w:t xml:space="preserve"> </w:t>
      </w:r>
      <w:r>
        <w:rPr>
          <w:rFonts w:hint="eastAsia" w:ascii="宋体" w:hAnsi="宋体" w:eastAsia="宋体" w:cs="Times New Roman"/>
          <w:kern w:val="0"/>
          <w:sz w:val="24"/>
          <w:szCs w:val="24"/>
        </w:rPr>
        <w:t>投标书、资格证明文件正副本数量齐全、密封完好，只是未按照招标文件要求进行分装、统装的；价格文件内容完整、单独密封，只是未按招标文件要求胶装成册的</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(3)存在个别地方（总数不超过2个且占应签字地方的比例不超过20%）没有法定代表人签字，但有法定代表人的私人印章或者授权代表有效签字的；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(4)除招标文件明确要求加盖供应商（法人）公章的以外，其他地方以相关专用章加盖的。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6.在商务评审过程中，有下列情形之一者，其投标将被否决：</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(1)投标人或其制造商与招标人有利害关系可能影响招标公正性的；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(2)投标人参与项目前期咨询或招标文件编制的；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(3)不同投标人单位负责人为同一人或者存在控股、管理关系的；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(4)投标文件未按招标文件的要求签署的；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(5)投标人的投标书、资格证明材料未提供，或不符合国家规定或者招标文件要求的；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(6)同一投标人提交两个以上不同的投标方案或者投标报价的，但招标文件要求提交备选方案的除外；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(7)投标文件不满足招标文件加注星号（“★”）的关键商务条款要求的；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(8)投标人有串通投标、弄虚作假、行贿等违法行为的；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(9)存在招标文件中规定的否决投标的其他商务条款的。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7.技术评审过程中，有下列情形之一者，其投标将被否决：</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(1)投标文件不满足招标文件技术要求中加注星号（“★”）的关键条款（参数）要求，或加注星号（“★”）的关键条款（参数）无符合招标文件要求的技术资料支持的；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(2)投标文件技术规格中一般参数超出允许偏离的最大范围或最多项数的；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(3)投标文件技术规格中的响应与事实不符或虚假投标的；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(4)投标人复制招标文件的技术规格相关部分内容作为其投标文件中一部分的；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(5)存在招标文件中规定的否决投标的其他技术条款的。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8.投标人及其投标文件有下列情形之一的，在符合性审查时按照无效投标处理：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(1)未按照招标文件规定要求密封、签署、盖章的（前述第5条情形除外）；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(2)投标文件组成明显不符合招标文件的规定要求，影响评审委员会评判的；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(3)投标有效期不符合招标文件要求的；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(4)其他未满足对投标文件有效性、完整性和对招标文件响应程度要求的情形。</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9.投标人及其投标文件有下列情形之一的，在资格性审查时按照无效投标处理：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(1)不具备招标文件中规定的资格性要求的；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(2)法定代表人授权不符合要求的；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(3)属于禁止参加投标的供应商的；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(4)不符合法律、法规、规章规定的资格性要求的；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(5)供应商授权代理人参加我院采购活动，致使该供应商受到处罚期间，该代理人代理其他供应商参加我院采购活动的；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(6)代理人同期（180天以内）代理2家以上供应商参加我院采购活动的。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10.有下列情形之一的，属于投标人相互串通投标，评审委员会应当对串标人按照无效投标处理：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(1)投标人之间协商投标报价等投标文件的实质性内容的；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(2)投标人之间约定中标人的；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(3)投标人之间约定部分投标人放弃投标或者中标的；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(4)属于同一集团、协会、商会等组织成员的投标人按照该组织要求协同投标的；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(5)投标人之间为谋取中标或者排斥特定投标人而采取其他联合行动的。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11.有下列情形之一的，视为投标人相互串通投标，评审委员会应当对串标人按照无效投标处理：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(1)不同投标人的投标文件由同一单位或者个人编制的；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(2)不同投标人委托同一单位或者个人办理投标事宜的；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(3)不同投标人的投标文件载明的项目管理成员为同一人的；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(4)不同投标人的投标文件异常一致或者投标报价呈规律性差异的；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(5)不同投标人的投标文件相互混装的；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12.有下列情形之一的，属于招标人与投标人串通投标，评审委员会应当对串标投标人按照无效投标处理：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(1)招标人在开标前开启投标文件并将有关信息泄露给其他投标人的；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(2)招标人直接或者间接向投标人泄露采购预算、评审委员会成员等信息的；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(3)招标人明示或者暗示投标人压低或者抬高投标报价的；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(4)招标人授意投标人撤换、修改投标文件的；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(5)招标人明示或者暗示投标人为特定投标人中标提供方便的；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(6)招标人与投标人为谋求特定投标人中标而采取其他串通行为的。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13.有下列情形之一的，属于虚假投标，评审委员会应当对投标人按照无效投标处理：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(1)使用通过受让或者租借等方式获取资格、资质证书投标的；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(2)使用伪造、变造的许可证件的；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(3)提供虚假的财务状况或者业绩的；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(4)提供虚假的项目负责人或者主要技术人员简历、劳动关系证明的；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(5)提供虚假信用状况的；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(6)提供虚假样品或借用、冒用其他供应商样品的；</w:t>
      </w: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w:t>
      </w:r>
      <w:r>
        <w:rPr>
          <w:rFonts w:hint="eastAsia" w:cs="Times New Roman" w:asciiTheme="minorEastAsia" w:hAnsiTheme="minorEastAsia"/>
          <w:kern w:val="0"/>
          <w:sz w:val="24"/>
          <w:szCs w:val="24"/>
        </w:rPr>
        <w:t>7</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其他弄虚作假行为的。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14.有下列情形之一的，按照废标处理：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(1)出现影响采购公平公正的违法、违规行为的；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(2)因重大变故，取消采购任务的。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15.开标后对下列情况，招标人以及评审委员会按照《军队物资采购评审管理办法》相关规定处理。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(1)经评审满足招标文件要求的投标供应商只有2家的，评审委员会应当分析原因。评审委员会（五分之四以上评委）认定投标人报价客观合理的，应当在评标报告中注明，</w:t>
      </w:r>
      <w:r>
        <w:rPr>
          <w:rFonts w:hint="eastAsia" w:ascii="宋体" w:hAnsi="宋体" w:eastAsia="宋体" w:cs="Times New Roman"/>
          <w:kern w:val="0"/>
          <w:sz w:val="24"/>
          <w:szCs w:val="24"/>
        </w:rPr>
        <w:t>采购机构报采购管理部门审批同意后，可直接比照竞争性谈判方式</w:t>
      </w:r>
      <w:r>
        <w:rPr>
          <w:rFonts w:hint="eastAsia" w:cs="Times New Roman" w:asciiTheme="minorEastAsia" w:hAnsiTheme="minorEastAsia"/>
          <w:kern w:val="0"/>
          <w:sz w:val="24"/>
          <w:szCs w:val="24"/>
        </w:rPr>
        <w:t>，按照至少2轮谈判、供应商3次报价程序，采用原评审方法及评审标准组织评审。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经评审满足招标文件要求的投标人只有1家时，评审委员会（五分之四以上评委）认定投标人满足单一来源条件的，应当在评标报告中注明；招标人应当将该项目在网上公示1周（涉密项目除外），无其他供应商响应时，报采购管理部门申请变更采购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评审委员会（五分之四以上评委）认定采购项目技术指标参数、采购预算编制等方面存在问题，或者认定采购竞争不够充分的，应当予以废标，并在评标报告中注明；招标人应当报采购管理部门处理或者重新组织招标。</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人报价均超采购预算的，评审委员会应当分析原因；一般情况下视为需求部门（单位）不能支付，应当予以废标。评审委员会（五分之四以上评委）认定投标人报价客观合理的，可以继续评审，并出具评标报告。</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(6)同一需求部门（单位）同一经费来源的同类物资，部分产品单价或者金额超采购预算，但中标总金额未超采购预算的，不视为需求部门（单位）不能支付。</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16.经评审委员会评审，认为所有投标都不符合招标文件要求的，评审委员会将否决所有投标，招标人有权重新组织招标。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六、</w:t>
      </w:r>
      <w:r>
        <w:rPr>
          <w:rFonts w:cs="Times New Roman" w:asciiTheme="minorEastAsia" w:hAnsiTheme="minorEastAsia"/>
          <w:kern w:val="0"/>
          <w:sz w:val="24"/>
          <w:szCs w:val="24"/>
        </w:rPr>
        <w:t>质疑与投诉</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（二）质疑由我院物资采购中心受理，投诉由我院采购领导小组办公室受理。供应商投诉事项应当是经过质疑的事项，未质疑的事项，投诉不予受理。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（三）招标人</w:t>
      </w:r>
      <w:r>
        <w:rPr>
          <w:rFonts w:cs="Times New Roman" w:asciiTheme="minorEastAsia" w:hAnsiTheme="minorEastAsia"/>
          <w:kern w:val="0"/>
          <w:sz w:val="24"/>
          <w:szCs w:val="24"/>
        </w:rPr>
        <w:t>质疑</w:t>
      </w:r>
      <w:r>
        <w:rPr>
          <w:rFonts w:hint="eastAsia" w:cs="Times New Roman" w:asciiTheme="minorEastAsia" w:hAnsiTheme="minorEastAsia"/>
          <w:kern w:val="0"/>
          <w:sz w:val="24"/>
          <w:szCs w:val="24"/>
        </w:rPr>
        <w:t>处理</w:t>
      </w:r>
      <w:r>
        <w:rPr>
          <w:rFonts w:cs="Times New Roman" w:asciiTheme="minorEastAsia" w:hAnsiTheme="minorEastAsia"/>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cs="Times New Roman" w:asciiTheme="minorEastAsia" w:hAnsiTheme="minorEastAsia"/>
          <w:kern w:val="0"/>
          <w:sz w:val="24"/>
          <w:szCs w:val="24"/>
        </w:rPr>
        <w:t>联系人：</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甘老师、</w:t>
      </w:r>
      <w:r>
        <w:rPr>
          <w:rFonts w:hint="eastAsia" w:cs="Times New Roman" w:asciiTheme="minorEastAsia" w:hAnsiTheme="minorEastAsia"/>
          <w:kern w:val="0"/>
          <w:sz w:val="24"/>
          <w:szCs w:val="24"/>
          <w:u w:val="single"/>
          <w:lang w:eastAsia="zh-CN"/>
        </w:rPr>
        <w:t>谭</w:t>
      </w:r>
      <w:r>
        <w:rPr>
          <w:rFonts w:hint="eastAsia" w:cs="Times New Roman" w:asciiTheme="minorEastAsia" w:hAnsiTheme="minorEastAsia"/>
          <w:kern w:val="0"/>
          <w:sz w:val="24"/>
          <w:szCs w:val="24"/>
          <w:u w:val="single"/>
        </w:rPr>
        <w:t xml:space="preserve">老师             </w:t>
      </w:r>
    </w:p>
    <w:p>
      <w:pPr>
        <w:adjustRightInd w:val="0"/>
        <w:snapToGrid w:val="0"/>
        <w:spacing w:line="440" w:lineRule="exact"/>
        <w:ind w:firstLine="462" w:firstLineChars="200"/>
        <w:rPr>
          <w:rFonts w:hint="eastAsia" w:cs="Times New Roman" w:asciiTheme="minorEastAsia" w:hAnsiTheme="minorEastAsia"/>
          <w:kern w:val="0"/>
          <w:sz w:val="24"/>
          <w:szCs w:val="24"/>
          <w:u w:val="single"/>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电</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话：</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023-68766148</w:t>
      </w:r>
      <w:r>
        <w:rPr>
          <w:rFonts w:hint="eastAsia" w:cs="Times New Roman" w:asciiTheme="minorEastAsia" w:hAnsiTheme="minorEastAsia"/>
          <w:kern w:val="0"/>
          <w:sz w:val="24"/>
          <w:szCs w:val="24"/>
          <w:u w:val="single"/>
          <w:lang w:val="en-US" w:eastAsia="zh-CN"/>
        </w:rPr>
        <w:t>/68766153</w:t>
      </w:r>
      <w:r>
        <w:rPr>
          <w:rFonts w:hint="eastAsia" w:cs="Times New Roman" w:asciiTheme="minorEastAsia" w:hAnsiTheme="minorEastAsia"/>
          <w:kern w:val="0"/>
          <w:sz w:val="24"/>
          <w:szCs w:val="24"/>
          <w:u w:val="single"/>
        </w:rPr>
        <w:t xml:space="preserve">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地</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址：</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邮  编：</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400038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（四）供应商认为招标文件存在限制性、倾向性、排他性条款，使自己权益受到损害的，可以在投标截止时间10日前向物资采购中心提出书面质疑和相关证明材料。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（五）供应商</w:t>
      </w:r>
      <w:r>
        <w:rPr>
          <w:rFonts w:cs="Times New Roman" w:asciiTheme="minorEastAsia" w:hAnsiTheme="minorEastAsia"/>
          <w:kern w:val="0"/>
          <w:sz w:val="24"/>
          <w:szCs w:val="24"/>
        </w:rPr>
        <w:t>认为下列事项使自己权益受到损害的，</w:t>
      </w:r>
      <w:r>
        <w:rPr>
          <w:rFonts w:hint="eastAsia" w:cs="Times New Roman" w:asciiTheme="minorEastAsia" w:hAnsiTheme="minorEastAsia"/>
          <w:kern w:val="0"/>
          <w:sz w:val="24"/>
          <w:szCs w:val="24"/>
        </w:rPr>
        <w:t>可以</w:t>
      </w:r>
      <w:r>
        <w:rPr>
          <w:rFonts w:cs="Times New Roman" w:asciiTheme="minorEastAsia" w:hAnsiTheme="minorEastAsia"/>
          <w:kern w:val="0"/>
          <w:sz w:val="24"/>
          <w:szCs w:val="24"/>
        </w:rPr>
        <w:t>在评审结果公示期内，向</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提出书面质疑</w:t>
      </w:r>
      <w:r>
        <w:rPr>
          <w:rFonts w:hint="eastAsia" w:cs="Times New Roman" w:asciiTheme="minorEastAsia" w:hAnsiTheme="minorEastAsia"/>
          <w:kern w:val="0"/>
          <w:sz w:val="24"/>
          <w:szCs w:val="24"/>
        </w:rPr>
        <w:t>和相关证明材料：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w:t>
      </w:r>
      <w:r>
        <w:rPr>
          <w:rFonts w:cs="Times New Roman" w:asciiTheme="minorEastAsia" w:hAnsiTheme="minorEastAsia"/>
          <w:kern w:val="0"/>
          <w:sz w:val="24"/>
          <w:szCs w:val="24"/>
        </w:rPr>
        <w:t>或者相关人员与供应商有利害关系，应当回避而没有回避的；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采购程序违反军队采购相关规定的；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w:t>
      </w:r>
      <w:r>
        <w:rPr>
          <w:rFonts w:cs="Times New Roman" w:asciiTheme="minorEastAsia" w:hAnsiTheme="minorEastAsia"/>
          <w:kern w:val="0"/>
          <w:sz w:val="24"/>
          <w:szCs w:val="24"/>
        </w:rPr>
        <w:t>之间</w:t>
      </w:r>
      <w:r>
        <w:rPr>
          <w:rFonts w:hint="eastAsia" w:cs="Times New Roman" w:asciiTheme="minorEastAsia" w:hAnsiTheme="minorEastAsia"/>
          <w:kern w:val="0"/>
          <w:sz w:val="24"/>
          <w:szCs w:val="24"/>
        </w:rPr>
        <w:t>或者招标人与投标人之间</w:t>
      </w:r>
      <w:r>
        <w:rPr>
          <w:rFonts w:cs="Times New Roman" w:asciiTheme="minorEastAsia" w:hAnsiTheme="minorEastAsia"/>
          <w:kern w:val="0"/>
          <w:sz w:val="24"/>
          <w:szCs w:val="24"/>
        </w:rPr>
        <w:t>存在串通行为的；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提供虚假资料</w:t>
      </w:r>
      <w:r>
        <w:rPr>
          <w:rFonts w:hint="eastAsia" w:cs="Times New Roman" w:asciiTheme="minorEastAsia" w:hAnsiTheme="minorEastAsia"/>
          <w:kern w:val="0"/>
          <w:sz w:val="24"/>
          <w:szCs w:val="24"/>
        </w:rPr>
        <w:t>骗取中标</w:t>
      </w:r>
      <w:r>
        <w:rPr>
          <w:rFonts w:cs="Times New Roman" w:asciiTheme="minorEastAsia" w:hAnsiTheme="minorEastAsia"/>
          <w:kern w:val="0"/>
          <w:sz w:val="24"/>
          <w:szCs w:val="24"/>
        </w:rPr>
        <w:t>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w:t>
      </w:r>
      <w:r>
        <w:rPr>
          <w:rFonts w:cs="Times New Roman" w:asciiTheme="minorEastAsia" w:hAnsiTheme="minorEastAsia"/>
          <w:kern w:val="0"/>
          <w:sz w:val="24"/>
          <w:szCs w:val="24"/>
        </w:rPr>
        <w:t>违反采购相关法律法规使自己权益受到损害的其他事项。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（六）</w:t>
      </w:r>
      <w:r>
        <w:rPr>
          <w:rFonts w:cs="Times New Roman" w:asciiTheme="minorEastAsia" w:hAnsiTheme="minorEastAsia"/>
          <w:kern w:val="0"/>
          <w:sz w:val="24"/>
          <w:szCs w:val="24"/>
        </w:rPr>
        <w:t>书面质疑</w:t>
      </w:r>
      <w:r>
        <w:rPr>
          <w:rFonts w:hint="eastAsia" w:cs="Times New Roman" w:asciiTheme="minorEastAsia" w:hAnsiTheme="minorEastAsia"/>
          <w:kern w:val="0"/>
          <w:sz w:val="24"/>
          <w:szCs w:val="24"/>
        </w:rPr>
        <w:t>应</w:t>
      </w:r>
      <w:r>
        <w:rPr>
          <w:rFonts w:cs="Times New Roman" w:asciiTheme="minorEastAsia" w:hAnsiTheme="minorEastAsia"/>
          <w:kern w:val="0"/>
          <w:sz w:val="24"/>
          <w:szCs w:val="24"/>
        </w:rPr>
        <w:t>由法定代表人签字</w:t>
      </w:r>
      <w:r>
        <w:rPr>
          <w:rFonts w:hint="eastAsia" w:cs="Times New Roman" w:asciiTheme="minorEastAsia" w:hAnsiTheme="minorEastAsia"/>
          <w:kern w:val="0"/>
          <w:sz w:val="24"/>
          <w:szCs w:val="24"/>
        </w:rPr>
        <w:t>并</w:t>
      </w:r>
      <w:r>
        <w:rPr>
          <w:rFonts w:cs="Times New Roman" w:asciiTheme="minorEastAsia" w:hAnsiTheme="minorEastAsia"/>
          <w:kern w:val="0"/>
          <w:sz w:val="24"/>
          <w:szCs w:val="24"/>
        </w:rPr>
        <w:t>加盖单位公章，同时出具法定代表人资格证明书</w:t>
      </w:r>
      <w:r>
        <w:rPr>
          <w:rFonts w:hint="eastAsia" w:cs="Times New Roman" w:asciiTheme="minorEastAsia" w:hAnsiTheme="minorEastAsia"/>
          <w:kern w:val="0"/>
          <w:sz w:val="24"/>
          <w:szCs w:val="24"/>
        </w:rPr>
        <w:t>。</w:t>
      </w:r>
      <w:r>
        <w:rPr>
          <w:rFonts w:cs="Times New Roman" w:asciiTheme="minorEastAsia" w:hAnsiTheme="minorEastAsia"/>
          <w:kern w:val="0"/>
          <w:sz w:val="24"/>
          <w:szCs w:val="24"/>
        </w:rPr>
        <w:t>由</w:t>
      </w:r>
      <w:r>
        <w:rPr>
          <w:rFonts w:hint="eastAsia" w:cs="Times New Roman" w:asciiTheme="minorEastAsia" w:hAnsiTheme="minorEastAsia"/>
          <w:kern w:val="0"/>
          <w:sz w:val="24"/>
          <w:szCs w:val="24"/>
        </w:rPr>
        <w:t>全权代表</w:t>
      </w:r>
      <w:r>
        <w:rPr>
          <w:rFonts w:cs="Times New Roman" w:asciiTheme="minorEastAsia" w:hAnsiTheme="minorEastAsia"/>
          <w:kern w:val="0"/>
          <w:sz w:val="24"/>
          <w:szCs w:val="24"/>
        </w:rPr>
        <w:t>签字的，必须有法定代表人授权</w:t>
      </w:r>
      <w:r>
        <w:rPr>
          <w:rFonts w:hint="eastAsia" w:cs="Times New Roman" w:asciiTheme="minorEastAsia" w:hAnsiTheme="minorEastAsia"/>
          <w:kern w:val="0"/>
          <w:sz w:val="24"/>
          <w:szCs w:val="24"/>
        </w:rPr>
        <w:t>书和</w:t>
      </w:r>
      <w:r>
        <w:rPr>
          <w:rFonts w:cs="Times New Roman" w:asciiTheme="minorEastAsia" w:hAnsiTheme="minorEastAsia"/>
          <w:kern w:val="0"/>
          <w:sz w:val="24"/>
          <w:szCs w:val="24"/>
        </w:rPr>
        <w:t>法定代表人资格证明书</w:t>
      </w:r>
      <w:r>
        <w:rPr>
          <w:rFonts w:hint="eastAsia" w:cs="Times New Roman" w:asciiTheme="minorEastAsia" w:hAnsiTheme="minorEastAsia"/>
          <w:kern w:val="0"/>
          <w:sz w:val="24"/>
          <w:szCs w:val="24"/>
        </w:rPr>
        <w:t>，并</w:t>
      </w:r>
      <w:r>
        <w:rPr>
          <w:rFonts w:cs="Times New Roman" w:asciiTheme="minorEastAsia" w:hAnsiTheme="minorEastAsia"/>
          <w:kern w:val="0"/>
          <w:sz w:val="24"/>
          <w:szCs w:val="24"/>
        </w:rPr>
        <w:t>加盖单位公章</w:t>
      </w:r>
      <w:r>
        <w:rPr>
          <w:rFonts w:hint="eastAsia" w:cs="Times New Roman" w:asciiTheme="minorEastAsia" w:hAnsiTheme="minorEastAsia"/>
          <w:kern w:val="0"/>
          <w:sz w:val="24"/>
          <w:szCs w:val="24"/>
        </w:rPr>
        <w:t>。书面</w:t>
      </w:r>
      <w:r>
        <w:rPr>
          <w:rFonts w:cs="Times New Roman" w:asciiTheme="minorEastAsia" w:hAnsiTheme="minorEastAsia"/>
          <w:kern w:val="0"/>
          <w:sz w:val="24"/>
          <w:szCs w:val="24"/>
        </w:rPr>
        <w:t>质疑主要包括下列内容：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1.质疑的采购项目名称和项目编号；</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质疑</w:t>
      </w:r>
      <w:r>
        <w:rPr>
          <w:rFonts w:hint="eastAsia" w:cs="Times New Roman" w:asciiTheme="minorEastAsia" w:hAnsiTheme="minorEastAsia"/>
          <w:kern w:val="0"/>
          <w:sz w:val="24"/>
          <w:szCs w:val="24"/>
        </w:rPr>
        <w:t>人</w:t>
      </w:r>
      <w:r>
        <w:rPr>
          <w:rFonts w:cs="Times New Roman" w:asciiTheme="minorEastAsia" w:hAnsiTheme="minorEastAsia"/>
          <w:kern w:val="0"/>
          <w:sz w:val="24"/>
          <w:szCs w:val="24"/>
        </w:rPr>
        <w:t>和被质疑人的名称，质疑人的地址、联系方式等；</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具体的质疑事项、事实依据及相关证明材料；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提起质疑的日期。</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（七）</w:t>
      </w:r>
      <w:r>
        <w:rPr>
          <w:rFonts w:cs="Times New Roman" w:asciiTheme="minorEastAsia" w:hAnsiTheme="minorEastAsia"/>
          <w:kern w:val="0"/>
          <w:sz w:val="24"/>
          <w:szCs w:val="24"/>
        </w:rPr>
        <w:t>质疑有以下情形之一的，不予受理：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1.未按规定程序和渠道提出质疑的；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超</w:t>
      </w:r>
      <w:r>
        <w:rPr>
          <w:rFonts w:hint="eastAsia" w:cs="Times New Roman" w:asciiTheme="minorEastAsia" w:hAnsiTheme="minorEastAsia"/>
          <w:kern w:val="0"/>
          <w:sz w:val="24"/>
          <w:szCs w:val="24"/>
        </w:rPr>
        <w:t>过</w:t>
      </w:r>
      <w:r>
        <w:rPr>
          <w:rFonts w:cs="Times New Roman" w:asciiTheme="minorEastAsia" w:hAnsiTheme="minorEastAsia"/>
          <w:kern w:val="0"/>
          <w:sz w:val="24"/>
          <w:szCs w:val="24"/>
        </w:rPr>
        <w:t>质疑限期</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3.书面</w:t>
      </w:r>
      <w:r>
        <w:rPr>
          <w:rFonts w:cs="Times New Roman" w:asciiTheme="minorEastAsia" w:hAnsiTheme="minorEastAsia"/>
          <w:kern w:val="0"/>
          <w:sz w:val="24"/>
          <w:szCs w:val="24"/>
        </w:rPr>
        <w:t>质疑的形式和内容不符合</w:t>
      </w:r>
      <w:r>
        <w:rPr>
          <w:rFonts w:hint="eastAsia" w:cs="Times New Roman" w:asciiTheme="minorEastAsia" w:hAnsiTheme="minorEastAsia"/>
          <w:kern w:val="0"/>
          <w:sz w:val="24"/>
          <w:szCs w:val="24"/>
        </w:rPr>
        <w:t>上述要求的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提出的质疑事项已经明确答复的；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w:t>
      </w:r>
      <w:r>
        <w:rPr>
          <w:rFonts w:cs="Times New Roman" w:asciiTheme="minorEastAsia" w:hAnsiTheme="minorEastAsia"/>
          <w:kern w:val="0"/>
          <w:sz w:val="24"/>
          <w:szCs w:val="24"/>
        </w:rPr>
        <w:t>法律法规规定的其他不予受理的条件。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（八）物资采购中心</w:t>
      </w:r>
      <w:r>
        <w:rPr>
          <w:rFonts w:cs="Times New Roman" w:asciiTheme="minorEastAsia" w:hAnsiTheme="minorEastAsia"/>
          <w:kern w:val="0"/>
          <w:sz w:val="24"/>
          <w:szCs w:val="24"/>
        </w:rPr>
        <w:t>应当自质疑签收之日起</w:t>
      </w:r>
      <w:r>
        <w:rPr>
          <w:rFonts w:hint="eastAsia" w:cs="Times New Roman" w:asciiTheme="minorEastAsia" w:hAnsiTheme="minorEastAsia"/>
          <w:kern w:val="0"/>
          <w:sz w:val="24"/>
          <w:szCs w:val="24"/>
        </w:rPr>
        <w:t>7</w:t>
      </w:r>
      <w:r>
        <w:rPr>
          <w:rFonts w:cs="Times New Roman" w:asciiTheme="minorEastAsia" w:hAnsiTheme="minorEastAsia"/>
          <w:kern w:val="0"/>
          <w:sz w:val="24"/>
          <w:szCs w:val="24"/>
        </w:rPr>
        <w:t>个工作日内做出书面答复。答复内容同时通知与处理结果有关的供应商，但答复内容不得涉及供应商的商业秘密。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在作出书面答复之前，可以采取现场解答的方式向</w:t>
      </w:r>
      <w:r>
        <w:rPr>
          <w:rFonts w:hint="eastAsia" w:cs="Times New Roman" w:asciiTheme="minorEastAsia" w:hAnsiTheme="minorEastAsia"/>
          <w:kern w:val="0"/>
          <w:sz w:val="24"/>
          <w:szCs w:val="24"/>
        </w:rPr>
        <w:t>质疑人</w:t>
      </w:r>
      <w:r>
        <w:rPr>
          <w:rFonts w:cs="Times New Roman" w:asciiTheme="minorEastAsia" w:hAnsiTheme="minorEastAsia"/>
          <w:kern w:val="0"/>
          <w:sz w:val="24"/>
          <w:szCs w:val="24"/>
        </w:rPr>
        <w:t>通报初步处理结果。供应商认可处理结果的，可在出具书面申请后撤回质疑或者放弃质疑，</w:t>
      </w:r>
      <w:r>
        <w:rPr>
          <w:rFonts w:hint="eastAsia" w:cs="Times New Roman" w:asciiTheme="minorEastAsia" w:hAnsiTheme="minorEastAsia"/>
          <w:kern w:val="0"/>
          <w:sz w:val="24"/>
          <w:szCs w:val="24"/>
        </w:rPr>
        <w:t>质疑处理机构</w:t>
      </w:r>
      <w:r>
        <w:rPr>
          <w:rFonts w:cs="Times New Roman" w:asciiTheme="minorEastAsia" w:hAnsiTheme="minorEastAsia"/>
          <w:kern w:val="0"/>
          <w:sz w:val="24"/>
          <w:szCs w:val="24"/>
        </w:rPr>
        <w:t>不再进行书面答复。</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（九）供应商</w:t>
      </w:r>
      <w:r>
        <w:rPr>
          <w:rFonts w:cs="Times New Roman" w:asciiTheme="minorEastAsia" w:hAnsiTheme="minorEastAsia"/>
          <w:kern w:val="0"/>
          <w:sz w:val="24"/>
          <w:szCs w:val="24"/>
        </w:rPr>
        <w:t>质疑有下列情形之一的，视为无效质疑，</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应当驳回质疑：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cs="Times New Roman" w:asciiTheme="minorEastAsia" w:hAnsiTheme="minorEastAsia"/>
          <w:kern w:val="0"/>
          <w:sz w:val="24"/>
          <w:szCs w:val="24"/>
        </w:rPr>
        <w:t>无具体的质疑事项，或者质疑事项缺乏事实和法律依据</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质疑内容涉及评审工作细节、其他供应商</w:t>
      </w:r>
      <w:r>
        <w:rPr>
          <w:rFonts w:hint="eastAsia" w:cs="Times New Roman" w:asciiTheme="minorEastAsia" w:hAnsiTheme="minorEastAsia"/>
          <w:kern w:val="0"/>
          <w:sz w:val="24"/>
          <w:szCs w:val="24"/>
        </w:rPr>
        <w:t>投标</w:t>
      </w:r>
      <w:r>
        <w:rPr>
          <w:rFonts w:cs="Times New Roman" w:asciiTheme="minorEastAsia" w:hAnsiTheme="minorEastAsia"/>
          <w:kern w:val="0"/>
          <w:sz w:val="24"/>
          <w:szCs w:val="24"/>
        </w:rPr>
        <w:t>资料等保密事项且无法提供信息的合法来源</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质疑已经处理并明确答复后，质疑人就同一事项再次提起质疑且未提供新的有效证据</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应当对供应商无效质疑情况记录存档</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（十）供应商</w:t>
      </w:r>
      <w:r>
        <w:rPr>
          <w:rFonts w:cs="Times New Roman" w:asciiTheme="minorEastAsia" w:hAnsiTheme="minorEastAsia"/>
          <w:kern w:val="0"/>
          <w:sz w:val="24"/>
          <w:szCs w:val="24"/>
        </w:rPr>
        <w:t>进行虚假和恶意质疑，干扰</w:t>
      </w:r>
      <w:r>
        <w:rPr>
          <w:rFonts w:hint="eastAsia" w:cs="Times New Roman" w:asciiTheme="minorEastAsia" w:hAnsiTheme="minorEastAsia"/>
          <w:kern w:val="0"/>
          <w:sz w:val="24"/>
          <w:szCs w:val="24"/>
        </w:rPr>
        <w:t>我院</w:t>
      </w:r>
      <w:r>
        <w:rPr>
          <w:rFonts w:cs="Times New Roman" w:asciiTheme="minorEastAsia" w:hAnsiTheme="minorEastAsia"/>
          <w:kern w:val="0"/>
          <w:sz w:val="24"/>
          <w:szCs w:val="24"/>
        </w:rPr>
        <w:t>采购活动的，</w:t>
      </w:r>
      <w:r>
        <w:rPr>
          <w:rFonts w:hint="eastAsia" w:cs="Times New Roman" w:asciiTheme="minorEastAsia" w:hAnsiTheme="minorEastAsia"/>
          <w:kern w:val="0"/>
          <w:sz w:val="24"/>
          <w:szCs w:val="24"/>
        </w:rPr>
        <w:t>物资采购中心可以申请上级采购管理部门作出处罚。</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（十一）</w:t>
      </w:r>
      <w:r>
        <w:rPr>
          <w:rFonts w:cs="Times New Roman" w:asciiTheme="minorEastAsia" w:hAnsiTheme="minorEastAsia"/>
          <w:kern w:val="0"/>
          <w:sz w:val="24"/>
          <w:szCs w:val="24"/>
        </w:rPr>
        <w:t>对</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的书面答复及处理结果不满意，</w:t>
      </w:r>
      <w:r>
        <w:rPr>
          <w:rFonts w:hint="eastAsia" w:cs="Times New Roman" w:asciiTheme="minorEastAsia" w:hAnsiTheme="minorEastAsia"/>
          <w:kern w:val="0"/>
          <w:sz w:val="24"/>
          <w:szCs w:val="24"/>
        </w:rPr>
        <w:t>或者质疑处理机构未答复以及未在规定期限内作出答复的，</w:t>
      </w:r>
      <w:r>
        <w:rPr>
          <w:rFonts w:cs="Times New Roman" w:asciiTheme="minorEastAsia" w:hAnsiTheme="minorEastAsia"/>
          <w:kern w:val="0"/>
          <w:sz w:val="24"/>
          <w:szCs w:val="24"/>
        </w:rPr>
        <w:t>质疑人可以在</w:t>
      </w:r>
      <w:r>
        <w:rPr>
          <w:rFonts w:hint="eastAsia" w:cs="Times New Roman" w:asciiTheme="minorEastAsia" w:hAnsiTheme="minorEastAsia"/>
          <w:kern w:val="0"/>
          <w:sz w:val="24"/>
          <w:szCs w:val="24"/>
        </w:rPr>
        <w:t>质疑</w:t>
      </w:r>
      <w:r>
        <w:rPr>
          <w:rFonts w:cs="Times New Roman" w:asciiTheme="minorEastAsia" w:hAnsiTheme="minorEastAsia"/>
          <w:kern w:val="0"/>
          <w:sz w:val="24"/>
          <w:szCs w:val="24"/>
        </w:rPr>
        <w:t>答复</w:t>
      </w:r>
      <w:r>
        <w:rPr>
          <w:rFonts w:hint="eastAsia" w:cs="Times New Roman" w:asciiTheme="minorEastAsia" w:hAnsiTheme="minorEastAsia"/>
          <w:kern w:val="0"/>
          <w:sz w:val="24"/>
          <w:szCs w:val="24"/>
        </w:rPr>
        <w:t>期满</w:t>
      </w:r>
      <w:r>
        <w:rPr>
          <w:rFonts w:cs="Times New Roman" w:asciiTheme="minorEastAsia" w:hAnsiTheme="minorEastAsia"/>
          <w:kern w:val="0"/>
          <w:sz w:val="24"/>
          <w:szCs w:val="24"/>
        </w:rPr>
        <w:t>之日起</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个工作日内，向</w:t>
      </w:r>
      <w:r>
        <w:rPr>
          <w:rFonts w:hint="eastAsia" w:cs="Times New Roman" w:asciiTheme="minorEastAsia" w:hAnsiTheme="minorEastAsia"/>
          <w:kern w:val="0"/>
          <w:sz w:val="24"/>
          <w:szCs w:val="24"/>
        </w:rPr>
        <w:t>我院采购领导小组办公室</w:t>
      </w:r>
      <w:r>
        <w:rPr>
          <w:rFonts w:cs="Times New Roman" w:asciiTheme="minorEastAsia" w:hAnsiTheme="minorEastAsia"/>
          <w:kern w:val="0"/>
          <w:sz w:val="24"/>
          <w:szCs w:val="24"/>
        </w:rPr>
        <w:t>提出投诉。</w:t>
      </w:r>
    </w:p>
    <w:p>
      <w:pPr>
        <w:adjustRightInd w:val="0"/>
        <w:snapToGrid w:val="0"/>
        <w:spacing w:line="440" w:lineRule="exact"/>
        <w:ind w:firstLine="462" w:firstLineChars="200"/>
        <w:rPr>
          <w:rFonts w:cs="Times New Roman" w:asciiTheme="minorEastAsia" w:hAnsiTheme="minorEastAsia"/>
          <w:snapToGrid w:val="0"/>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七、定标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w:t>
      </w:r>
      <w:r>
        <w:rPr>
          <w:rFonts w:cs="Times New Roman" w:asciiTheme="minorEastAsia" w:hAnsiTheme="minorEastAsia"/>
          <w:kern w:val="0"/>
          <w:sz w:val="24"/>
          <w:szCs w:val="24"/>
        </w:rPr>
        <w:t>确定</w:t>
      </w:r>
      <w:r>
        <w:rPr>
          <w:rFonts w:hint="eastAsia" w:cs="Times New Roman" w:asciiTheme="minorEastAsia" w:hAnsiTheme="minorEastAsia"/>
          <w:kern w:val="0"/>
          <w:sz w:val="24"/>
          <w:szCs w:val="24"/>
        </w:rPr>
        <w:t>中标人</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1.评审结束后3个工作日内，招标人根据评审委员会提出的书面评标报告，在</w:t>
      </w:r>
      <w:r>
        <w:rPr>
          <w:rFonts w:hint="eastAsia" w:cs="Times New Roman" w:asciiTheme="majorEastAsia" w:hAnsiTheme="majorEastAsia" w:eastAsiaTheme="majorEastAsia"/>
          <w:kern w:val="0"/>
          <w:sz w:val="24"/>
          <w:szCs w:val="24"/>
        </w:rPr>
        <w:t>网</w:t>
      </w:r>
      <w:r>
        <w:rPr>
          <w:rFonts w:hint="eastAsia" w:cs="Times New Roman" w:asciiTheme="minorEastAsia" w:hAnsiTheme="minorEastAsia"/>
          <w:kern w:val="0"/>
          <w:sz w:val="24"/>
          <w:szCs w:val="24"/>
        </w:rPr>
        <w:t>上公示评审结果，公示期为3个工作日。在公示期内无异议的，且通过医院价格审核，确定该项目排名第一的投标人为招标项目中标人。公示期内有异议的，按照本须知“质疑与投诉”规定的程序处理。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2.招标人有权根据采购任务变更等实际情况调整中标数量。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（二）中标</w:t>
      </w:r>
      <w:r>
        <w:rPr>
          <w:rFonts w:cs="Times New Roman" w:asciiTheme="minorEastAsia" w:hAnsiTheme="minorEastAsia"/>
          <w:kern w:val="0"/>
          <w:sz w:val="24"/>
          <w:szCs w:val="24"/>
        </w:rPr>
        <w:t>通知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1.招标人在确定中标人后3个工作日内，以书面形式向中标人发出《中标通知书》。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2.《中标通知书》是签订合同草案的依据。若合同草案未获批准，招标人有权取消合同草案。</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中标</w:t>
      </w:r>
      <w:r>
        <w:rPr>
          <w:rFonts w:cs="Times New Roman" w:asciiTheme="minorEastAsia" w:hAnsiTheme="minorEastAsia"/>
          <w:kern w:val="0"/>
          <w:sz w:val="24"/>
          <w:szCs w:val="24"/>
        </w:rPr>
        <w:t>通知书》</w:t>
      </w:r>
      <w:r>
        <w:rPr>
          <w:rFonts w:hint="eastAsia" w:cs="Times New Roman" w:asciiTheme="minorEastAsia" w:hAnsiTheme="minorEastAsia"/>
          <w:kern w:val="0"/>
          <w:sz w:val="24"/>
          <w:szCs w:val="24"/>
        </w:rPr>
        <w:t>及签订的合同草案不能作为中标人启动生产或备货的依据，应待正式合同签订后再启动生产备货，否则，由此造成的后果由中标人自行承担。</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八、签订</w:t>
      </w:r>
      <w:r>
        <w:rPr>
          <w:rFonts w:cs="Times New Roman" w:asciiTheme="minorEastAsia" w:hAnsiTheme="minorEastAsia"/>
          <w:kern w:val="0"/>
          <w:sz w:val="24"/>
          <w:szCs w:val="24"/>
        </w:rPr>
        <w:t>合同</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中标人在招标人发出《中标通知书》之日起，按照招标人规定的时间、地点签订合同。未经招标人同意逾期不签订合同的，将取消中标人中标资格。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（二）招标文件、中标人的投标文件、补充投标文件、澄清承诺、说明、补正和《中标通知书》等，均为签订合同的依据。</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（三）中标人应当按照合同约定履行义务，完成中标项目。中标人不得向他人转让中标项目，也不得将中标项目分包向他人转让或委托加工。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受到禁止参加军队、大学、医院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九、</w:t>
      </w:r>
      <w:r>
        <w:rPr>
          <w:rFonts w:cs="Times New Roman" w:asciiTheme="minorEastAsia" w:hAnsiTheme="minorEastAsia"/>
          <w:kern w:val="0"/>
          <w:sz w:val="24"/>
          <w:szCs w:val="24"/>
        </w:rPr>
        <w:t>产品</w:t>
      </w:r>
      <w:r>
        <w:rPr>
          <w:rFonts w:hint="eastAsia" w:cs="Times New Roman" w:asciiTheme="minorEastAsia" w:hAnsiTheme="minorEastAsia"/>
          <w:kern w:val="0"/>
          <w:sz w:val="24"/>
          <w:szCs w:val="24"/>
        </w:rPr>
        <w:t>质量</w:t>
      </w:r>
      <w:r>
        <w:rPr>
          <w:rFonts w:cs="Times New Roman" w:asciiTheme="minorEastAsia" w:hAnsiTheme="minorEastAsia"/>
          <w:kern w:val="0"/>
          <w:sz w:val="24"/>
          <w:szCs w:val="24"/>
        </w:rPr>
        <w:t>检验验收</w:t>
      </w:r>
    </w:p>
    <w:p>
      <w:pPr>
        <w:adjustRightInd w:val="0"/>
        <w:snapToGrid w:val="0"/>
        <w:spacing w:line="440" w:lineRule="exact"/>
        <w:ind w:firstLine="462" w:firstLineChars="200"/>
        <w:rPr>
          <w:rFonts w:cs="宋体" w:asciiTheme="minorEastAsia" w:hAnsiTheme="minorEastAsia"/>
          <w:snapToGrid w:val="0"/>
          <w:color w:val="0000FF"/>
          <w:kern w:val="0"/>
          <w:sz w:val="24"/>
          <w:szCs w:val="24"/>
          <w:lang w:val="zh-CN"/>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产品质量验收由合同甲方或者其指定（委托）的质检机构组织实施，中标人应予以积极配合。</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（二）验收方式</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1.产品到达指定地点后，合同甲方根据合同要求，进行外观验收，确认产地、规格、型号和数量。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w:t>
      </w:r>
      <w:r>
        <w:rPr>
          <w:rFonts w:hint="eastAsia" w:ascii="方正仿宋_GBK" w:hAnsi="宋体" w:eastAsia="方正仿宋_GBK" w:cs="Times New Roman"/>
          <w:sz w:val="24"/>
          <w:szCs w:val="24"/>
        </w:rPr>
        <w:t xml:space="preserve"> </w:t>
      </w:r>
      <w:r>
        <w:rPr>
          <w:rFonts w:hint="eastAsia" w:cs="Times New Roman" w:asciiTheme="minorEastAsia" w:hAnsiTheme="minorEastAsia"/>
          <w:kern w:val="0"/>
          <w:sz w:val="24"/>
          <w:szCs w:val="24"/>
        </w:rPr>
        <w:t>产品</w:t>
      </w:r>
      <w:r>
        <w:rPr>
          <w:rFonts w:hint="eastAsia" w:ascii="宋体" w:hAnsi="宋体" w:eastAsia="宋体" w:cs="Times New Roman"/>
          <w:kern w:val="0"/>
          <w:sz w:val="24"/>
          <w:szCs w:val="24"/>
        </w:rPr>
        <w:t>安装、调试并正常使用后</w:t>
      </w:r>
      <w:r>
        <w:rPr>
          <w:rFonts w:hint="eastAsia" w:cs="Times New Roman" w:asciiTheme="minorEastAsia" w:hAnsiTheme="minorEastAsia"/>
          <w:kern w:val="0"/>
          <w:sz w:val="24"/>
          <w:szCs w:val="24"/>
        </w:rPr>
        <w:t>，由合同甲方或者其指定（委托）的质检机构出具验收合格证明。</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.验收依据：</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1）</w:t>
      </w:r>
      <w:r>
        <w:rPr>
          <w:rFonts w:hint="eastAsia" w:ascii="宋体" w:hAnsi="宋体" w:eastAsia="宋体" w:cs="Times New Roman"/>
          <w:kern w:val="0"/>
          <w:sz w:val="24"/>
          <w:szCs w:val="24"/>
        </w:rPr>
        <w:t>招标文件、投标文件</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2）</w:t>
      </w:r>
      <w:r>
        <w:rPr>
          <w:rFonts w:hint="eastAsia" w:ascii="宋体" w:hAnsi="宋体" w:eastAsia="宋体" w:cs="Times New Roman"/>
          <w:kern w:val="0"/>
          <w:sz w:val="24"/>
          <w:szCs w:val="24"/>
        </w:rPr>
        <w:t>采购合同及附件文本</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国家、行业的相应标准、规范</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中标人应将所提供货物的装箱清单、配件、随机工具、用户使用手册、维修手册、原厂保修卡等资料交付给合同甲方。</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（三）合同甲方认为需要对产品内在质量进行检测的，可以交由国家认证的权威检测机构检测。</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（四）如货物经验收不能达到招标约定的技术要求或质量标准，合同甲方有权退换货，并视作中标人不能交付货物而须支付违约赔偿金给合同甲方，合同甲方还可依法追究中标人的违约责任。</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十、</w:t>
      </w:r>
      <w:r>
        <w:rPr>
          <w:rFonts w:cs="Times New Roman" w:asciiTheme="minorEastAsia" w:hAnsiTheme="minorEastAsia"/>
          <w:kern w:val="0"/>
          <w:sz w:val="24"/>
          <w:szCs w:val="24"/>
        </w:rPr>
        <w:t>解释权限</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sectPr>
          <w:headerReference r:id="rId7" w:type="default"/>
          <w:pgSz w:w="11906" w:h="16838"/>
          <w:pgMar w:top="2098" w:right="1474" w:bottom="1985" w:left="1588" w:header="851" w:footer="992" w:gutter="0"/>
          <w:cols w:space="425" w:num="1"/>
          <w:docGrid w:type="linesAndChars" w:linePitch="579" w:charSpace="-1844"/>
        </w:sectPr>
      </w:pPr>
      <w:r>
        <w:rPr>
          <w:rFonts w:cs="Times New Roman" w:asciiTheme="minorEastAsia" w:hAnsiTheme="minorEastAsia"/>
          <w:kern w:val="0"/>
          <w:sz w:val="24"/>
          <w:szCs w:val="24"/>
        </w:rPr>
        <w:t>本</w:t>
      </w:r>
      <w:r>
        <w:rPr>
          <w:rFonts w:hint="eastAsia" w:cs="Times New Roman" w:asciiTheme="minorEastAsia" w:hAnsiTheme="minorEastAsia"/>
          <w:kern w:val="0"/>
          <w:sz w:val="24"/>
          <w:szCs w:val="24"/>
        </w:rPr>
        <w:t>招标</w:t>
      </w:r>
      <w:r>
        <w:rPr>
          <w:rFonts w:cs="Times New Roman" w:asciiTheme="minorEastAsia" w:hAnsiTheme="minorEastAsia"/>
          <w:kern w:val="0"/>
          <w:sz w:val="24"/>
          <w:szCs w:val="24"/>
        </w:rPr>
        <w:t>文件由</w:t>
      </w:r>
      <w:r>
        <w:rPr>
          <w:rFonts w:hint="eastAsia" w:cs="Times New Roman" w:asciiTheme="minorEastAsia" w:hAnsiTheme="minorEastAsia"/>
          <w:kern w:val="0"/>
          <w:sz w:val="24"/>
          <w:szCs w:val="24"/>
        </w:rPr>
        <w:t>招标人</w:t>
      </w:r>
      <w:r>
        <w:rPr>
          <w:rFonts w:cs="Times New Roman" w:asciiTheme="minorEastAsia" w:hAnsiTheme="minorEastAsia"/>
          <w:kern w:val="0"/>
          <w:sz w:val="24"/>
          <w:szCs w:val="24"/>
        </w:rPr>
        <w:t>负责解释。</w:t>
      </w:r>
    </w:p>
    <w:p>
      <w:pPr>
        <w:jc w:val="center"/>
        <w:outlineLvl w:val="0"/>
        <w:rPr>
          <w:rFonts w:ascii="黑体" w:hAnsi="黑体" w:eastAsia="黑体" w:cs="Times New Roman"/>
          <w:bCs/>
          <w:kern w:val="0"/>
          <w:sz w:val="32"/>
          <w:szCs w:val="32"/>
        </w:rPr>
      </w:pPr>
      <w:bookmarkStart w:id="14" w:name="_Toc37172690"/>
      <w:bookmarkStart w:id="15" w:name="_Toc390713969"/>
      <w:bookmarkStart w:id="16" w:name="_Toc435540981"/>
      <w:bookmarkStart w:id="17" w:name="_Toc285612603"/>
      <w:r>
        <w:rPr>
          <w:rFonts w:hint="eastAsia" w:ascii="黑体" w:hAnsi="黑体" w:eastAsia="黑体" w:cs="Times New Roman"/>
          <w:bCs/>
          <w:kern w:val="0"/>
          <w:sz w:val="32"/>
          <w:szCs w:val="32"/>
        </w:rPr>
        <w:t>第四部分</w:t>
      </w:r>
      <w:r>
        <w:rPr>
          <w:rFonts w:ascii="黑体" w:hAnsi="黑体" w:eastAsia="黑体" w:cs="Times New Roman"/>
          <w:bCs/>
          <w:kern w:val="0"/>
          <w:sz w:val="32"/>
          <w:szCs w:val="32"/>
        </w:rPr>
        <w:t xml:space="preserve">  </w:t>
      </w:r>
      <w:r>
        <w:rPr>
          <w:rFonts w:hint="eastAsia" w:ascii="黑体" w:hAnsi="黑体" w:eastAsia="黑体" w:cs="Times New Roman"/>
          <w:bCs/>
          <w:kern w:val="0"/>
          <w:sz w:val="32"/>
          <w:szCs w:val="32"/>
        </w:rPr>
        <w:t>合同样本</w:t>
      </w:r>
      <w:bookmarkEnd w:id="14"/>
      <w:bookmarkEnd w:id="15"/>
      <w:bookmarkEnd w:id="16"/>
      <w:bookmarkEnd w:id="17"/>
    </w:p>
    <w:p>
      <w:pPr>
        <w:adjustRightInd w:val="0"/>
        <w:snapToGrid w:val="0"/>
        <w:jc w:val="center"/>
        <w:rPr>
          <w:rFonts w:ascii="黑体" w:hAnsi="黑体" w:eastAsia="黑体" w:cs="Times New Roman"/>
          <w:bCs/>
          <w:sz w:val="32"/>
          <w:szCs w:val="32"/>
        </w:rPr>
      </w:pPr>
      <w:r>
        <w:rPr>
          <w:rFonts w:ascii="Times New Roman" w:hAnsi="Times New Roman" w:eastAsia="华文中宋" w:cs="Times New Roman"/>
          <w:b/>
          <w:bCs/>
          <w:sz w:val="48"/>
        </w:rPr>
        <w:t xml:space="preserve"> </w:t>
      </w:r>
      <w:r>
        <w:rPr>
          <w:rFonts w:ascii="黑体" w:hAnsi="黑体" w:eastAsia="黑体" w:cs="Times New Roman"/>
          <w:b/>
          <w:bCs/>
          <w:sz w:val="32"/>
          <w:szCs w:val="32"/>
        </w:rPr>
        <w:t xml:space="preserve"> </w:t>
      </w:r>
      <w:r>
        <w:rPr>
          <w:rFonts w:ascii="黑体" w:hAnsi="黑体" w:eastAsia="黑体" w:cs="Times New Roman"/>
          <w:b/>
          <w:bCs/>
          <w:sz w:val="32"/>
          <w:szCs w:val="32"/>
          <w:u w:val="single"/>
        </w:rPr>
        <w:t xml:space="preserve">              </w:t>
      </w:r>
      <w:r>
        <w:rPr>
          <w:rFonts w:hint="eastAsia" w:ascii="黑体" w:hAnsi="黑体" w:eastAsia="黑体" w:cs="Times New Roman"/>
          <w:bCs/>
          <w:sz w:val="32"/>
          <w:szCs w:val="32"/>
        </w:rPr>
        <w:t>采</w:t>
      </w:r>
      <w:r>
        <w:rPr>
          <w:rFonts w:ascii="黑体" w:hAnsi="黑体" w:eastAsia="黑体" w:cs="Times New Roman"/>
          <w:bCs/>
          <w:sz w:val="32"/>
          <w:szCs w:val="32"/>
        </w:rPr>
        <w:t xml:space="preserve"> </w:t>
      </w:r>
      <w:r>
        <w:rPr>
          <w:rFonts w:hint="eastAsia" w:ascii="黑体" w:hAnsi="黑体" w:eastAsia="黑体" w:cs="Times New Roman"/>
          <w:bCs/>
          <w:sz w:val="32"/>
          <w:szCs w:val="32"/>
        </w:rPr>
        <w:t>购</w:t>
      </w:r>
      <w:r>
        <w:rPr>
          <w:rFonts w:ascii="黑体" w:hAnsi="黑体" w:eastAsia="黑体" w:cs="Times New Roman"/>
          <w:bCs/>
          <w:sz w:val="32"/>
          <w:szCs w:val="32"/>
        </w:rPr>
        <w:t xml:space="preserve"> </w:t>
      </w:r>
      <w:r>
        <w:rPr>
          <w:rFonts w:hint="eastAsia" w:ascii="黑体" w:hAnsi="黑体" w:eastAsia="黑体" w:cs="Times New Roman"/>
          <w:bCs/>
          <w:sz w:val="32"/>
          <w:szCs w:val="32"/>
        </w:rPr>
        <w:t>合</w:t>
      </w:r>
      <w:r>
        <w:rPr>
          <w:rFonts w:ascii="黑体" w:hAnsi="黑体" w:eastAsia="黑体" w:cs="Times New Roman"/>
          <w:bCs/>
          <w:sz w:val="32"/>
          <w:szCs w:val="32"/>
        </w:rPr>
        <w:t xml:space="preserve"> </w:t>
      </w:r>
      <w:r>
        <w:rPr>
          <w:rFonts w:hint="eastAsia" w:ascii="黑体" w:hAnsi="黑体" w:eastAsia="黑体" w:cs="Times New Roman"/>
          <w:bCs/>
          <w:sz w:val="32"/>
          <w:szCs w:val="32"/>
        </w:rPr>
        <w:t>同</w:t>
      </w:r>
      <w:r>
        <w:rPr>
          <w:rFonts w:ascii="Times New Roman" w:hAnsi="Times New Roman" w:eastAsia="方正小标宋简体" w:cs="Times New Roman"/>
          <w:bCs/>
          <w:sz w:val="48"/>
        </w:rPr>
        <w:t xml:space="preserve">             </w:t>
      </w:r>
      <w:r>
        <w:rPr>
          <w:rFonts w:hint="eastAsia" w:ascii="黑体" w:hAnsi="黑体" w:eastAsia="黑体" w:cs="Times New Roman"/>
          <w:bCs/>
          <w:sz w:val="32"/>
          <w:szCs w:val="32"/>
        </w:rPr>
        <w:t xml:space="preserve"> </w:t>
      </w:r>
    </w:p>
    <w:p>
      <w:pPr>
        <w:adjustRightInd w:val="0"/>
        <w:snapToGrid w:val="0"/>
        <w:jc w:val="center"/>
        <w:rPr>
          <w:rFonts w:ascii="Times New Roman" w:hAnsi="Times New Roman" w:eastAsia="方正小标宋简体" w:cs="Times New Roman"/>
          <w:bCs/>
          <w:sz w:val="48"/>
        </w:rPr>
      </w:pPr>
    </w:p>
    <w:p>
      <w:pPr>
        <w:adjustRightInd w:val="0"/>
        <w:snapToGrid w:val="0"/>
        <w:rPr>
          <w:rFonts w:ascii="Times New Roman" w:hAnsi="Times New Roman" w:eastAsia="华文中宋" w:cs="Times New Roman"/>
          <w:bCs/>
          <w:szCs w:val="21"/>
        </w:rPr>
      </w:pPr>
      <w:r>
        <w:rPr>
          <w:rFonts w:ascii="Times New Roman" w:hAnsi="Times New Roman" w:eastAsia="宋体" w:cs="Times New Roman"/>
        </w:rPr>
        <w:t xml:space="preserve">  </w:t>
      </w:r>
      <w:r>
        <w:rPr>
          <w:rFonts w:hint="eastAsia" w:ascii="Times New Roman" w:hAnsi="Times New Roman" w:eastAsia="宋体" w:cs="Times New Roman"/>
          <w:bCs/>
        </w:rPr>
        <w:t>签订地点：重庆市</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rPr>
        <w:t>　　</w:t>
      </w:r>
      <w:r>
        <w:rPr>
          <w:rFonts w:ascii="Times New Roman" w:hAnsi="Times New Roman" w:eastAsia="宋体" w:cs="Times New Roman"/>
        </w:rPr>
        <w:t xml:space="preserve">  </w:t>
      </w:r>
      <w:r>
        <w:rPr>
          <w:rFonts w:hint="eastAsia" w:ascii="Times New Roman" w:hAnsi="Times New Roman" w:eastAsia="宋体" w:cs="Times New Roman"/>
          <w:bCs/>
        </w:rPr>
        <w:t>签订日期</w:t>
      </w:r>
      <w:r>
        <w:rPr>
          <w:rFonts w:hint="eastAsia" w:ascii="Times New Roman" w:hAnsi="Times New Roman" w:eastAsia="宋体" w:cs="Times New Roman"/>
        </w:rPr>
        <w:t>：</w:t>
      </w:r>
      <w:r>
        <w:rPr>
          <w:rFonts w:ascii="Times New Roman" w:hAnsi="Times New Roman" w:eastAsia="宋体" w:cs="Times New Roman"/>
          <w:bCs/>
        </w:rPr>
        <w:t xml:space="preserve">      </w:t>
      </w:r>
      <w:r>
        <w:rPr>
          <w:rFonts w:hint="eastAsia" w:ascii="Times New Roman" w:hAnsi="Times New Roman" w:eastAsia="宋体" w:cs="Times New Roman"/>
          <w:bCs/>
        </w:rPr>
        <w:t>年</w:t>
      </w:r>
      <w:r>
        <w:rPr>
          <w:rFonts w:ascii="Times New Roman" w:hAnsi="Times New Roman" w:eastAsia="宋体" w:cs="Times New Roman"/>
          <w:bCs/>
        </w:rPr>
        <w:t xml:space="preserve">   </w:t>
      </w:r>
      <w:r>
        <w:rPr>
          <w:rFonts w:hint="eastAsia" w:ascii="Times New Roman" w:hAnsi="Times New Roman" w:eastAsia="宋体" w:cs="Times New Roman"/>
          <w:bCs/>
        </w:rPr>
        <w:t>月</w:t>
      </w:r>
      <w:r>
        <w:rPr>
          <w:rFonts w:ascii="Times New Roman" w:hAnsi="Times New Roman" w:eastAsia="宋体" w:cs="Times New Roman"/>
          <w:bCs/>
        </w:rPr>
        <w:t xml:space="preserve">   </w:t>
      </w:r>
      <w:r>
        <w:rPr>
          <w:rFonts w:hint="eastAsia" w:ascii="Times New Roman" w:hAnsi="Times New Roman" w:eastAsia="宋体" w:cs="Times New Roman"/>
          <w:bCs/>
        </w:rPr>
        <w:t>日</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bCs/>
        </w:rPr>
        <w:t>合同编号</w:t>
      </w:r>
      <w:r>
        <w:rPr>
          <w:rFonts w:hint="eastAsia" w:ascii="Times New Roman" w:hAnsi="Times New Roman" w:eastAsia="宋体" w:cs="Times New Roman"/>
        </w:rPr>
        <w:t>：</w:t>
      </w:r>
      <w:r>
        <w:rPr>
          <w:rFonts w:ascii="Times New Roman" w:hAnsi="Times New Roman" w:eastAsia="宋体" w:cs="Times New Roman"/>
        </w:rPr>
        <w:t xml:space="preserve">             </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83"/>
        <w:gridCol w:w="659"/>
        <w:gridCol w:w="148"/>
        <w:gridCol w:w="1272"/>
        <w:gridCol w:w="1558"/>
        <w:gridCol w:w="3182"/>
        <w:gridCol w:w="364"/>
        <w:gridCol w:w="707"/>
        <w:gridCol w:w="417"/>
        <w:gridCol w:w="574"/>
        <w:gridCol w:w="1561"/>
        <w:gridCol w:w="1558"/>
        <w:gridCol w:w="1700"/>
        <w:gridCol w:w="50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03" w:type="pct"/>
            <w:gridSpan w:val="6"/>
            <w:tcBorders>
              <w:top w:val="single" w:color="auto" w:sz="1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甲　　方</w:t>
            </w:r>
          </w:p>
        </w:tc>
        <w:tc>
          <w:tcPr>
            <w:tcW w:w="2497" w:type="pct"/>
            <w:gridSpan w:val="8"/>
            <w:tcBorders>
              <w:top w:val="single" w:color="auto" w:sz="12" w:space="0"/>
              <w:left w:val="single" w:color="auto" w:sz="2" w:space="0"/>
              <w:bottom w:val="single" w:color="auto" w:sz="2" w:space="0"/>
              <w:right w:val="single" w:color="auto" w:sz="1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乙　　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48"/>
                <w:kern w:val="0"/>
                <w:szCs w:val="21"/>
                <w:fitText w:val="1170" w:id="0"/>
              </w:rPr>
              <w:t>单位名</w:t>
            </w:r>
            <w:r>
              <w:rPr>
                <w:rFonts w:hint="eastAsia" w:ascii="宋体" w:hAnsi="宋体" w:eastAsia="宋体" w:cs="Times New Roman"/>
                <w:bCs/>
                <w:spacing w:val="6"/>
                <w:kern w:val="0"/>
                <w:szCs w:val="21"/>
                <w:fitText w:val="1170" w:id="0"/>
              </w:rPr>
              <w:t>称</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pacing w:val="20"/>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
              </w:rPr>
              <w:t>单位名</w:t>
            </w:r>
            <w:r>
              <w:rPr>
                <w:rFonts w:hint="eastAsia" w:ascii="宋体" w:hAnsi="宋体" w:eastAsia="宋体" w:cs="Times New Roman"/>
                <w:bCs/>
                <w:spacing w:val="6"/>
                <w:kern w:val="0"/>
                <w:szCs w:val="21"/>
                <w:fitText w:val="1170" w:id="1"/>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2"/>
              </w:rPr>
              <w:t>法定代表</w:t>
            </w:r>
            <w:r>
              <w:rPr>
                <w:rFonts w:hint="eastAsia" w:ascii="宋体" w:hAnsi="宋体" w:eastAsia="宋体" w:cs="Times New Roman"/>
                <w:bCs/>
                <w:spacing w:val="-6"/>
                <w:kern w:val="0"/>
                <w:szCs w:val="21"/>
                <w:fitText w:val="1170" w:id="2"/>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3"/>
              </w:rPr>
              <w:t>法定代表</w:t>
            </w:r>
            <w:r>
              <w:rPr>
                <w:rFonts w:hint="eastAsia" w:ascii="宋体" w:hAnsi="宋体" w:eastAsia="宋体" w:cs="Times New Roman"/>
                <w:bCs/>
                <w:spacing w:val="-6"/>
                <w:kern w:val="0"/>
                <w:szCs w:val="21"/>
                <w:fitText w:val="1170" w:id="3"/>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4"/>
              </w:rPr>
              <w:t>委托代理</w:t>
            </w:r>
            <w:r>
              <w:rPr>
                <w:rFonts w:hint="eastAsia" w:ascii="宋体" w:hAnsi="宋体" w:eastAsia="宋体" w:cs="Times New Roman"/>
                <w:bCs/>
                <w:spacing w:val="-6"/>
                <w:kern w:val="0"/>
                <w:szCs w:val="21"/>
                <w:fitText w:val="1170" w:id="4"/>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5"/>
              </w:rPr>
              <w:t>委托代理</w:t>
            </w:r>
            <w:r>
              <w:rPr>
                <w:rFonts w:hint="eastAsia" w:ascii="宋体" w:hAnsi="宋体" w:eastAsia="宋体" w:cs="Times New Roman"/>
                <w:bCs/>
                <w:spacing w:val="-6"/>
                <w:kern w:val="0"/>
                <w:szCs w:val="21"/>
                <w:fitText w:val="1170" w:id="5"/>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6"/>
              </w:rPr>
              <w:t>联系</w:t>
            </w:r>
            <w:r>
              <w:rPr>
                <w:rFonts w:hint="eastAsia" w:ascii="宋体" w:hAnsi="宋体" w:eastAsia="宋体" w:cs="Times New Roman"/>
                <w:bCs/>
                <w:spacing w:val="18"/>
                <w:kern w:val="0"/>
                <w:szCs w:val="21"/>
                <w:fitText w:val="1170" w:id="6"/>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7"/>
              </w:rPr>
              <w:t>联系</w:t>
            </w:r>
            <w:r>
              <w:rPr>
                <w:rFonts w:hint="eastAsia" w:ascii="宋体" w:hAnsi="宋体" w:eastAsia="宋体" w:cs="Times New Roman"/>
                <w:bCs/>
                <w:spacing w:val="18"/>
                <w:kern w:val="0"/>
                <w:szCs w:val="21"/>
                <w:fitText w:val="1170" w:id="7"/>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8"/>
              </w:rPr>
              <w:t>联系电</w:t>
            </w:r>
            <w:r>
              <w:rPr>
                <w:rFonts w:hint="eastAsia" w:ascii="宋体" w:hAnsi="宋体" w:eastAsia="宋体" w:cs="Times New Roman"/>
                <w:bCs/>
                <w:spacing w:val="6"/>
                <w:kern w:val="0"/>
                <w:szCs w:val="21"/>
                <w:fitText w:val="1170" w:id="8"/>
              </w:rPr>
              <w:t>话</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9"/>
              </w:rPr>
              <w:t>联系电</w:t>
            </w:r>
            <w:r>
              <w:rPr>
                <w:rFonts w:hint="eastAsia" w:ascii="宋体" w:hAnsi="宋体" w:eastAsia="宋体" w:cs="Times New Roman"/>
                <w:bCs/>
                <w:spacing w:val="6"/>
                <w:kern w:val="0"/>
                <w:szCs w:val="21"/>
                <w:fitText w:val="1170" w:id="9"/>
              </w:rPr>
              <w:t>话</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0"/>
              </w:rPr>
              <w:t>通讯地</w:t>
            </w:r>
            <w:r>
              <w:rPr>
                <w:rFonts w:hint="eastAsia" w:ascii="宋体" w:hAnsi="宋体" w:eastAsia="宋体" w:cs="Times New Roman"/>
                <w:bCs/>
                <w:spacing w:val="6"/>
                <w:kern w:val="0"/>
                <w:szCs w:val="21"/>
                <w:fitText w:val="1170" w:id="10"/>
              </w:rPr>
              <w:t>址</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1"/>
              </w:rPr>
              <w:t>通讯地</w:t>
            </w:r>
            <w:r>
              <w:rPr>
                <w:rFonts w:hint="eastAsia" w:ascii="宋体" w:hAnsi="宋体" w:eastAsia="宋体" w:cs="Times New Roman"/>
                <w:bCs/>
                <w:spacing w:val="6"/>
                <w:kern w:val="0"/>
                <w:szCs w:val="21"/>
                <w:fitText w:val="1170" w:id="11"/>
              </w:rPr>
              <w:t>址</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2"/>
              </w:rPr>
              <w:t>邮政编</w:t>
            </w:r>
            <w:r>
              <w:rPr>
                <w:rFonts w:hint="eastAsia" w:ascii="宋体" w:hAnsi="宋体" w:eastAsia="宋体" w:cs="Times New Roman"/>
                <w:bCs/>
                <w:spacing w:val="6"/>
                <w:kern w:val="0"/>
                <w:szCs w:val="21"/>
                <w:fitText w:val="1170" w:id="12"/>
              </w:rPr>
              <w:t>码</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3"/>
              </w:rPr>
              <w:t>邮政编</w:t>
            </w:r>
            <w:r>
              <w:rPr>
                <w:rFonts w:hint="eastAsia" w:ascii="宋体" w:hAnsi="宋体" w:eastAsia="宋体" w:cs="Times New Roman"/>
                <w:bCs/>
                <w:spacing w:val="6"/>
                <w:kern w:val="0"/>
                <w:szCs w:val="21"/>
                <w:fitText w:val="1170" w:id="13"/>
              </w:rPr>
              <w:t>码</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4"/>
              </w:rPr>
              <w:t>付款单</w:t>
            </w:r>
            <w:r>
              <w:rPr>
                <w:rFonts w:hint="eastAsia" w:ascii="宋体" w:hAnsi="宋体" w:eastAsia="宋体" w:cs="Times New Roman"/>
                <w:bCs/>
                <w:spacing w:val="6"/>
                <w:kern w:val="0"/>
                <w:szCs w:val="21"/>
                <w:fitText w:val="1170" w:id="14"/>
              </w:rPr>
              <w:t>位</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5"/>
              </w:rPr>
              <w:t>开户名</w:t>
            </w:r>
            <w:r>
              <w:rPr>
                <w:rFonts w:hint="eastAsia" w:ascii="宋体" w:hAnsi="宋体" w:eastAsia="宋体" w:cs="Times New Roman"/>
                <w:bCs/>
                <w:spacing w:val="6"/>
                <w:kern w:val="0"/>
                <w:szCs w:val="21"/>
                <w:fitText w:val="1170" w:id="15"/>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6"/>
              </w:rPr>
              <w:t>开户银</w:t>
            </w:r>
            <w:r>
              <w:rPr>
                <w:rFonts w:hint="eastAsia" w:ascii="宋体" w:hAnsi="宋体" w:eastAsia="宋体" w:cs="Times New Roman"/>
                <w:bCs/>
                <w:spacing w:val="6"/>
                <w:kern w:val="0"/>
                <w:szCs w:val="21"/>
                <w:fitText w:val="1170" w:id="16"/>
              </w:rPr>
              <w:t>行</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7"/>
              </w:rPr>
              <w:t>开户银</w:t>
            </w:r>
            <w:r>
              <w:rPr>
                <w:rFonts w:hint="eastAsia" w:ascii="宋体" w:hAnsi="宋体" w:eastAsia="宋体" w:cs="Times New Roman"/>
                <w:bCs/>
                <w:spacing w:val="6"/>
                <w:kern w:val="0"/>
                <w:szCs w:val="21"/>
                <w:fitText w:val="1170" w:id="17"/>
              </w:rPr>
              <w:t>行</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8"/>
              </w:rPr>
              <w:t>银行账</w:t>
            </w:r>
            <w:r>
              <w:rPr>
                <w:rFonts w:hint="eastAsia" w:ascii="宋体" w:hAnsi="宋体" w:eastAsia="宋体" w:cs="Times New Roman"/>
                <w:bCs/>
                <w:spacing w:val="6"/>
                <w:kern w:val="0"/>
                <w:szCs w:val="21"/>
                <w:fitText w:val="1170" w:id="18"/>
              </w:rPr>
              <w:t>号</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9"/>
              </w:rPr>
              <w:t>银行账</w:t>
            </w:r>
            <w:r>
              <w:rPr>
                <w:rFonts w:hint="eastAsia" w:ascii="宋体" w:hAnsi="宋体" w:eastAsia="宋体" w:cs="Times New Roman"/>
                <w:bCs/>
                <w:spacing w:val="6"/>
                <w:kern w:val="0"/>
                <w:szCs w:val="21"/>
                <w:fitText w:val="1170" w:id="19"/>
              </w:rPr>
              <w:t>号</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5000" w:type="pct"/>
            <w:gridSpan w:val="14"/>
            <w:tcBorders>
              <w:top w:val="single" w:color="auto" w:sz="2" w:space="0"/>
              <w:left w:val="single" w:color="auto" w:sz="12" w:space="0"/>
              <w:bottom w:val="single" w:color="auto" w:sz="2" w:space="0"/>
              <w:right w:val="single" w:color="auto" w:sz="12" w:space="0"/>
            </w:tcBorders>
            <w:vAlign w:val="center"/>
          </w:tcPr>
          <w:p>
            <w:pPr>
              <w:adjustRightInd w:val="0"/>
              <w:snapToGrid w:val="0"/>
              <w:rPr>
                <w:rFonts w:ascii="Times New Roman" w:hAnsi="Times New Roman" w:eastAsia="宋体" w:cs="Times New Roman"/>
                <w:bCs/>
                <w:snapToGrid w:val="0"/>
                <w:spacing w:val="-10"/>
                <w:szCs w:val="21"/>
              </w:rPr>
            </w:pPr>
            <w:r>
              <w:rPr>
                <w:rFonts w:hint="eastAsia" w:ascii="Times New Roman" w:hAnsi="Times New Roman" w:eastAsia="宋体" w:cs="Times New Roman"/>
                <w:bCs/>
                <w:snapToGrid w:val="0"/>
                <w:spacing w:val="-10"/>
                <w:szCs w:val="21"/>
              </w:rPr>
              <w:t>一、项目编号：</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项目名称：</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w:t>
            </w:r>
            <w:r>
              <w:rPr>
                <w:rFonts w:ascii="Times New Roman" w:hAnsi="Times New Roman" w:eastAsia="宋体" w:cs="Times New Roman"/>
                <w:bCs/>
                <w:snapToGrid w:val="0"/>
                <w:spacing w:val="-10"/>
                <w:szCs w:val="21"/>
              </w:rPr>
              <w:t xml:space="preserve"> </w:t>
            </w:r>
            <w:r>
              <w:rPr>
                <w:rFonts w:hint="eastAsia" w:ascii="Times New Roman" w:hAnsi="Times New Roman" w:eastAsia="宋体" w:cs="Times New Roman"/>
                <w:bCs/>
                <w:snapToGrid w:val="0"/>
                <w:spacing w:val="-10"/>
                <w:szCs w:val="21"/>
              </w:rPr>
              <w:t xml:space="preserve"> </w:t>
            </w:r>
          </w:p>
          <w:p>
            <w:pPr>
              <w:adjustRightInd w:val="0"/>
              <w:snapToGrid w:val="0"/>
              <w:rPr>
                <w:rFonts w:ascii="Times New Roman" w:hAnsi="Times New Roman" w:eastAsia="宋体" w:cs="Times New Roman"/>
                <w:bCs/>
                <w:snapToGrid w:val="0"/>
                <w:spacing w:val="-10"/>
                <w:sz w:val="18"/>
              </w:rPr>
            </w:pPr>
            <w:r>
              <w:rPr>
                <w:rFonts w:hint="eastAsia" w:ascii="Times New Roman" w:hAnsi="Times New Roman" w:eastAsia="宋体" w:cs="Times New Roman"/>
                <w:bCs/>
                <w:snapToGrid w:val="0"/>
                <w:spacing w:val="-10"/>
                <w:szCs w:val="21"/>
              </w:rPr>
              <w:t>二、合同标的</w:t>
            </w:r>
            <w:r>
              <w:rPr>
                <w:rFonts w:ascii="Times New Roman" w:hAnsi="Times New Roman" w:eastAsia="宋体" w:cs="Times New Roman"/>
                <w:bCs/>
                <w:snapToGrid w:val="0"/>
                <w:spacing w:val="-10"/>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bCs/>
                <w:sz w:val="18"/>
              </w:rPr>
            </w:pPr>
            <w:r>
              <w:rPr>
                <w:rFonts w:hint="eastAsia" w:ascii="Times New Roman" w:hAnsi="Times New Roman" w:eastAsia="宋体" w:cs="Times New Roman"/>
                <w:bCs/>
                <w:sz w:val="18"/>
              </w:rPr>
              <w:t>序号</w:t>
            </w: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1" w:leftChars="-52"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编码</w:t>
            </w: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物资名称</w:t>
            </w: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生产厂家</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（品牌）</w:t>
            </w: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规格型号</w:t>
            </w: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计量</w:t>
            </w:r>
          </w:p>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单位</w:t>
            </w: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数量</w:t>
            </w: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单价</w:t>
            </w:r>
          </w:p>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27" w:type="pct"/>
            <w:tcBorders>
              <w:top w:val="single" w:color="auto" w:sz="2" w:space="0"/>
              <w:left w:val="single" w:color="auto" w:sz="2" w:space="0"/>
              <w:bottom w:val="single" w:color="auto" w:sz="2" w:space="0"/>
              <w:right w:val="single" w:color="auto" w:sz="2" w:space="0"/>
            </w:tcBorders>
            <w:vAlign w:val="center"/>
          </w:tcPr>
          <w:p>
            <w:pPr>
              <w:widowControl/>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合计金额</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交付时间</w:t>
            </w: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right="-113" w:rightChars="-58"/>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restart"/>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000" w:type="pct"/>
            <w:gridSpan w:val="14"/>
            <w:tcBorders>
              <w:top w:val="nil"/>
              <w:left w:val="single" w:color="auto" w:sz="12" w:space="0"/>
              <w:bottom w:val="single" w:color="auto" w:sz="12" w:space="0"/>
              <w:right w:val="single" w:color="auto" w:sz="12" w:space="0"/>
            </w:tcBorders>
            <w:vAlign w:val="center"/>
          </w:tcPr>
          <w:p>
            <w:pPr>
              <w:adjustRightInd w:val="0"/>
              <w:snapToGrid w:val="0"/>
              <w:ind w:firstLine="98" w:firstLineChars="50"/>
              <w:rPr>
                <w:rFonts w:ascii="Times New Roman" w:hAnsi="Times New Roman" w:eastAsia="宋体" w:cs="Times New Roman"/>
                <w:bCs/>
              </w:rPr>
            </w:pPr>
            <w:r>
              <w:rPr>
                <w:rFonts w:hint="eastAsia" w:ascii="Times New Roman" w:hAnsi="Times New Roman" w:eastAsia="宋体" w:cs="Times New Roman"/>
                <w:bCs/>
              </w:rPr>
              <w:t>合计：人民币（</w:t>
            </w:r>
            <w:r>
              <w:rPr>
                <w:rFonts w:ascii="Times New Roman" w:hAnsi="Times New Roman" w:eastAsia="宋体" w:cs="Times New Roman"/>
                <w:bCs/>
              </w:rPr>
              <w:t xml:space="preserve">      </w:t>
            </w:r>
            <w:r>
              <w:rPr>
                <w:rFonts w:hint="eastAsia" w:ascii="Times New Roman" w:hAnsi="Times New Roman" w:eastAsia="宋体" w:cs="Times New Roman"/>
                <w:bCs/>
              </w:rPr>
              <w:t>）金额（大写）</w:t>
            </w:r>
            <w:r>
              <w:rPr>
                <w:rFonts w:ascii="Times New Roman" w:hAnsi="Times New Roman" w:eastAsia="宋体" w:cs="Times New Roman"/>
                <w:bCs/>
              </w:rPr>
              <w:t xml:space="preserve">    </w:t>
            </w:r>
            <w:r>
              <w:rPr>
                <w:rFonts w:hint="eastAsia" w:ascii="Times New Roman" w:hAnsi="Times New Roman" w:eastAsia="宋体" w:cs="Times New Roman"/>
                <w:bCs/>
              </w:rPr>
              <w:t>亿</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万</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元</w:t>
            </w:r>
            <w:r>
              <w:rPr>
                <w:rFonts w:ascii="Times New Roman" w:hAnsi="Times New Roman" w:eastAsia="宋体" w:cs="Times New Roman"/>
                <w:bCs/>
              </w:rPr>
              <w:t xml:space="preserve">    </w:t>
            </w:r>
            <w:r>
              <w:rPr>
                <w:rFonts w:hint="eastAsia" w:ascii="Times New Roman" w:hAnsi="Times New Roman" w:eastAsia="宋体" w:cs="Times New Roman"/>
                <w:bCs/>
              </w:rPr>
              <w:t>角</w:t>
            </w:r>
            <w:r>
              <w:rPr>
                <w:rFonts w:ascii="Times New Roman" w:hAnsi="Times New Roman" w:eastAsia="宋体" w:cs="Times New Roman"/>
                <w:bCs/>
              </w:rPr>
              <w:t xml:space="preserve">    </w:t>
            </w:r>
            <w:r>
              <w:rPr>
                <w:rFonts w:hint="eastAsia" w:ascii="Times New Roman" w:hAnsi="Times New Roman" w:eastAsia="宋体" w:cs="Times New Roman"/>
                <w:bCs/>
              </w:rPr>
              <w:t>分</w:t>
            </w:r>
            <w:r>
              <w:rPr>
                <w:rFonts w:ascii="Times New Roman" w:hAnsi="Times New Roman" w:eastAsia="宋体" w:cs="Times New Roman"/>
                <w:bCs/>
              </w:rPr>
              <w:t xml:space="preserve">   </w:t>
            </w:r>
            <w:r>
              <w:rPr>
                <w:rFonts w:hint="eastAsia" w:ascii="Times New Roman" w:hAnsi="Times New Roman" w:eastAsia="宋体" w:cs="Times New Roman"/>
                <w:bCs/>
              </w:rPr>
              <w:t>（小写）</w:t>
            </w:r>
            <w:r>
              <w:rPr>
                <w:rFonts w:ascii="Times New Roman" w:hAnsi="Times New Roman" w:eastAsia="宋体" w:cs="Times New Roman"/>
                <w:bCs/>
              </w:rPr>
              <w:t>¥</w:t>
            </w:r>
            <w:r>
              <w:rPr>
                <w:rFonts w:hint="eastAsia" w:ascii="Times New Roman" w:hAnsi="Times New Roman" w:eastAsia="宋体" w:cs="Times New Roman"/>
                <w:bCs/>
              </w:rPr>
              <w:t>：</w:t>
            </w:r>
          </w:p>
        </w:tc>
      </w:tr>
    </w:tbl>
    <w:p>
      <w:pPr>
        <w:adjustRightInd w:val="0"/>
        <w:snapToGrid w:val="0"/>
        <w:rPr>
          <w:rFonts w:ascii="Times New Roman" w:hAnsi="Times New Roman" w:eastAsia="华文中宋" w:cs="Times New Roman"/>
          <w:bCs/>
          <w:szCs w:val="21"/>
        </w:rPr>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78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20" w:hRule="atLeast"/>
          <w:jc w:val="center"/>
        </w:trPr>
        <w:tc>
          <w:tcPr>
            <w:tcW w:w="0" w:type="auto"/>
            <w:tcBorders>
              <w:top w:val="single" w:color="auto" w:sz="12" w:space="0"/>
              <w:left w:val="single" w:color="auto" w:sz="12" w:space="0"/>
              <w:bottom w:val="single" w:color="auto" w:sz="4" w:space="0"/>
              <w:right w:val="single" w:color="auto" w:sz="12" w:space="0"/>
            </w:tcBorders>
            <w:vAlign w:val="center"/>
          </w:tcPr>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三、质量标准</w:t>
            </w:r>
            <w:r>
              <w:rPr>
                <w:rFonts w:hint="eastAsia" w:ascii="宋体" w:hAnsi="宋体" w:eastAsia="宋体" w:cs="Times New Roman"/>
                <w:snapToGrid w:val="0"/>
                <w:sz w:val="18"/>
              </w:rPr>
              <w:t xml:space="preserve">  乙方提供的货物必须是全新的、未使用过的，物资质量应符合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投标书或投标文件承</w:t>
            </w:r>
          </w:p>
          <w:p>
            <w:pPr>
              <w:adjustRightInd w:val="0"/>
              <w:snapToGrid w:val="0"/>
              <w:ind w:firstLine="1239" w:firstLineChars="751"/>
              <w:rPr>
                <w:rFonts w:ascii="宋体" w:hAnsi="宋体" w:eastAsia="宋体" w:cs="Times New Roman"/>
                <w:snapToGrid w:val="0"/>
                <w:sz w:val="18"/>
                <w:u w:val="single"/>
              </w:rPr>
            </w:pPr>
            <w:r>
              <w:rPr>
                <w:rFonts w:hint="eastAsia" w:ascii="宋体" w:hAnsi="宋体" w:eastAsia="宋体" w:cs="Times New Roman"/>
                <w:snapToGrid w:val="0"/>
                <w:sz w:val="18"/>
              </w:rPr>
              <w:t xml:space="preserve">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b/>
                <w:bCs/>
                <w:snapToGrid w:val="0"/>
                <w:sz w:val="18"/>
              </w:rPr>
            </w:pPr>
            <w:r>
              <w:rPr>
                <w:rFonts w:hint="eastAsia" w:ascii="黑体" w:hAnsi="黑体" w:eastAsia="黑体" w:cs="Times New Roman"/>
                <w:bCs/>
                <w:snapToGrid w:val="0"/>
                <w:sz w:val="18"/>
              </w:rPr>
              <w:t>四、包装及资料</w:t>
            </w:r>
            <w:r>
              <w:rPr>
                <w:rFonts w:hint="eastAsia" w:ascii="宋体" w:hAnsi="宋体" w:eastAsia="宋体" w:cs="Times New Roman"/>
                <w:snapToGrid w:val="0"/>
                <w:sz w:val="18"/>
              </w:rPr>
              <w:t xml:space="preserve">  物资包装应符合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 xml:space="preserve">投标书或投标文件承诺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404" w:firstLineChars="851"/>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bCs/>
                <w:snapToGrid w:val="0"/>
                <w:sz w:val="18"/>
              </w:rPr>
              <w:t>物资出厂资料</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中文使用操作说明书（</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售后服务手册  </w:t>
            </w:r>
            <w:r>
              <w:rPr>
                <w:rFonts w:ascii="宋体" w:hAnsi="宋体" w:eastAsia="宋体" w:cs="Times New Roman"/>
                <w:snapToGrid w:val="0"/>
                <w:sz w:val="18"/>
              </w:rPr>
              <w:t>□</w:t>
            </w:r>
            <w:r>
              <w:rPr>
                <w:rFonts w:hint="eastAsia" w:ascii="宋体" w:hAnsi="宋体" w:eastAsia="宋体" w:cs="Times New Roman"/>
                <w:snapToGrid w:val="0"/>
                <w:sz w:val="18"/>
              </w:rPr>
              <w:t>操作维修光盘（</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履历书  </w:t>
            </w:r>
            <w:r>
              <w:rPr>
                <w:rFonts w:ascii="宋体" w:hAnsi="宋体" w:eastAsia="宋体" w:cs="Times New Roman"/>
                <w:snapToGrid w:val="0"/>
                <w:sz w:val="18"/>
              </w:rPr>
              <w:t>□</w:t>
            </w:r>
            <w:r>
              <w:rPr>
                <w:rFonts w:hint="eastAsia" w:ascii="宋体" w:hAnsi="宋体" w:eastAsia="宋体" w:cs="Times New Roman"/>
                <w:snapToGrid w:val="0"/>
                <w:sz w:val="18"/>
              </w:rPr>
              <w:t xml:space="preserve">装箱清单  </w:t>
            </w:r>
            <w:r>
              <w:rPr>
                <w:rFonts w:ascii="宋体" w:hAnsi="宋体" w:eastAsia="宋体" w:cs="Times New Roman"/>
                <w:snapToGrid w:val="0"/>
                <w:sz w:val="18"/>
              </w:rPr>
              <w:t>□</w:t>
            </w:r>
            <w:r>
              <w:rPr>
                <w:rFonts w:hint="eastAsia" w:ascii="宋体" w:hAnsi="宋体" w:eastAsia="宋体" w:cs="Times New Roman"/>
                <w:snapToGrid w:val="0"/>
                <w:sz w:val="18"/>
              </w:rPr>
              <w:t xml:space="preserve">随装工具  </w:t>
            </w:r>
            <w:r>
              <w:rPr>
                <w:rFonts w:ascii="宋体" w:hAnsi="宋体" w:eastAsia="宋体" w:cs="Times New Roman"/>
                <w:snapToGrid w:val="0"/>
                <w:sz w:val="18"/>
              </w:rPr>
              <w:t>□</w:t>
            </w:r>
            <w:r>
              <w:rPr>
                <w:rFonts w:hint="eastAsia" w:ascii="宋体" w:hAnsi="宋体" w:eastAsia="宋体" w:cs="Times New Roman"/>
                <w:snapToGrid w:val="0"/>
                <w:sz w:val="18"/>
              </w:rPr>
              <w:t xml:space="preserve">随装备件  </w:t>
            </w:r>
          </w:p>
          <w:p>
            <w:pPr>
              <w:adjustRightInd w:val="0"/>
              <w:snapToGrid w:val="0"/>
              <w:ind w:firstLine="1404" w:firstLineChars="851"/>
              <w:rPr>
                <w:rFonts w:ascii="宋体" w:hAnsi="宋体" w:eastAsia="宋体" w:cs="Times New Roman"/>
                <w:b/>
                <w:bCs/>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质量检验证明</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产品合格证  </w:t>
            </w:r>
            <w:r>
              <w:rPr>
                <w:rFonts w:ascii="宋体" w:hAnsi="宋体" w:eastAsia="宋体" w:cs="Times New Roman"/>
                <w:snapToGrid w:val="0"/>
                <w:sz w:val="18"/>
              </w:rPr>
              <w:t>□</w:t>
            </w:r>
            <w:r>
              <w:rPr>
                <w:rFonts w:hint="eastAsia" w:ascii="宋体" w:hAnsi="宋体" w:eastAsia="宋体" w:cs="Times New Roman"/>
                <w:snapToGrid w:val="0"/>
                <w:sz w:val="18"/>
              </w:rPr>
              <w:t xml:space="preserve">军检合格证  </w:t>
            </w:r>
            <w:r>
              <w:rPr>
                <w:rFonts w:ascii="宋体" w:hAnsi="宋体" w:eastAsia="宋体" w:cs="Times New Roman"/>
                <w:snapToGrid w:val="0"/>
                <w:sz w:val="18"/>
              </w:rPr>
              <w:t>□</w:t>
            </w:r>
            <w:r>
              <w:rPr>
                <w:rFonts w:hint="eastAsia" w:ascii="宋体" w:hAnsi="宋体" w:eastAsia="宋体" w:cs="Times New Roman"/>
                <w:snapToGrid w:val="0"/>
                <w:sz w:val="18"/>
              </w:rPr>
              <w:t xml:space="preserve">装备铭牌（块数、式样、材质、安装位置供需双方商定）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五、检验验收</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出厂验收由</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组织，乙方配合。  □乙方详细生产地址</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交货验收</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过程检验</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b/>
                <w:bCs/>
                <w:snapToGrid w:val="0"/>
                <w:sz w:val="18"/>
              </w:rPr>
            </w:pPr>
            <w:r>
              <w:rPr>
                <w:rFonts w:hint="eastAsia" w:ascii="黑体" w:hAnsi="黑体" w:eastAsia="黑体" w:cs="Times New Roman"/>
                <w:bCs/>
                <w:snapToGrid w:val="0"/>
                <w:sz w:val="18"/>
              </w:rPr>
              <w:t>六、交货地点</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乙方</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甲方发运接收单指定地点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七、交货方式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甲方自提　</w:t>
            </w:r>
            <w:r>
              <w:rPr>
                <w:rFonts w:ascii="宋体" w:hAnsi="宋体" w:eastAsia="宋体" w:cs="Times New Roman"/>
                <w:snapToGrid w:val="0"/>
                <w:sz w:val="18"/>
              </w:rPr>
              <w:t>□</w:t>
            </w:r>
            <w:r>
              <w:rPr>
                <w:rFonts w:hint="eastAsia" w:ascii="宋体" w:hAnsi="宋体" w:eastAsia="宋体" w:cs="Times New Roman"/>
                <w:snapToGrid w:val="0"/>
                <w:sz w:val="18"/>
              </w:rPr>
              <w:t>乙方送货　</w:t>
            </w:r>
            <w:r>
              <w:rPr>
                <w:rFonts w:ascii="宋体" w:hAnsi="宋体" w:eastAsia="宋体" w:cs="Times New Roman"/>
                <w:snapToGrid w:val="0"/>
                <w:sz w:val="18"/>
              </w:rPr>
              <w:t>□</w:t>
            </w:r>
            <w:r>
              <w:rPr>
                <w:rFonts w:hint="eastAsia" w:ascii="宋体" w:hAnsi="宋体" w:eastAsia="宋体" w:cs="Times New Roman"/>
                <w:snapToGrid w:val="0"/>
                <w:sz w:val="18"/>
              </w:rPr>
              <w:t>甲方负责申请（</w:t>
            </w:r>
            <w:r>
              <w:rPr>
                <w:rFonts w:ascii="宋体" w:hAnsi="宋体" w:eastAsia="宋体" w:cs="Times New Roman"/>
                <w:snapToGrid w:val="0"/>
                <w:sz w:val="18"/>
              </w:rPr>
              <w:t>□</w:t>
            </w:r>
            <w:r>
              <w:rPr>
                <w:rFonts w:hint="eastAsia" w:ascii="宋体" w:hAnsi="宋体" w:eastAsia="宋体" w:cs="Times New Roman"/>
                <w:snapToGrid w:val="0"/>
                <w:sz w:val="18"/>
              </w:rPr>
              <w:t>公路</w:t>
            </w:r>
            <w:r>
              <w:rPr>
                <w:rFonts w:ascii="宋体" w:hAnsi="宋体" w:eastAsia="宋体" w:cs="Times New Roman"/>
                <w:snapToGrid w:val="0"/>
                <w:sz w:val="18"/>
              </w:rPr>
              <w:t xml:space="preserve">  □</w:t>
            </w:r>
            <w:r>
              <w:rPr>
                <w:rFonts w:hint="eastAsia" w:ascii="宋体" w:hAnsi="宋体" w:eastAsia="宋体" w:cs="Times New Roman"/>
                <w:snapToGrid w:val="0"/>
                <w:sz w:val="18"/>
              </w:rPr>
              <w:t>铁路</w:t>
            </w:r>
            <w:r>
              <w:rPr>
                <w:rFonts w:ascii="宋体" w:hAnsi="宋体" w:eastAsia="宋体" w:cs="Times New Roman"/>
                <w:snapToGrid w:val="0"/>
                <w:sz w:val="18"/>
              </w:rPr>
              <w:t xml:space="preserve">  □</w:t>
            </w:r>
            <w:r>
              <w:rPr>
                <w:rFonts w:hint="eastAsia" w:ascii="宋体" w:hAnsi="宋体" w:eastAsia="宋体" w:cs="Times New Roman"/>
                <w:snapToGrid w:val="0"/>
                <w:sz w:val="18"/>
              </w:rPr>
              <w:t>水运</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航空）运输计划组织发运，乙方配合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u w:val="single"/>
              </w:rPr>
            </w:pPr>
            <w:r>
              <w:rPr>
                <w:rFonts w:hint="eastAsia" w:ascii="黑体" w:hAnsi="黑体" w:eastAsia="黑体" w:cs="Times New Roman"/>
                <w:bCs/>
                <w:snapToGrid w:val="0"/>
                <w:sz w:val="18"/>
              </w:rPr>
              <w:t>八、运输费用</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甲方承担，乙方代垫，凭票据报销  </w:t>
            </w:r>
            <w:r>
              <w:rPr>
                <w:rFonts w:ascii="宋体" w:hAnsi="宋体" w:eastAsia="宋体" w:cs="Times New Roman"/>
                <w:snapToGrid w:val="0"/>
                <w:sz w:val="18"/>
              </w:rPr>
              <w:t>□</w:t>
            </w:r>
            <w:r>
              <w:rPr>
                <w:rFonts w:hint="eastAsia" w:ascii="宋体" w:hAnsi="宋体" w:eastAsia="宋体" w:cs="Times New Roman"/>
                <w:snapToGrid w:val="0"/>
                <w:sz w:val="18"/>
              </w:rPr>
              <w:t xml:space="preserve">乙方承担  </w:t>
            </w:r>
            <w:r>
              <w:rPr>
                <w:rFonts w:ascii="宋体" w:hAnsi="宋体" w:eastAsia="宋体" w:cs="Times New Roman"/>
                <w:snapToGrid w:val="0"/>
                <w:sz w:val="18"/>
              </w:rPr>
              <w:t>□</w:t>
            </w:r>
            <w:r>
              <w:rPr>
                <w:rFonts w:hint="eastAsia" w:ascii="宋体" w:hAnsi="宋体" w:eastAsia="宋体" w:cs="Times New Roman"/>
                <w:snapToGrid w:val="0"/>
                <w:sz w:val="18"/>
              </w:rPr>
              <w:t>甲方承担费用</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元，乙方包干使用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九、售后服务</w:t>
            </w:r>
            <w:r>
              <w:rPr>
                <w:rFonts w:hint="eastAsia" w:ascii="宋体" w:hAnsi="宋体" w:eastAsia="宋体" w:cs="Times New Roman"/>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售后服务联系方式：固定电话</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，手机</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，电子邮箱</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79" w:firstLineChars="775"/>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质保期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。质保期内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，超出质保期后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保修期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。保修期内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，超出保修期后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培训方式及费用承担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szCs w:val="18"/>
              </w:rPr>
            </w:pPr>
            <w:r>
              <w:rPr>
                <w:rFonts w:ascii="宋体" w:hAnsi="宋体" w:eastAsia="宋体" w:cs="Times New Roman"/>
                <w:snapToGrid w:val="0"/>
                <w:sz w:val="18"/>
              </w:rPr>
              <w:t>□</w:t>
            </w:r>
            <w:r>
              <w:rPr>
                <w:rFonts w:hint="eastAsia" w:ascii="宋体" w:hAnsi="宋体" w:eastAsia="宋体" w:cs="Times New Roman"/>
                <w:snapToGrid w:val="0"/>
                <w:sz w:val="18"/>
              </w:rPr>
              <w:t xml:space="preserve">乙方承诺在战时和平时特殊情况下的行动中优先向甲方提供有关支援服务。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szCs w:val="18"/>
              </w:rPr>
              <w:t>。</w:t>
            </w:r>
          </w:p>
          <w:p>
            <w:pPr>
              <w:adjustRightInd w:val="0"/>
              <w:snapToGrid w:val="0"/>
              <w:ind w:left="1276" w:hanging="1282" w:hangingChars="777"/>
              <w:rPr>
                <w:rFonts w:ascii="宋体" w:hAnsi="宋体" w:eastAsia="宋体" w:cs="Times New Roman"/>
                <w:snapToGrid w:val="0"/>
                <w:sz w:val="18"/>
              </w:rPr>
            </w:pPr>
            <w:r>
              <w:rPr>
                <w:rFonts w:hint="eastAsia" w:ascii="黑体" w:hAnsi="黑体" w:eastAsia="黑体" w:cs="Times New Roman"/>
                <w:bCs/>
                <w:snapToGrid w:val="0"/>
                <w:sz w:val="18"/>
              </w:rPr>
              <w:t>十、资金结算</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自本合同签订生效之日起</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天内，甲方向乙方支付合同总金额的</w:t>
            </w:r>
            <w:r>
              <w:rPr>
                <w:rFonts w:hint="eastAsia"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的预付款。  </w:t>
            </w:r>
            <w:r>
              <w:rPr>
                <w:rFonts w:ascii="宋体" w:hAnsi="宋体" w:eastAsia="宋体" w:cs="Times New Roman"/>
                <w:snapToGrid w:val="0"/>
                <w:sz w:val="18"/>
              </w:rPr>
              <w:t>□</w:t>
            </w:r>
            <w:r>
              <w:rPr>
                <w:rFonts w:hint="eastAsia" w:ascii="宋体" w:hAnsi="宋体" w:eastAsia="宋体" w:cs="Times New Roman"/>
                <w:snapToGrid w:val="0"/>
                <w:sz w:val="18"/>
              </w:rPr>
              <w:t>首检合格后再办理预付款。</w:t>
            </w:r>
            <w:r>
              <w:rPr>
                <w:rFonts w:cs="Times New Roman" w:asciiTheme="minorEastAsia" w:hAnsiTheme="minorEastAsia"/>
                <w:snapToGrid w:val="0"/>
                <w:sz w:val="18"/>
                <w:szCs w:val="18"/>
              </w:rPr>
              <w:t>□</w:t>
            </w:r>
            <w:r>
              <w:rPr>
                <w:rFonts w:hint="eastAsia" w:ascii="宋体" w:hAnsi="宋体" w:eastAsia="宋体" w:cs="Times New Roman"/>
                <w:snapToGrid w:val="0"/>
                <w:sz w:val="18"/>
              </w:rPr>
              <w:t>物资检验验收合格并完成交货后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天内，甲方凭乙方提供的相关票据单证，向乙方支付合同总金额的</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余</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作为质量保证金，自交货之日起  </w:t>
            </w:r>
            <w:r>
              <w:rPr>
                <w:rFonts w:ascii="宋体" w:hAnsi="宋体" w:eastAsia="宋体" w:cs="Times New Roman"/>
                <w:snapToGrid w:val="0"/>
                <w:sz w:val="18"/>
              </w:rPr>
              <w:t>□</w:t>
            </w:r>
            <w:r>
              <w:rPr>
                <w:rFonts w:hint="eastAsia" w:ascii="宋体" w:hAnsi="宋体" w:eastAsia="宋体" w:cs="Times New Roman"/>
                <w:snapToGrid w:val="0"/>
                <w:sz w:val="18"/>
              </w:rPr>
              <w:t xml:space="preserve">三个月  </w:t>
            </w:r>
            <w:r>
              <w:rPr>
                <w:rFonts w:ascii="宋体" w:hAnsi="宋体" w:eastAsia="宋体" w:cs="Times New Roman"/>
                <w:snapToGrid w:val="0"/>
                <w:sz w:val="18"/>
              </w:rPr>
              <w:t>□</w:t>
            </w:r>
            <w:r>
              <w:rPr>
                <w:rFonts w:hint="eastAsia" w:ascii="宋体" w:hAnsi="宋体" w:eastAsia="宋体" w:cs="Times New Roman"/>
                <w:snapToGrid w:val="0"/>
                <w:sz w:val="18"/>
              </w:rPr>
              <w:t xml:space="preserve">六个月  </w:t>
            </w:r>
            <w:r>
              <w:rPr>
                <w:rFonts w:ascii="宋体" w:hAnsi="宋体" w:eastAsia="宋体" w:cs="Times New Roman"/>
                <w:snapToGrid w:val="0"/>
                <w:sz w:val="18"/>
              </w:rPr>
              <w:t>□</w:t>
            </w:r>
            <w:r>
              <w:rPr>
                <w:rFonts w:hint="eastAsia" w:ascii="宋体" w:hAnsi="宋体" w:eastAsia="宋体" w:cs="Times New Roman"/>
                <w:snapToGrid w:val="0"/>
                <w:sz w:val="18"/>
              </w:rPr>
              <w:t xml:space="preserve">十二个月  </w:t>
            </w:r>
            <w:r>
              <w:rPr>
                <w:rFonts w:ascii="宋体" w:hAnsi="宋体" w:eastAsia="宋体" w:cs="Times New Roman"/>
                <w:snapToGrid w:val="0"/>
                <w:sz w:val="18"/>
              </w:rPr>
              <w:t>□</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月正常使用且无质量问题时，一次性结清。  </w:t>
            </w:r>
            <w:r>
              <w:rPr>
                <w:rFonts w:ascii="宋体" w:hAnsi="宋体" w:eastAsia="宋体" w:cs="Times New Roman"/>
                <w:snapToGrid w:val="0"/>
                <w:sz w:val="18"/>
              </w:rPr>
              <w:t>□</w:t>
            </w:r>
            <w:r>
              <w:rPr>
                <w:rFonts w:hint="eastAsia" w:ascii="宋体" w:hAnsi="宋体" w:eastAsia="宋体" w:cs="Times New Roman"/>
                <w:snapToGrid w:val="0"/>
                <w:sz w:val="18"/>
              </w:rPr>
              <w:t>最终结算按审价报告执行。</w:t>
            </w:r>
          </w:p>
          <w:p>
            <w:pPr>
              <w:adjustRightInd w:val="0"/>
              <w:snapToGrid w:val="0"/>
              <w:rPr>
                <w:rFonts w:ascii="Times New Roman" w:hAnsi="Times New Roman" w:eastAsia="宋体" w:cs="Times New Roman"/>
                <w:bCs/>
                <w:snapToGrid w:val="0"/>
                <w:sz w:val="18"/>
              </w:rPr>
            </w:pPr>
            <w:r>
              <w:rPr>
                <w:rFonts w:hint="eastAsia" w:ascii="黑体" w:hAnsi="黑体" w:eastAsia="黑体" w:cs="Times New Roman"/>
                <w:bCs/>
                <w:snapToGrid w:val="0"/>
                <w:sz w:val="18"/>
              </w:rPr>
              <w:t>十一、知识产权</w:t>
            </w:r>
            <w:r>
              <w:rPr>
                <w:rFonts w:hint="eastAsia" w:ascii="Times New Roman" w:hAnsi="Times New Roman" w:eastAsia="宋体" w:cs="Times New Roman"/>
                <w:b/>
                <w:bCs/>
                <w:snapToGrid w:val="0"/>
                <w:sz w:val="18"/>
              </w:rPr>
              <w:t xml:space="preserve">  </w:t>
            </w:r>
            <w:r>
              <w:rPr>
                <w:rFonts w:hint="eastAsia" w:ascii="Times New Roman" w:hAnsi="Times New Roman" w:eastAsia="宋体" w:cs="Times New Roman"/>
                <w:bCs/>
                <w:snapToGrid w:val="0"/>
                <w:sz w:val="18"/>
              </w:rPr>
              <w:t>乙方应保证甲方使用其提供的物资时不受第三方关于侵犯专利权、商标权和工业设计权的指控，甲方不承担任何连带责任和赔偿责任。</w:t>
            </w:r>
          </w:p>
          <w:p>
            <w:pPr>
              <w:adjustRightInd w:val="0"/>
              <w:snapToGrid w:val="0"/>
              <w:ind w:left="1447" w:hanging="1453" w:hangingChars="881"/>
              <w:rPr>
                <w:rFonts w:ascii="宋体" w:hAnsi="宋体" w:eastAsia="宋体" w:cs="Times New Roman"/>
                <w:b/>
                <w:bCs/>
                <w:snapToGrid w:val="0"/>
                <w:sz w:val="18"/>
              </w:rPr>
            </w:pPr>
            <w:r>
              <w:rPr>
                <w:rFonts w:hint="eastAsia" w:ascii="黑体" w:hAnsi="黑体" w:eastAsia="黑体" w:cs="Times New Roman"/>
                <w:bCs/>
                <w:snapToGrid w:val="0"/>
                <w:sz w:val="18"/>
              </w:rPr>
              <w:t>十二、保密责任</w:t>
            </w:r>
            <w:r>
              <w:rPr>
                <w:rFonts w:hint="eastAsia" w:ascii="宋体" w:hAnsi="宋体" w:eastAsia="宋体" w:cs="Times New Roman"/>
                <w:b/>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甲方对乙方的商业秘密应当保密  </w:t>
            </w:r>
            <w:r>
              <w:rPr>
                <w:rFonts w:ascii="宋体" w:hAnsi="宋体" w:eastAsia="宋体" w:cs="Times New Roman"/>
                <w:snapToGrid w:val="0"/>
                <w:sz w:val="18"/>
              </w:rPr>
              <w:t>□</w:t>
            </w:r>
            <w:r>
              <w:rPr>
                <w:rFonts w:hint="eastAsia" w:ascii="宋体" w:hAnsi="宋体" w:eastAsia="宋体" w:cs="Times New Roman"/>
                <w:bCs/>
                <w:snapToGrid w:val="0"/>
                <w:sz w:val="18"/>
              </w:rPr>
              <w:t xml:space="preserve">乙方对本合同的签订、履行及解除等事项保密，  </w:t>
            </w:r>
            <w:r>
              <w:rPr>
                <w:rFonts w:ascii="宋体" w:hAnsi="宋体" w:eastAsia="宋体" w:cs="Times New Roman"/>
                <w:snapToGrid w:val="0"/>
                <w:sz w:val="18"/>
              </w:rPr>
              <w:t>□</w:t>
            </w:r>
            <w:r>
              <w:rPr>
                <w:rFonts w:hint="eastAsia" w:ascii="宋体" w:hAnsi="宋体" w:eastAsia="宋体" w:cs="Times New Roman"/>
                <w:snapToGrid w:val="0"/>
                <w:sz w:val="18"/>
              </w:rPr>
              <w:t xml:space="preserve">涉及物资的全部技术资料等未经甲方同意乙方不得向社会公开  </w:t>
            </w:r>
            <w:r>
              <w:rPr>
                <w:rFonts w:ascii="宋体" w:hAnsi="宋体" w:eastAsia="宋体" w:cs="Times New Roman"/>
                <w:snapToGrid w:val="0"/>
                <w:sz w:val="18"/>
              </w:rPr>
              <w:t>□</w:t>
            </w:r>
            <w:r>
              <w:rPr>
                <w:rFonts w:hint="eastAsia" w:ascii="宋体" w:hAnsi="宋体" w:eastAsia="宋体" w:cs="Times New Roman"/>
                <w:snapToGrid w:val="0"/>
                <w:sz w:val="18"/>
              </w:rPr>
              <w:t xml:space="preserve">乙方应对甲方委托送货的发运单、接收单位目录和售后服务单位目录等资料，按密级管理，不得泄密。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u w:val="single"/>
              </w:rPr>
              <w:t xml:space="preserve"> </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 xml:space="preserve">十三、合同变更与解除  </w:t>
            </w:r>
            <w:r>
              <w:rPr>
                <w:rFonts w:ascii="宋体" w:hAnsi="宋体" w:eastAsia="宋体" w:cs="Times New Roman"/>
                <w:snapToGrid w:val="0"/>
                <w:sz w:val="18"/>
              </w:rPr>
              <w:t>□</w:t>
            </w:r>
            <w:r>
              <w:rPr>
                <w:rFonts w:hint="eastAsia" w:ascii="宋体" w:hAnsi="宋体" w:eastAsia="宋体" w:cs="Times New Roman"/>
                <w:snapToGrid w:val="0"/>
                <w:sz w:val="18"/>
              </w:rPr>
              <w:t>甲乙双方任何一方要求变更、解除或终止合同时，应及时通知对方，并采用书面形式由双方达成协议</w:t>
            </w:r>
            <w:r>
              <w:rPr>
                <w:rFonts w:ascii="宋体" w:hAnsi="宋体" w:eastAsia="宋体" w:cs="Times New Roman"/>
                <w:snapToGrid w:val="0"/>
                <w:sz w:val="18"/>
              </w:rPr>
              <w:t xml:space="preserve">  □</w:t>
            </w:r>
            <w:r>
              <w:rPr>
                <w:rFonts w:hint="eastAsia" w:ascii="宋体" w:hAnsi="宋体" w:eastAsia="宋体" w:cs="Times New Roman"/>
                <w:snapToGrid w:val="0"/>
                <w:sz w:val="18"/>
              </w:rPr>
              <w:t>甲方因任务取消等情况，可以变更或解除合同，给乙方造成损失的，甲方应当赔偿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乙方不能履行合同时，甲方有权解除合同，给甲方造成损失的，乙方应当赔偿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未经甲方允许，乙方不得部分或全部转让其应履行的合同义务</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产品出厂验收不合格，甲方有权拒收货物和支付货款，由此造成的一切损失由乙方承担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十四、违约责任</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甲乙任何一方未经对方允许而违约时，违约方应向对方支付违约金，按</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执行，违约金最高限额为合同总金额的</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hAnsi="宋体" w:eastAsia="宋体" w:cs="Times New Roman"/>
                <w:snapToGrid w:val="0"/>
                <w:sz w:val="18"/>
              </w:rPr>
              <w:t>36</w:t>
            </w:r>
            <w:r>
              <w:rPr>
                <w:rFonts w:hint="eastAsia" w:ascii="宋体" w:hAnsi="宋体" w:eastAsia="宋体" w:cs="Times New Roman"/>
                <w:snapToGrid w:val="0"/>
                <w:sz w:val="18"/>
              </w:rPr>
              <w:t>小时内将情况通知另一方，在灾害发生后</w:t>
            </w:r>
            <w:r>
              <w:rPr>
                <w:rFonts w:ascii="宋体" w:hAnsi="宋体" w:eastAsia="宋体" w:cs="Times New Roman"/>
                <w:snapToGrid w:val="0"/>
                <w:sz w:val="18"/>
              </w:rPr>
              <w:t>14</w:t>
            </w:r>
            <w:r>
              <w:rPr>
                <w:rFonts w:hint="eastAsia" w:ascii="宋体" w:hAnsi="宋体" w:eastAsia="宋体" w:cs="Times New Roman"/>
                <w:snapToGrid w:val="0"/>
                <w:sz w:val="18"/>
              </w:rPr>
              <w:t>天内向另一方出具权威部门的证明文件。如果不可抗力影响连续</w:t>
            </w:r>
            <w:r>
              <w:rPr>
                <w:rFonts w:ascii="宋体" w:hAnsi="宋体" w:eastAsia="宋体" w:cs="Times New Roman"/>
                <w:snapToGrid w:val="0"/>
                <w:sz w:val="18"/>
              </w:rPr>
              <w:t>120</w:t>
            </w:r>
            <w:r>
              <w:rPr>
                <w:rFonts w:hint="eastAsia" w:ascii="宋体" w:hAnsi="宋体" w:eastAsia="宋体" w:cs="Times New Roman"/>
                <w:snapToGrid w:val="0"/>
                <w:sz w:val="18"/>
              </w:rPr>
              <w:t>天以上时，双方可以重新商定合同履行问题。</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十五、合同争议解决方式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甲乙双方协商解决  </w:t>
            </w:r>
            <w:r>
              <w:rPr>
                <w:rFonts w:ascii="宋体" w:hAnsi="宋体" w:eastAsia="宋体" w:cs="Times New Roman"/>
                <w:snapToGrid w:val="0"/>
                <w:sz w:val="18"/>
              </w:rPr>
              <w:t>□</w:t>
            </w:r>
            <w:r>
              <w:rPr>
                <w:rFonts w:hint="eastAsia" w:ascii="宋体" w:hAnsi="宋体" w:eastAsia="宋体" w:cs="Times New Roman"/>
                <w:snapToGrid w:val="0"/>
                <w:sz w:val="18"/>
              </w:rPr>
              <w:t xml:space="preserve">提交甲方或乙方主管部门调解  </w:t>
            </w:r>
            <w:r>
              <w:rPr>
                <w:rFonts w:ascii="宋体" w:hAnsi="宋体" w:eastAsia="宋体" w:cs="Times New Roman"/>
                <w:snapToGrid w:val="0"/>
                <w:sz w:val="18"/>
              </w:rPr>
              <w:t>□</w:t>
            </w:r>
            <w:r>
              <w:rPr>
                <w:rFonts w:hint="eastAsia" w:ascii="宋体" w:hAnsi="宋体" w:eastAsia="宋体" w:cs="Times New Roman"/>
                <w:snapToGrid w:val="0"/>
                <w:sz w:val="18"/>
              </w:rPr>
              <w:t>提交</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仲裁委员会仲裁  </w:t>
            </w:r>
            <w:r>
              <w:rPr>
                <w:rFonts w:ascii="宋体" w:hAnsi="宋体" w:eastAsia="宋体" w:cs="Times New Roman"/>
                <w:snapToGrid w:val="0"/>
                <w:sz w:val="18"/>
              </w:rPr>
              <w:t>□</w:t>
            </w:r>
            <w:r>
              <w:rPr>
                <w:rFonts w:hint="eastAsia" w:ascii="宋体" w:hAnsi="宋体" w:eastAsia="宋体" w:cs="Times New Roman"/>
                <w:snapToGrid w:val="0"/>
                <w:sz w:val="18"/>
              </w:rPr>
              <w:t>依法向</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人民法院起诉。</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十六、合同生效</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草本合同由甲乙双方法定代表人或委托代理人签字并经单位盖章，由甲方报上级有关部门审批通过后，签订正式合同。</w:t>
            </w:r>
            <w:r>
              <w:rPr>
                <w:rFonts w:ascii="宋体" w:hAnsi="宋体" w:eastAsia="宋体" w:cs="Times New Roman"/>
                <w:snapToGrid w:val="0"/>
                <w:sz w:val="18"/>
              </w:rPr>
              <w:t xml:space="preserve"> </w:t>
            </w:r>
          </w:p>
          <w:p>
            <w:pPr>
              <w:adjustRightInd w:val="0"/>
              <w:snapToGrid w:val="0"/>
              <w:ind w:firstLine="248" w:firstLineChars="150"/>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正式合同由甲乙双方法定代表人或委托代理人签字并经单位盖章后生效。</w:t>
            </w:r>
          </w:p>
          <w:p>
            <w:pPr>
              <w:adjustRightInd w:val="0"/>
              <w:snapToGrid w:val="0"/>
              <w:ind w:firstLine="248" w:firstLineChars="150"/>
              <w:rPr>
                <w:rFonts w:ascii="宋体" w:hAnsi="宋体" w:eastAsia="宋体" w:cs="Times New Roman"/>
                <w:snapToGrid w:val="0"/>
                <w:sz w:val="18"/>
              </w:rPr>
            </w:pPr>
            <w:r>
              <w:rPr>
                <w:rFonts w:hint="eastAsia" w:cs="Times New Roman" w:asciiTheme="minorEastAsia" w:hAnsiTheme="minorEastAsia"/>
                <w:snapToGrid w:val="0"/>
                <w:sz w:val="18"/>
                <w:szCs w:val="18"/>
              </w:rPr>
              <w:t>正式合同一式</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份，甲方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份，乙方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份，具有同等法律效力。</w:t>
            </w:r>
            <w:r>
              <w:rPr>
                <w:rFonts w:cs="Times New Roman" w:asciiTheme="minorEastAsia" w:hAnsiTheme="minorEastAsia"/>
                <w:snapToGrid w:val="0"/>
                <w:sz w:val="18"/>
                <w:szCs w:val="18"/>
              </w:rPr>
              <w:t>□</w:t>
            </w:r>
            <w:r>
              <w:rPr>
                <w:rFonts w:hint="eastAsia" w:cs="Times New Roman" w:asciiTheme="minorEastAsia" w:hAnsiTheme="minorEastAsia"/>
                <w:snapToGrid w:val="0"/>
                <w:sz w:val="18"/>
                <w:szCs w:val="18"/>
              </w:rPr>
              <w:t>合同有效期限</w:t>
            </w:r>
            <w:r>
              <w:rPr>
                <w:rFonts w:hint="eastAsia" w:cs="Times New Roman" w:asciiTheme="minorEastAsia" w:hAnsiTheme="minorEastAsia"/>
                <w:snapToGrid w:val="0"/>
                <w:sz w:val="18"/>
                <w:szCs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十七、合同附件</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 xml:space="preserve"> □1.交货清单  □2.主要技术指标参数  □3.售后服务承诺  □4.易损易耗件清单  </w:t>
            </w:r>
          </w:p>
          <w:p>
            <w:pPr>
              <w:adjustRightInd w:val="0"/>
              <w:snapToGrid w:val="0"/>
              <w:ind w:firstLine="1411" w:firstLineChars="855"/>
              <w:rPr>
                <w:rFonts w:ascii="宋体" w:hAnsi="宋体" w:eastAsia="宋体" w:cs="Times New Roman"/>
                <w:snapToGrid w:val="0"/>
                <w:sz w:val="18"/>
              </w:rPr>
            </w:pPr>
            <w:r>
              <w:rPr>
                <w:rFonts w:hint="eastAsia" w:ascii="宋体" w:hAnsi="宋体" w:eastAsia="宋体" w:cs="Times New Roman"/>
                <w:snapToGrid w:val="0"/>
                <w:sz w:val="18"/>
              </w:rPr>
              <w:t>□5.</w:t>
            </w:r>
            <w:r>
              <w:rPr>
                <w:rFonts w:hint="eastAsia" w:ascii="仿宋_GB2312" w:hAnsi="Times New Roman" w:eastAsia="仿宋_GB2312" w:cs="Times New Roman"/>
                <w:sz w:val="32"/>
                <w:szCs w:val="32"/>
              </w:rPr>
              <w:t xml:space="preserve"> </w:t>
            </w:r>
            <w:r>
              <w:rPr>
                <w:rFonts w:hint="eastAsia" w:ascii="宋体" w:hAnsi="宋体" w:eastAsia="宋体" w:cs="Times New Roman"/>
                <w:snapToGrid w:val="0"/>
                <w:sz w:val="18"/>
              </w:rPr>
              <w:t>详见乙方参与采购人</w:t>
            </w:r>
            <w:r>
              <w:rPr>
                <w:rFonts w:ascii="宋体" w:hAnsi="宋体" w:eastAsia="宋体" w:cs="Times New Roman"/>
                <w:szCs w:val="21"/>
                <w:u w:val="single"/>
              </w:rPr>
              <w:t xml:space="preserve">     </w:t>
            </w:r>
            <w:r>
              <w:rPr>
                <w:rFonts w:hint="eastAsia" w:ascii="宋体" w:hAnsi="宋体" w:eastAsia="宋体" w:cs="Times New Roman"/>
                <w:snapToGrid w:val="0"/>
                <w:sz w:val="18"/>
              </w:rPr>
              <w:t>项目（项目编号：</w:t>
            </w:r>
            <w:r>
              <w:rPr>
                <w:rFonts w:ascii="宋体" w:hAnsi="宋体" w:eastAsia="宋体" w:cs="Times New Roman"/>
                <w:szCs w:val="21"/>
                <w:u w:val="single"/>
              </w:rPr>
              <w:t xml:space="preserve">     </w:t>
            </w:r>
            <w:r>
              <w:rPr>
                <w:rFonts w:hint="eastAsia" w:ascii="宋体" w:hAnsi="宋体" w:eastAsia="宋体" w:cs="Times New Roman"/>
                <w:snapToGrid w:val="0"/>
                <w:sz w:val="18"/>
              </w:rPr>
              <w:t>）投标文件和评审现场承诺，本合同不另附。</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十八、其    他</w:t>
            </w:r>
            <w:r>
              <w:rPr>
                <w:rFonts w:ascii="Times New Roman" w:hAnsi="Times New Roman" w:eastAsia="宋体" w:cs="Times New Roman"/>
                <w:b/>
                <w:bCs/>
                <w:snapToGrid w:val="0"/>
                <w:sz w:val="18"/>
              </w:rPr>
              <w:t xml:space="preserve"> </w:t>
            </w:r>
            <w:r>
              <w:rPr>
                <w:rFonts w:ascii="Times New Roman" w:hAnsi="Times New Roman" w:eastAsia="宋体" w:cs="Times New Roman"/>
                <w:snapToGrid w:val="0"/>
                <w:sz w:val="18"/>
                <w:u w:val="single"/>
              </w:rPr>
              <w:t xml:space="preserve">                                           </w:t>
            </w:r>
            <w:r>
              <w:rPr>
                <w:rFonts w:hint="eastAsia" w:ascii="Times New Roman" w:hAnsi="Times New Roman"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十九、</w:t>
            </w:r>
            <w:r>
              <w:rPr>
                <w:rFonts w:hint="eastAsia" w:ascii="Times New Roman" w:hAnsi="Times New Roman" w:eastAsia="宋体" w:cs="Times New Roman"/>
                <w:snapToGrid w:val="0"/>
                <w:sz w:val="18"/>
              </w:rPr>
              <w:t>未尽事宜由甲乙双方协商确定。</w:t>
            </w:r>
            <w:r>
              <w:rPr>
                <w:rFonts w:ascii="Times New Roman" w:hAnsi="Times New Roman" w:eastAsia="宋体" w:cs="Times New Roman"/>
                <w:snapToGrid w:val="0"/>
                <w:sz w:val="18"/>
              </w:rPr>
              <w:t xml:space="preserve"> </w:t>
            </w:r>
          </w:p>
        </w:tc>
      </w:tr>
    </w:tbl>
    <w:p>
      <w:pPr>
        <w:rPr>
          <w:rFonts w:ascii="黑体" w:hAnsi="Times New Roman" w:eastAsia="黑体" w:cs="Times New Roman"/>
          <w:sz w:val="28"/>
          <w:szCs w:val="28"/>
        </w:rPr>
      </w:pPr>
    </w:p>
    <w:p>
      <w:pPr>
        <w:widowControl/>
        <w:jc w:val="left"/>
        <w:rPr>
          <w:rFonts w:ascii="黑体" w:hAnsi="Times New Roman" w:eastAsia="黑体" w:cs="Times New Roman"/>
          <w:sz w:val="28"/>
          <w:szCs w:val="28"/>
        </w:rPr>
      </w:pPr>
      <w:r>
        <w:rPr>
          <w:rFonts w:ascii="黑体" w:hAnsi="Times New Roman" w:eastAsia="黑体" w:cs="Times New Roman"/>
          <w:sz w:val="28"/>
          <w:szCs w:val="28"/>
        </w:rPr>
        <w:br w:type="page"/>
      </w:r>
    </w:p>
    <w:p>
      <w:pPr>
        <w:rPr>
          <w:rFonts w:ascii="黑体" w:hAnsi="Times New Roman" w:eastAsia="黑体" w:cs="Times New Roman"/>
          <w:sz w:val="28"/>
          <w:szCs w:val="28"/>
        </w:rPr>
      </w:pPr>
      <w:r>
        <w:rPr>
          <w:rFonts w:hint="eastAsia" w:ascii="黑体" w:hAnsi="Times New Roman" w:eastAsia="黑体" w:cs="Times New Roman"/>
          <w:sz w:val="28"/>
          <w:szCs w:val="28"/>
        </w:rPr>
        <w:t>附件1</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交货清单</w:t>
      </w:r>
    </w:p>
    <w:tbl>
      <w:tblPr>
        <w:tblStyle w:val="17"/>
        <w:tblW w:w="440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64"/>
        <w:gridCol w:w="2888"/>
        <w:gridCol w:w="2563"/>
        <w:gridCol w:w="1996"/>
        <w:gridCol w:w="1526"/>
        <w:gridCol w:w="822"/>
        <w:gridCol w:w="24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88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品名</w:t>
            </w:r>
          </w:p>
        </w:tc>
        <w:tc>
          <w:tcPr>
            <w:tcW w:w="256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生产厂家（品牌）</w:t>
            </w:r>
          </w:p>
        </w:tc>
        <w:tc>
          <w:tcPr>
            <w:tcW w:w="199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规格型号</w:t>
            </w:r>
          </w:p>
        </w:tc>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82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单位</w:t>
            </w:r>
          </w:p>
        </w:tc>
        <w:tc>
          <w:tcPr>
            <w:tcW w:w="246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88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56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82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6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88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56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82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6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Cs w:val="21"/>
        </w:rPr>
      </w:pPr>
      <w:r>
        <w:rPr>
          <w:rFonts w:hint="eastAsia" w:ascii="Times New Roman" w:hAnsi="Times New Roman" w:eastAsia="宋体" w:cs="Times New Roman"/>
          <w:kern w:val="0"/>
          <w:szCs w:val="21"/>
        </w:rPr>
        <w:t>注：1.含备品备件。</w:t>
      </w:r>
    </w:p>
    <w:p>
      <w:pPr>
        <w:ind w:firstLine="39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2.按交货时可验视部分填写。</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附件2</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投标产品技术指标参数</w:t>
      </w:r>
    </w:p>
    <w:tbl>
      <w:tblPr>
        <w:tblStyle w:val="17"/>
        <w:tblW w:w="473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91"/>
        <w:gridCol w:w="5341"/>
        <w:gridCol w:w="76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534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配置</w:t>
            </w:r>
          </w:p>
        </w:tc>
        <w:tc>
          <w:tcPr>
            <w:tcW w:w="766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技术指标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34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766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34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766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附件3</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售后服务承诺</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附件4</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易损易耗件清单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2406"/>
        <w:gridCol w:w="2407"/>
        <w:gridCol w:w="2114"/>
        <w:gridCol w:w="1761"/>
        <w:gridCol w:w="1996"/>
        <w:gridCol w:w="1644"/>
        <w:gridCol w:w="1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kern w:val="0"/>
                <w:szCs w:val="21"/>
              </w:rPr>
              <w:t>易损易耗件</w:t>
            </w:r>
            <w:r>
              <w:rPr>
                <w:rFonts w:hint="eastAsia" w:ascii="Times New Roman" w:hAnsi="Times New Roman" w:eastAsia="宋体" w:cs="Times New Roman"/>
                <w:snapToGrid w:val="0"/>
                <w:kern w:val="0"/>
                <w:szCs w:val="21"/>
              </w:rPr>
              <w:t>名称</w:t>
            </w:r>
          </w:p>
        </w:tc>
        <w:tc>
          <w:tcPr>
            <w:tcW w:w="24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规格型号</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生产厂家（品牌）</w:t>
            </w: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 w:val="28"/>
          <w:szCs w:val="28"/>
        </w:rPr>
      </w:pPr>
    </w:p>
    <w:p>
      <w:pPr>
        <w:jc w:val="center"/>
        <w:rPr>
          <w:rFonts w:ascii="Times New Roman" w:hAnsi="Times New Roman" w:eastAsia="宋体" w:cs="Times New Roman"/>
          <w:kern w:val="0"/>
          <w:sz w:val="28"/>
          <w:szCs w:val="28"/>
        </w:rPr>
        <w:sectPr>
          <w:headerReference r:id="rId8" w:type="default"/>
          <w:footerReference r:id="rId9" w:type="default"/>
          <w:pgSz w:w="16838" w:h="11906" w:orient="landscape"/>
          <w:pgMar w:top="1021" w:right="1134" w:bottom="567" w:left="1134" w:header="567" w:footer="567" w:gutter="0"/>
          <w:cols w:space="425" w:num="1"/>
          <w:docGrid w:type="linesAndChars" w:linePitch="412" w:charSpace="-3223"/>
        </w:sectPr>
      </w:pPr>
    </w:p>
    <w:p>
      <w:pPr>
        <w:jc w:val="center"/>
        <w:outlineLvl w:val="0"/>
        <w:rPr>
          <w:rFonts w:ascii="黑体" w:hAnsi="黑体" w:eastAsia="黑体" w:cs="Times New Roman"/>
          <w:kern w:val="0"/>
          <w:sz w:val="32"/>
          <w:szCs w:val="32"/>
        </w:rPr>
      </w:pPr>
      <w:bookmarkStart w:id="18" w:name="_Toc240432233"/>
      <w:bookmarkStart w:id="19" w:name="_Toc285612604"/>
      <w:bookmarkStart w:id="20" w:name="_Toc37172691"/>
      <w:bookmarkStart w:id="21" w:name="_Toc435540982"/>
      <w:bookmarkStart w:id="22" w:name="_Toc390713970"/>
      <w:r>
        <w:rPr>
          <w:rFonts w:hint="eastAsia" w:ascii="黑体" w:hAnsi="黑体" w:eastAsia="黑体" w:cs="Times New Roman"/>
          <w:kern w:val="0"/>
          <w:sz w:val="32"/>
          <w:szCs w:val="32"/>
        </w:rPr>
        <w:t>第五部分  附件/投标文件格式</w:t>
      </w:r>
      <w:bookmarkEnd w:id="18"/>
      <w:bookmarkEnd w:id="19"/>
      <w:bookmarkEnd w:id="20"/>
      <w:bookmarkEnd w:id="21"/>
      <w:bookmarkEnd w:id="22"/>
    </w:p>
    <w:p>
      <w:pPr>
        <w:rPr>
          <w:rFonts w:cs="Times New Roman" w:asciiTheme="majorEastAsia" w:hAnsiTheme="majorEastAsia" w:eastAsiaTheme="majorEastAsia"/>
          <w:kern w:val="0"/>
          <w:sz w:val="30"/>
          <w:szCs w:val="30"/>
        </w:rPr>
      </w:pP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附件1：开标一览表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附件2：分项报价表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附件3：投标函</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附件4：货物简要说明一览表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附件5：主要技术性能参数表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附件6：技术指标参数响应偏离表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附件7：主要商务条款响应偏离表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附件8：交货清单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附件9：易损易耗备件清单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附件10：专机配套耗材（试剂）明细表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附件11：投标人售后服务承诺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附件12：生产厂家售后服务承诺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附件13：近3年中标成交案例及同类项目案例</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附件14：技术评审表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附件15：商务评审表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附件16：法定代表人资格证明书（含法定代表人身份证复印件）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附件17：法定代表人授权书（含法定代表人身份证复印件）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附件18：主要股东或出资人信息</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附件19：保密承诺书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附件20：廉洁诚信承诺书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附件21：相关声明书（包含但不限于以下内容：①非外资企业或外资控股企业的书面声明；②参加本次采购活动前3年内在经营活动中没有重大违法记录的书面声明）</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附件22：生产企业对代理公司投标授权书</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sectPr>
          <w:headerReference r:id="rId10"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开标一览表</w:t>
      </w:r>
    </w:p>
    <w:p>
      <w:pPr>
        <w:rPr>
          <w:rFonts w:ascii="Times New Roman" w:hAnsi="Times New Roman" w:eastAsia="宋体" w:cs="Times New Roman"/>
          <w:kern w:val="0"/>
          <w:sz w:val="28"/>
          <w:szCs w:val="28"/>
        </w:rPr>
      </w:pPr>
    </w:p>
    <w:p>
      <w:pPr>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项目编号：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b/>
          <w:kern w:val="0"/>
          <w:sz w:val="24"/>
          <w:szCs w:val="24"/>
        </w:rPr>
        <w:t>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804"/>
        <w:gridCol w:w="1039"/>
        <w:gridCol w:w="2268"/>
        <w:gridCol w:w="1842"/>
        <w:gridCol w:w="851"/>
        <w:gridCol w:w="850"/>
        <w:gridCol w:w="1134"/>
        <w:gridCol w:w="1276"/>
        <w:gridCol w:w="1559"/>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品牌</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（含税）</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p>
            <w:pPr>
              <w:jc w:val="center"/>
              <w:rPr>
                <w:rFonts w:ascii="宋体" w:hAnsi="宋体" w:eastAsia="宋体" w:cs="Times New Roman"/>
                <w:bCs/>
                <w:spacing w:val="-4"/>
                <w:kern w:val="0"/>
                <w:sz w:val="24"/>
                <w:szCs w:val="24"/>
              </w:rPr>
            </w:pPr>
            <w:r>
              <w:rPr>
                <w:rFonts w:hint="eastAsia" w:ascii="宋体" w:hAnsi="宋体" w:eastAsia="宋体" w:cs="Times New Roman"/>
                <w:kern w:val="0"/>
                <w:sz w:val="24"/>
                <w:szCs w:val="24"/>
              </w:rPr>
              <w:t>（含税）</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交货时间</w:t>
            </w: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kern w:val="0"/>
                <w:sz w:val="24"/>
                <w:szCs w:val="24"/>
              </w:rPr>
              <w:t>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计</w:t>
            </w: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786" w:type="dxa"/>
            <w:gridSpan w:val="1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bCs/>
                <w:spacing w:val="-4"/>
                <w:kern w:val="0"/>
                <w:sz w:val="24"/>
                <w:szCs w:val="24"/>
              </w:rPr>
              <w:t>投标总价（人民币大写）：</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 xml:space="preserve"> </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（小写）</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r>
              <w:rPr>
                <w:rFonts w:hint="eastAsia" w:ascii="宋体" w:hAnsi="宋体" w:eastAsia="宋体" w:cs="Times New Roman"/>
                <w:bCs/>
                <w:spacing w:val="-4"/>
                <w:kern w:val="0"/>
                <w:sz w:val="24"/>
                <w:szCs w:val="24"/>
              </w:rPr>
              <w:t>保修期（年）</w:t>
            </w:r>
          </w:p>
        </w:tc>
        <w:tc>
          <w:tcPr>
            <w:tcW w:w="12693"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w:t>
      </w:r>
      <w:r>
        <w:rPr>
          <w:rFonts w:hint="eastAsia" w:ascii="Times New Roman" w:hAnsi="Times New Roman" w:eastAsia="宋体" w:cs="Times New Roman"/>
          <w:kern w:val="0"/>
          <w:sz w:val="24"/>
          <w:szCs w:val="24"/>
        </w:rPr>
        <w:t>总价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单价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数量</w:t>
      </w:r>
      <w:r>
        <w:rPr>
          <w:rFonts w:hint="eastAsia" w:ascii="宋体" w:hAnsi="宋体" w:eastAsia="宋体" w:cs="Times New Roman"/>
          <w:kern w:val="0"/>
          <w:sz w:val="24"/>
          <w:szCs w:val="24"/>
        </w:rPr>
        <w:t>，货物总金额</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总价之和</w:t>
      </w:r>
      <w:r>
        <w:rPr>
          <w:rFonts w:hint="eastAsia" w:ascii="宋体" w:hAnsi="宋体" w:eastAsia="宋体" w:cs="Times New Roman"/>
          <w:kern w:val="0"/>
          <w:sz w:val="24"/>
          <w:szCs w:val="24"/>
        </w:rPr>
        <w:t>。</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投标人全称：（盖章）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rPr>
          <w:rFonts w:ascii="宋体" w:hAnsi="宋体" w:eastAsia="宋体" w:cs="Times New Roman"/>
          <w:color w:val="0000FF"/>
          <w:kern w:val="0"/>
          <w:sz w:val="24"/>
          <w:szCs w:val="24"/>
        </w:rPr>
      </w:pPr>
    </w:p>
    <w:p>
      <w:pPr>
        <w:rPr>
          <w:rFonts w:ascii="黑体" w:hAnsi="黑体" w:eastAsia="黑体" w:cs="Times New Roman"/>
          <w:color w:val="0000FF"/>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附件2</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分项报价表</w:t>
      </w:r>
    </w:p>
    <w:p>
      <w:pPr>
        <w:tabs>
          <w:tab w:val="left" w:pos="1215"/>
        </w:tabs>
        <w:jc w:val="left"/>
        <w:rPr>
          <w:rFonts w:ascii="宋体" w:hAnsi="宋体" w:eastAsia="宋体" w:cs="Times New Roman"/>
          <w:kern w:val="0"/>
          <w:sz w:val="24"/>
          <w:szCs w:val="24"/>
        </w:rPr>
      </w:pPr>
      <w:r>
        <w:rPr>
          <w:rFonts w:ascii="宋体" w:hAnsi="宋体" w:eastAsia="宋体" w:cs="Times New Roman"/>
          <w:kern w:val="0"/>
          <w:sz w:val="24"/>
          <w:szCs w:val="24"/>
        </w:rPr>
        <w:tab/>
      </w:r>
    </w:p>
    <w:p>
      <w:pPr>
        <w:jc w:val="left"/>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spacing w:val="8"/>
          <w:kern w:val="0"/>
          <w:sz w:val="24"/>
          <w:szCs w:val="24"/>
        </w:rPr>
        <w:t>项目编</w:t>
      </w:r>
      <w:r>
        <w:rPr>
          <w:rFonts w:hint="eastAsia" w:ascii="宋体" w:hAnsi="宋体" w:eastAsia="宋体" w:cs="Times New Roman"/>
          <w:kern w:val="0"/>
          <w:sz w:val="24"/>
          <w:szCs w:val="24"/>
        </w:rPr>
        <w:t>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014"/>
        <w:gridCol w:w="1701"/>
        <w:gridCol w:w="1559"/>
        <w:gridCol w:w="2693"/>
        <w:gridCol w:w="851"/>
        <w:gridCol w:w="850"/>
        <w:gridCol w:w="992"/>
        <w:gridCol w:w="1276"/>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原产地</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786"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0"/>
                <w:sz w:val="24"/>
                <w:szCs w:val="24"/>
              </w:rPr>
            </w:pPr>
            <w:r>
              <w:rPr>
                <w:rFonts w:hint="eastAsia" w:ascii="宋体" w:hAnsi="宋体" w:eastAsia="宋体" w:cs="Times New Roman"/>
                <w:kern w:val="0"/>
                <w:sz w:val="24"/>
                <w:szCs w:val="24"/>
              </w:rPr>
              <w:t>货物总金额（大写人民币）：</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w:t>
            </w: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w:t>
      </w:r>
      <w:r>
        <w:rPr>
          <w:rFonts w:ascii="宋体" w:hAnsi="宋体" w:eastAsia="宋体" w:cs="Times New Roman"/>
          <w:kern w:val="0"/>
          <w:sz w:val="24"/>
          <w:szCs w:val="24"/>
        </w:rPr>
        <w:t>1.</w:t>
      </w:r>
      <w:r>
        <w:rPr>
          <w:rFonts w:hint="eastAsia" w:ascii="宋体" w:hAnsi="宋体" w:eastAsia="宋体" w:cs="Times New Roman"/>
          <w:kern w:val="0"/>
          <w:sz w:val="24"/>
          <w:szCs w:val="24"/>
        </w:rPr>
        <w:t xml:space="preserve"> 根据货物简要说明一览表中分项填写。</w:t>
      </w:r>
    </w:p>
    <w:p>
      <w:pPr>
        <w:rPr>
          <w:rFonts w:ascii="宋体" w:hAnsi="宋体" w:eastAsia="宋体" w:cs="Times New Roman"/>
          <w:kern w:val="0"/>
          <w:sz w:val="24"/>
          <w:szCs w:val="24"/>
        </w:rPr>
      </w:pPr>
      <w:r>
        <w:rPr>
          <w:rFonts w:ascii="宋体" w:hAnsi="宋体" w:eastAsia="宋体" w:cs="Times New Roman"/>
          <w:kern w:val="0"/>
          <w:sz w:val="24"/>
          <w:szCs w:val="24"/>
        </w:rPr>
        <w:t xml:space="preserve">          </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投标人全称：（盖章）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ind w:firstLine="480" w:firstLineChars="200"/>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jc w:val="center"/>
        <w:rPr>
          <w:rFonts w:ascii="宋体" w:hAnsi="宋体" w:eastAsia="宋体" w:cs="Times New Roman"/>
          <w:color w:val="0000FF"/>
          <w:kern w:val="0"/>
          <w:sz w:val="24"/>
          <w:szCs w:val="24"/>
        </w:rPr>
        <w:sectPr>
          <w:headerReference r:id="rId11" w:type="default"/>
          <w:pgSz w:w="16838" w:h="11906" w:orient="landscape"/>
          <w:pgMar w:top="1134" w:right="1134" w:bottom="1134" w:left="1134" w:header="851" w:footer="964" w:gutter="0"/>
          <w:cols w:space="720" w:num="1"/>
          <w:docGrid w:linePitch="510" w:charSpace="-1844"/>
        </w:sectPr>
      </w:pPr>
    </w:p>
    <w:p>
      <w:pPr>
        <w:rPr>
          <w:rFonts w:ascii="黑体" w:hAnsi="黑体" w:eastAsia="黑体" w:cs="Times New Roman"/>
          <w:kern w:val="0"/>
          <w:sz w:val="32"/>
          <w:szCs w:val="32"/>
        </w:rPr>
      </w:pPr>
      <w:bookmarkStart w:id="23" w:name="_Toc285612606"/>
      <w:r>
        <w:rPr>
          <w:rFonts w:hint="eastAsia" w:ascii="黑体" w:hAnsi="黑体" w:eastAsia="黑体" w:cs="Times New Roman"/>
          <w:kern w:val="0"/>
          <w:sz w:val="32"/>
          <w:szCs w:val="32"/>
        </w:rPr>
        <w:t>附件3</w:t>
      </w:r>
    </w:p>
    <w:p>
      <w:pPr>
        <w:adjustRightInd w:val="0"/>
        <w:snapToGrid w:val="0"/>
        <w:spacing w:line="440" w:lineRule="exact"/>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投  标  函</w:t>
      </w:r>
    </w:p>
    <w:p>
      <w:pPr>
        <w:adjustRightInd w:val="0"/>
        <w:snapToGrid w:val="0"/>
        <w:spacing w:line="440" w:lineRule="exact"/>
        <w:rPr>
          <w:rFonts w:ascii="Times New Roman" w:hAnsi="Times New Roman" w:eastAsia="宋体" w:cs="Times New Roman"/>
          <w:kern w:val="0"/>
          <w:sz w:val="28"/>
          <w:szCs w:val="28"/>
        </w:rPr>
      </w:pPr>
    </w:p>
    <w:p>
      <w:pPr>
        <w:adjustRightInd w:val="0"/>
        <w:snapToGrid w:val="0"/>
        <w:spacing w:line="440" w:lineRule="exact"/>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rPr>
        <w:t>招标采购活动，并对</w:t>
      </w:r>
      <w:r>
        <w:rPr>
          <w:rFonts w:hint="eastAsia" w:cs="Times New Roman" w:asciiTheme="minorEastAsia" w:hAnsiTheme="minorEastAsia"/>
          <w:kern w:val="0"/>
          <w:sz w:val="28"/>
          <w:szCs w:val="28"/>
          <w:u w:val="single"/>
        </w:rPr>
        <w:t xml:space="preserve">   （货物名称）  </w:t>
      </w:r>
      <w:r>
        <w:rPr>
          <w:rFonts w:hint="eastAsia" w:cs="Times New Roman" w:asciiTheme="minorEastAsia" w:hAnsiTheme="minorEastAsia"/>
          <w:kern w:val="0"/>
          <w:sz w:val="28"/>
          <w:szCs w:val="28"/>
        </w:rPr>
        <w:t>进行投标。</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一、按照招标文件规定递交投标文件正本</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份和副本</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份。其中，《价格文件》1份单独密封提交。</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二、我方已完全理解招标文件的全部内容，自愿接受并执行招标文件的全部条款。</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三、本投标文件有效期自开标之日起180日内有效。</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四、我方在参与投标前已仔细研究了招标文件和所有相关资料，同意招标文件的相关条款。</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五、我方声明投标文件及所提供的一切资料均真实有效。由于我方提供资料不实而造成的责任和后果由我方承担。我方同意按照贵部要求，提供与招标有关数据或信息。</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六、我方承诺自愿遵守、执行国家、军队相关采购管理法规制度及政策规定。</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七、联系方式</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联 系 人：        电话：          传    真：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地    址：                        邮政编码：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开户名称：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开户银行：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银行账号：                        </w:t>
      </w:r>
    </w:p>
    <w:p>
      <w:pPr>
        <w:adjustRightInd w:val="0"/>
        <w:snapToGrid w:val="0"/>
        <w:spacing w:line="440" w:lineRule="exact"/>
        <w:ind w:firstLine="1328" w:firstLineChars="490"/>
        <w:rPr>
          <w:rFonts w:cs="Times New Roman" w:asciiTheme="minorEastAsia" w:hAnsiTheme="minorEastAsia"/>
          <w:kern w:val="0"/>
          <w:sz w:val="28"/>
          <w:szCs w:val="28"/>
        </w:rPr>
      </w:pPr>
    </w:p>
    <w:p>
      <w:pPr>
        <w:adjustRightInd w:val="0"/>
        <w:snapToGrid w:val="0"/>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adjustRightInd w:val="0"/>
        <w:snapToGrid w:val="0"/>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adjustRightInd w:val="0"/>
        <w:snapToGrid w:val="0"/>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bookmarkEnd w:id="23"/>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附件4</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货物简要说明一览表</w:t>
      </w:r>
    </w:p>
    <w:p>
      <w:pPr>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项目名称：                           项目编号：                         </w:t>
      </w:r>
    </w:p>
    <w:tbl>
      <w:tblPr>
        <w:tblStyle w:val="17"/>
        <w:tblW w:w="5000" w:type="pct"/>
        <w:jc w:val="center"/>
        <w:tblLayout w:type="autofit"/>
        <w:tblCellMar>
          <w:top w:w="0" w:type="dxa"/>
          <w:left w:w="0" w:type="dxa"/>
          <w:bottom w:w="0" w:type="dxa"/>
          <w:right w:w="0" w:type="dxa"/>
        </w:tblCellMar>
      </w:tblPr>
      <w:tblGrid>
        <w:gridCol w:w="648"/>
        <w:gridCol w:w="1924"/>
        <w:gridCol w:w="1276"/>
        <w:gridCol w:w="992"/>
        <w:gridCol w:w="850"/>
        <w:gridCol w:w="1871"/>
        <w:gridCol w:w="1323"/>
      </w:tblGrid>
      <w:tr>
        <w:tblPrEx>
          <w:tblCellMar>
            <w:top w:w="0" w:type="dxa"/>
            <w:left w:w="0" w:type="dxa"/>
            <w:bottom w:w="0" w:type="dxa"/>
            <w:right w:w="0" w:type="dxa"/>
          </w:tblCellMar>
        </w:tblPrEx>
        <w:trPr>
          <w:trHeight w:val="851" w:hRule="exact"/>
          <w:jc w:val="center"/>
        </w:trPr>
        <w:tc>
          <w:tcPr>
            <w:tcW w:w="648" w:type="dxa"/>
            <w:tcBorders>
              <w:top w:val="single" w:color="auto" w:sz="8" w:space="0"/>
              <w:left w:val="single" w:color="auto" w:sz="8"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序号</w:t>
            </w:r>
          </w:p>
        </w:tc>
        <w:tc>
          <w:tcPr>
            <w:tcW w:w="1924"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主要部件名称</w:t>
            </w:r>
          </w:p>
        </w:tc>
        <w:tc>
          <w:tcPr>
            <w:tcW w:w="1276" w:type="dxa"/>
            <w:tcBorders>
              <w:top w:val="single" w:color="auto" w:sz="8" w:space="0"/>
              <w:left w:val="nil"/>
              <w:bottom w:val="single" w:color="auto" w:sz="4" w:space="0"/>
              <w:right w:val="single" w:color="auto" w:sz="4" w:space="0"/>
            </w:tcBorders>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规格型号</w:t>
            </w:r>
          </w:p>
        </w:tc>
        <w:tc>
          <w:tcPr>
            <w:tcW w:w="992"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计量</w:t>
            </w:r>
          </w:p>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单位</w:t>
            </w:r>
          </w:p>
        </w:tc>
        <w:tc>
          <w:tcPr>
            <w:tcW w:w="850"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数量</w:t>
            </w:r>
          </w:p>
        </w:tc>
        <w:tc>
          <w:tcPr>
            <w:tcW w:w="1871"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性能用途说明</w:t>
            </w:r>
          </w:p>
        </w:tc>
        <w:tc>
          <w:tcPr>
            <w:tcW w:w="1323" w:type="dxa"/>
            <w:tcBorders>
              <w:top w:val="single" w:color="auto" w:sz="8" w:space="0"/>
              <w:left w:val="nil"/>
              <w:bottom w:val="single" w:color="auto" w:sz="4" w:space="0"/>
              <w:right w:val="single" w:color="auto" w:sz="8"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备注</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bl>
    <w:p>
      <w:pPr>
        <w:rPr>
          <w:rFonts w:cs="Times New Roman" w:asciiTheme="minorEastAsia" w:hAnsiTheme="minorEastAsia"/>
          <w:kern w:val="0"/>
          <w:sz w:val="24"/>
          <w:szCs w:val="24"/>
          <w:lang w:val="zh-CN"/>
        </w:rPr>
      </w:pPr>
    </w:p>
    <w:p>
      <w:pPr>
        <w:rPr>
          <w:rFonts w:cs="Times New Roman" w:asciiTheme="minorEastAsia" w:hAnsiTheme="minorEastAsia"/>
          <w:kern w:val="0"/>
          <w:sz w:val="24"/>
          <w:szCs w:val="24"/>
          <w:lang w:val="zh-CN"/>
        </w:rPr>
      </w:pPr>
    </w:p>
    <w:p>
      <w:pPr>
        <w:ind w:firstLine="2024" w:firstLineChars="747"/>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right="539" w:firstLine="1992" w:firstLineChars="735"/>
        <w:rPr>
          <w:rFonts w:cs="Times New Roman" w:asciiTheme="minorEastAsia" w:hAnsiTheme="minorEastAsia"/>
          <w:kern w:val="0"/>
          <w:sz w:val="28"/>
          <w:szCs w:val="28"/>
        </w:rPr>
      </w:pPr>
      <w:r>
        <w:rPr>
          <w:rFonts w:hint="eastAsia" w:cs="宋体" w:asciiTheme="minorEastAsia" w:hAnsiTheme="minorEastAsia"/>
          <w:kern w:val="0"/>
          <w:sz w:val="28"/>
          <w:szCs w:val="28"/>
          <w:lang w:val="zh-CN"/>
        </w:rPr>
        <w:t>法定代表人（或授权代表）：（签字或盖章）</w:t>
      </w:r>
    </w:p>
    <w:p>
      <w:pPr>
        <w:widowControl/>
        <w:ind w:firstLine="3453" w:firstLineChars="1274"/>
        <w:jc w:val="left"/>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主要技术性能参数表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Layout w:type="autofit"/>
        <w:tblCellMar>
          <w:top w:w="0" w:type="dxa"/>
          <w:left w:w="108" w:type="dxa"/>
          <w:bottom w:w="0" w:type="dxa"/>
          <w:right w:w="108" w:type="dxa"/>
        </w:tblCellMar>
      </w:tblPr>
      <w:tblGrid>
        <w:gridCol w:w="812"/>
        <w:gridCol w:w="2939"/>
        <w:gridCol w:w="2470"/>
        <w:gridCol w:w="2839"/>
      </w:tblGrid>
      <w:tr>
        <w:tblPrEx>
          <w:tblCellMar>
            <w:top w:w="0" w:type="dxa"/>
            <w:left w:w="108" w:type="dxa"/>
            <w:bottom w:w="0" w:type="dxa"/>
            <w:right w:w="108" w:type="dxa"/>
          </w:tblCellMar>
        </w:tblPrEx>
        <w:trPr>
          <w:trHeight w:val="630"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939" w:type="dxa"/>
            <w:tcBorders>
              <w:top w:val="single" w:color="auto" w:sz="4" w:space="0"/>
              <w:left w:val="nil"/>
              <w:bottom w:val="single" w:color="auto" w:sz="4" w:space="0"/>
              <w:right w:val="single" w:color="auto" w:sz="4" w:space="0"/>
            </w:tcBorders>
            <w:vAlign w:val="center"/>
          </w:tcPr>
          <w:p>
            <w:pPr>
              <w:widowControl/>
              <w:ind w:firstLine="231" w:firstLineChars="100"/>
              <w:jc w:val="center"/>
              <w:rPr>
                <w:rFonts w:ascii="宋体" w:hAnsi="宋体" w:eastAsia="宋体" w:cs="Times New Roman"/>
                <w:kern w:val="0"/>
                <w:sz w:val="24"/>
                <w:szCs w:val="24"/>
              </w:rPr>
            </w:pPr>
            <w:r>
              <w:rPr>
                <w:rFonts w:hint="eastAsia" w:ascii="宋体" w:hAnsi="宋体" w:eastAsia="宋体" w:cs="Times New Roman"/>
                <w:kern w:val="0"/>
                <w:sz w:val="24"/>
                <w:szCs w:val="24"/>
              </w:rPr>
              <w:t>物资名称</w:t>
            </w:r>
          </w:p>
        </w:tc>
        <w:tc>
          <w:tcPr>
            <w:tcW w:w="2470" w:type="dxa"/>
            <w:tcBorders>
              <w:top w:val="single" w:color="auto" w:sz="4" w:space="0"/>
              <w:left w:val="nil"/>
              <w:bottom w:val="single" w:color="auto" w:sz="4" w:space="0"/>
              <w:right w:val="single" w:color="auto" w:sz="4" w:space="0"/>
            </w:tcBorders>
            <w:vAlign w:val="center"/>
          </w:tcPr>
          <w:p>
            <w:pPr>
              <w:widowControl/>
              <w:ind w:firstLine="578" w:firstLineChars="250"/>
              <w:jc w:val="center"/>
              <w:rPr>
                <w:rFonts w:ascii="宋体" w:hAnsi="宋体" w:eastAsia="宋体" w:cs="Times New Roman"/>
                <w:kern w:val="0"/>
                <w:sz w:val="24"/>
                <w:szCs w:val="24"/>
              </w:rPr>
            </w:pPr>
            <w:r>
              <w:rPr>
                <w:rFonts w:hint="eastAsia" w:ascii="宋体" w:hAnsi="宋体" w:eastAsia="宋体" w:cs="Times New Roman"/>
                <w:kern w:val="0"/>
                <w:sz w:val="24"/>
                <w:szCs w:val="24"/>
              </w:rPr>
              <w:t>技术参数</w:t>
            </w:r>
          </w:p>
        </w:tc>
        <w:tc>
          <w:tcPr>
            <w:tcW w:w="283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执行标准</w:t>
            </w: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bl>
    <w:p>
      <w:pPr>
        <w:ind w:firstLine="462" w:firstLineChars="200"/>
        <w:rPr>
          <w:rFonts w:ascii="宋体" w:hAnsi="宋体" w:eastAsia="宋体" w:cs="Times New Roman"/>
          <w:kern w:val="0"/>
          <w:sz w:val="24"/>
          <w:szCs w:val="24"/>
        </w:rPr>
      </w:pPr>
    </w:p>
    <w:p>
      <w:pPr>
        <w:rPr>
          <w:rFonts w:ascii="宋体" w:hAnsi="宋体" w:eastAsia="宋体" w:cs="Times New Roman"/>
          <w:kern w:val="0"/>
          <w:sz w:val="24"/>
          <w:szCs w:val="24"/>
        </w:rPr>
      </w:pPr>
    </w:p>
    <w:p>
      <w:pPr>
        <w:ind w:firstLine="1626" w:firstLineChars="6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投标人全称：（盖章）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widowControl/>
        <w:jc w:val="left"/>
        <w:rPr>
          <w:rFonts w:ascii="仿宋_GB2312" w:hAnsi="宋体" w:eastAsia="仿宋_GB2312" w:cs="宋体"/>
          <w:kern w:val="0"/>
          <w:sz w:val="32"/>
          <w:szCs w:val="32"/>
          <w:lang w:val="zh-CN"/>
        </w:rPr>
      </w:pPr>
      <w:r>
        <w:rPr>
          <w:rFonts w:ascii="仿宋_GB2312" w:hAnsi="宋体" w:eastAsia="仿宋_GB2312" w:cs="宋体"/>
          <w:kern w:val="0"/>
          <w:sz w:val="32"/>
          <w:szCs w:val="32"/>
          <w:lang w:val="zh-CN"/>
        </w:rPr>
        <w:br w:type="page"/>
      </w:r>
    </w:p>
    <w:p>
      <w:pPr>
        <w:rPr>
          <w:rFonts w:ascii="仿宋_GB2312" w:hAnsi="宋体" w:eastAsia="仿宋_GB2312" w:cs="宋体"/>
          <w:kern w:val="0"/>
          <w:sz w:val="32"/>
          <w:szCs w:val="32"/>
        </w:rPr>
      </w:pPr>
      <w:r>
        <w:rPr>
          <w:rFonts w:hint="eastAsia" w:ascii="黑体" w:hAnsi="黑体" w:eastAsia="黑体" w:cs="Times New Roman"/>
          <w:kern w:val="0"/>
          <w:sz w:val="32"/>
          <w:szCs w:val="32"/>
        </w:rPr>
        <w:t>附件6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技术指标参数响应偏离表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427"/>
        <w:gridCol w:w="2010"/>
        <w:gridCol w:w="2010"/>
        <w:gridCol w:w="151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货物</w:t>
            </w:r>
            <w:r>
              <w:rPr>
                <w:rFonts w:ascii="宋体" w:hAnsi="宋体" w:eastAsia="宋体" w:cs="Times New Roman"/>
                <w:kern w:val="0"/>
                <w:sz w:val="24"/>
                <w:szCs w:val="24"/>
              </w:rPr>
              <w:t>/</w:t>
            </w:r>
            <w:r>
              <w:rPr>
                <w:rFonts w:hint="eastAsia" w:ascii="宋体" w:hAnsi="宋体" w:eastAsia="宋体" w:cs="Times New Roman"/>
                <w:kern w:val="0"/>
                <w:sz w:val="24"/>
                <w:szCs w:val="24"/>
              </w:rPr>
              <w:t>部件</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bl>
    <w:p>
      <w:pPr>
        <w:ind w:firstLine="462" w:firstLineChars="200"/>
        <w:rPr>
          <w:rFonts w:ascii="宋体" w:hAnsi="宋体" w:eastAsia="宋体" w:cs="Times New Roman"/>
          <w:b/>
          <w:kern w:val="0"/>
          <w:sz w:val="24"/>
          <w:szCs w:val="24"/>
        </w:rPr>
      </w:pPr>
      <w:r>
        <w:rPr>
          <w:rFonts w:hint="eastAsia" w:ascii="宋体" w:hAnsi="宋体" w:eastAsia="宋体" w:cs="Times New Roman"/>
          <w:kern w:val="0"/>
          <w:sz w:val="24"/>
          <w:szCs w:val="24"/>
        </w:rPr>
        <w:t>说明：</w:t>
      </w:r>
      <w:r>
        <w:rPr>
          <w:rFonts w:hint="eastAsia" w:ascii="宋体" w:hAnsi="宋体" w:eastAsia="宋体" w:cs="Times New Roman"/>
          <w:bCs/>
          <w:kern w:val="0"/>
          <w:sz w:val="24"/>
          <w:szCs w:val="24"/>
        </w:rPr>
        <w:t>投标人应对照招标文件技术要求，逐条如实填写所投产品的具体指标参数，注明无偏离、正偏离或负偏离，并在备注中注明偏离的具体内容。</w:t>
      </w:r>
      <w:r>
        <w:rPr>
          <w:rFonts w:hint="eastAsia" w:ascii="宋体" w:hAnsi="宋体" w:eastAsia="宋体" w:cs="Times New Roman"/>
          <w:b/>
          <w:bCs/>
          <w:kern w:val="0"/>
          <w:sz w:val="24"/>
          <w:szCs w:val="24"/>
        </w:rPr>
        <w:t>技术指标参数响应栏如果原文复制招标文件技术要求，可能会被视为无效投标。</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主要商务条款响应偏离表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招标文件条目号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ind w:firstLine="95" w:firstLineChars="41"/>
              <w:rPr>
                <w:rFonts w:cs="Times New Roman" w:asciiTheme="minorEastAsia" w:hAnsiTheme="minorEastAsia"/>
                <w:sz w:val="24"/>
                <w:szCs w:val="24"/>
              </w:rPr>
            </w:pPr>
            <w:r>
              <w:rPr>
                <w:rFonts w:hint="eastAsia" w:cs="Times New Roman" w:asciiTheme="minorEastAsia" w:hAnsiTheme="minorEastAsia"/>
                <w:kern w:val="0"/>
                <w:sz w:val="24"/>
                <w:szCs w:val="24"/>
              </w:rPr>
              <w:t>招标文件商务条款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投标文件商务条款响应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bl>
    <w:p>
      <w:pPr>
        <w:adjustRightInd w:val="0"/>
        <w:snapToGrid w:val="0"/>
        <w:spacing w:line="38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商务条款主要包括报价要求、售后服务、专利权和保密要求、交货时间、地点与方式、付款及结算方式等。如有遗漏，请投标人按照招标文件正文自行补充完整。</w:t>
      </w:r>
    </w:p>
    <w:p>
      <w:pPr>
        <w:adjustRightInd w:val="0"/>
        <w:snapToGrid w:val="0"/>
        <w:spacing w:line="380" w:lineRule="exact"/>
        <w:jc w:val="center"/>
        <w:rPr>
          <w:rFonts w:ascii="楷体_GB2312" w:eastAsia="楷体_GB2312" w:cs="Times New Roman" w:hAnsiTheme="minorEastAsia"/>
          <w:kern w:val="0"/>
          <w:sz w:val="24"/>
          <w:szCs w:val="24"/>
          <w:u w:val="single"/>
        </w:rPr>
      </w:pPr>
      <w:r>
        <w:rPr>
          <w:rFonts w:hint="eastAsia" w:ascii="楷体_GB2312" w:eastAsia="楷体_GB2312" w:cs="Times New Roman" w:hAnsiTheme="minorEastAsia"/>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本表所列条款必须一一予以响应，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投标文件商务条款响应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请投标人认真填写本表内容，如填写错误将可能导致投标无效。</w:t>
      </w:r>
    </w:p>
    <w:p>
      <w:pPr>
        <w:ind w:firstLine="3047" w:firstLineChars="1319"/>
        <w:rPr>
          <w:rFonts w:cs="Times New Roman" w:asciiTheme="minorEastAsia" w:hAnsiTheme="minorEastAsia"/>
          <w:kern w:val="0"/>
          <w:sz w:val="24"/>
          <w:szCs w:val="24"/>
        </w:rPr>
      </w:pPr>
    </w:p>
    <w:p>
      <w:pPr>
        <w:ind w:firstLine="3575" w:firstLineChars="1319"/>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交货清单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1343"/>
        <w:gridCol w:w="1448"/>
        <w:gridCol w:w="1817"/>
        <w:gridCol w:w="1045"/>
        <w:gridCol w:w="967"/>
        <w:gridCol w:w="16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序号</w:t>
            </w: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品名</w:t>
            </w: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生产厂家</w:t>
            </w:r>
          </w:p>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（品牌）</w:t>
            </w: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规格型号</w:t>
            </w: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数量</w:t>
            </w: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单位</w:t>
            </w: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bl>
    <w:p>
      <w:pPr>
        <w:rPr>
          <w:rFonts w:ascii="Times New Roman" w:hAnsi="Times New Roman" w:eastAsia="宋体" w:cs="Times New Roman"/>
          <w:snapToGrid w:val="0"/>
          <w:kern w:val="0"/>
          <w:sz w:val="24"/>
          <w:szCs w:val="24"/>
        </w:rPr>
      </w:pPr>
    </w:p>
    <w:p>
      <w:pPr>
        <w:autoSpaceDE w:val="0"/>
        <w:autoSpaceDN w:val="0"/>
        <w:adjustRightInd w:val="0"/>
        <w:rPr>
          <w:rFonts w:ascii="Times New Roman" w:hAnsi="Times New Roman" w:eastAsia="宋体" w:cs="Times New Roman"/>
          <w:snapToGrid w:val="0"/>
          <w:kern w:val="0"/>
          <w:sz w:val="24"/>
          <w:szCs w:val="24"/>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r>
        <w:rPr>
          <w:rFonts w:ascii="Times New Roman" w:hAnsi="Times New Roman" w:eastAsia="宋体" w:cs="Times New Roman"/>
          <w:snapToGrid w:val="0"/>
          <w:kern w:val="0"/>
          <w:sz w:val="28"/>
          <w:szCs w:val="28"/>
          <w:lang w:val="zh-CN"/>
        </w:rPr>
        <w:br w:type="page"/>
      </w:r>
      <w:r>
        <w:rPr>
          <w:rFonts w:hint="eastAsia" w:ascii="黑体" w:hAnsi="黑体" w:eastAsia="黑体" w:cs="Times New Roman"/>
          <w:kern w:val="0"/>
          <w:sz w:val="32"/>
          <w:szCs w:val="32"/>
        </w:rPr>
        <w:t>附件9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易损易耗件清单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442"/>
        <w:gridCol w:w="1605"/>
        <w:gridCol w:w="1712"/>
        <w:gridCol w:w="709"/>
        <w:gridCol w:w="850"/>
        <w:gridCol w:w="1134"/>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易损易耗件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7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（品牌）</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数量</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仿宋_GB2312" w:hAnsi="宋体" w:eastAsia="仿宋_GB2312" w:cs="宋体"/>
          <w:kern w:val="0"/>
          <w:sz w:val="32"/>
          <w:szCs w:val="32"/>
          <w:lang w:val="zh-CN"/>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专机配套耗材（试剂）明细表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442"/>
        <w:gridCol w:w="1332"/>
        <w:gridCol w:w="1276"/>
        <w:gridCol w:w="992"/>
        <w:gridCol w:w="1418"/>
        <w:gridCol w:w="1407"/>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物资名称</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医疗器械注册证号</w:t>
            </w:r>
          </w:p>
          <w:p>
            <w:pPr>
              <w:widowControl/>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报价</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（单位/元）</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Cs w:val="21"/>
        </w:rPr>
      </w:pPr>
      <w:r>
        <w:rPr>
          <w:rFonts w:hint="eastAsia" w:ascii="Times New Roman" w:hAnsi="Times New Roman" w:eastAsia="宋体" w:cs="Times New Roman"/>
          <w:kern w:val="0"/>
          <w:szCs w:val="21"/>
        </w:rPr>
        <w:t>注：专机配套耗材（试剂）报价将视情纳入计算经济分</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投标人售后服务承诺</w:t>
      </w:r>
    </w:p>
    <w:p>
      <w:pPr>
        <w:spacing w:line="440" w:lineRule="exact"/>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宋体"/>
          <w:sz w:val="28"/>
          <w:szCs w:val="28"/>
          <w:lang w:val="zh-CN"/>
        </w:rPr>
        <w:t>承诺内容</w:t>
      </w:r>
      <w:r>
        <w:rPr>
          <w:rFonts w:ascii="宋体" w:hAnsi="宋体" w:eastAsia="宋体" w:cs="Times New Roman"/>
          <w:sz w:val="28"/>
          <w:szCs w:val="28"/>
          <w:lang w:val="zh-CN"/>
        </w:rPr>
        <w:t>由</w:t>
      </w:r>
      <w:r>
        <w:rPr>
          <w:rFonts w:hint="eastAsia" w:cs="Times New Roman" w:asciiTheme="minorEastAsia" w:hAnsiTheme="minorEastAsia"/>
          <w:kern w:val="0"/>
          <w:sz w:val="28"/>
          <w:szCs w:val="28"/>
          <w:lang w:val="zh-CN"/>
        </w:rPr>
        <w:t>投标人对照商务评审表中售后服务评审项自行编制，</w:t>
      </w:r>
      <w:r>
        <w:rPr>
          <w:rFonts w:hint="eastAsia" w:ascii="宋体" w:hAnsi="宋体" w:eastAsia="宋体" w:cs="Times New Roman"/>
          <w:sz w:val="28"/>
          <w:szCs w:val="28"/>
          <w:lang w:val="zh-CN"/>
        </w:rPr>
        <w:t>应包括但不限于如下内容</w:t>
      </w:r>
      <w:r>
        <w:rPr>
          <w:rFonts w:hint="eastAsia" w:cs="Times New Roman" w:asciiTheme="minorEastAsia" w:hAnsiTheme="minorEastAsia"/>
          <w:kern w:val="0"/>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明确“交货时间”，“保修期”。</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w:t>
      </w:r>
      <w:r>
        <w:rPr>
          <w:rFonts w:ascii="宋体" w:hAnsi="宋体" w:eastAsia="宋体" w:cs="Times New Roman"/>
          <w:sz w:val="28"/>
          <w:szCs w:val="28"/>
          <w:lang w:val="zh-CN"/>
        </w:rPr>
        <w:t>本《招标文件》“第二部分</w:t>
      </w:r>
      <w:r>
        <w:rPr>
          <w:rFonts w:hint="eastAsia" w:ascii="宋体" w:hAnsi="宋体" w:eastAsia="宋体" w:cs="Times New Roman"/>
          <w:sz w:val="28"/>
          <w:szCs w:val="28"/>
          <w:lang w:val="zh-CN"/>
        </w:rPr>
        <w:t xml:space="preserve">  采购项目技术和商务要求</w:t>
      </w:r>
      <w:r>
        <w:rPr>
          <w:rFonts w:ascii="宋体" w:hAnsi="宋体" w:eastAsia="宋体" w:cs="Times New Roman"/>
          <w:sz w:val="28"/>
          <w:szCs w:val="28"/>
          <w:lang w:val="zh-CN"/>
        </w:rPr>
        <w:t>/</w:t>
      </w:r>
      <w:r>
        <w:rPr>
          <w:rFonts w:hint="eastAsia" w:ascii="宋体" w:hAnsi="宋体" w:eastAsia="宋体" w:cs="Times New Roman"/>
          <w:sz w:val="28"/>
          <w:szCs w:val="28"/>
          <w:lang w:val="zh-CN"/>
        </w:rPr>
        <w:t xml:space="preserve"> 二、商务要求/（二）售后</w:t>
      </w:r>
      <w:r>
        <w:rPr>
          <w:rFonts w:ascii="宋体" w:hAnsi="宋体" w:eastAsia="宋体" w:cs="Times New Roman"/>
          <w:sz w:val="28"/>
          <w:szCs w:val="28"/>
          <w:lang w:val="zh-CN"/>
        </w:rPr>
        <w:t>服务”的内容进行完整</w:t>
      </w:r>
      <w:r>
        <w:rPr>
          <w:rFonts w:hint="eastAsia" w:ascii="宋体" w:hAnsi="宋体" w:eastAsia="宋体" w:cs="Times New Roman"/>
          <w:sz w:val="28"/>
          <w:szCs w:val="28"/>
          <w:lang w:val="zh-CN"/>
        </w:rPr>
        <w:t>的说明与</w:t>
      </w:r>
      <w:r>
        <w:rPr>
          <w:rFonts w:ascii="宋体" w:hAnsi="宋体" w:eastAsia="宋体" w:cs="Times New Roman"/>
          <w:sz w:val="28"/>
          <w:szCs w:val="28"/>
          <w:lang w:val="zh-CN"/>
        </w:rPr>
        <w:t>承诺。</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对提供指定地点（</w:t>
      </w:r>
      <w:r>
        <w:rPr>
          <w:rFonts w:hint="eastAsia" w:asciiTheme="minorEastAsia" w:hAnsiTheme="minorEastAsia"/>
          <w:b/>
          <w:sz w:val="28"/>
          <w:szCs w:val="28"/>
        </w:rPr>
        <w:t>重庆市</w:t>
      </w:r>
      <w:r>
        <w:rPr>
          <w:rFonts w:hint="eastAsia" w:ascii="宋体" w:hAnsi="宋体" w:eastAsia="宋体" w:cs="Times New Roman"/>
          <w:sz w:val="28"/>
          <w:szCs w:val="28"/>
        </w:rPr>
        <w:t>）现场服务支持的售后服务体系、人员、装备，以及售后服务</w:t>
      </w:r>
      <w:r>
        <w:rPr>
          <w:rFonts w:hint="eastAsia" w:ascii="宋体" w:hAnsi="宋体" w:eastAsia="宋体" w:cs="Times New Roman"/>
          <w:b/>
          <w:sz w:val="28"/>
          <w:szCs w:val="28"/>
        </w:rPr>
        <w:t>到位维修响应时间</w:t>
      </w:r>
      <w:r>
        <w:rPr>
          <w:rFonts w:hint="eastAsia" w:ascii="宋体" w:hAnsi="宋体" w:eastAsia="宋体" w:cs="Times New Roman"/>
          <w:sz w:val="28"/>
          <w:szCs w:val="28"/>
        </w:rPr>
        <w:t>等的</w:t>
      </w:r>
      <w:r>
        <w:rPr>
          <w:rFonts w:hint="eastAsia" w:ascii="宋体" w:hAnsi="宋体" w:eastAsia="宋体" w:cs="Times New Roman"/>
          <w:sz w:val="28"/>
          <w:szCs w:val="28"/>
          <w:lang w:val="zh-CN"/>
        </w:rPr>
        <w:t>说明与</w:t>
      </w:r>
      <w:r>
        <w:rPr>
          <w:rFonts w:ascii="宋体" w:hAnsi="宋体" w:eastAsia="宋体" w:cs="Times New Roman"/>
          <w:sz w:val="28"/>
          <w:szCs w:val="28"/>
          <w:lang w:val="zh-CN"/>
        </w:rPr>
        <w:t>承诺</w:t>
      </w:r>
      <w:r>
        <w:rPr>
          <w:rFonts w:hint="eastAsia" w:ascii="宋体" w:hAnsi="宋体" w:eastAsia="宋体" w:cs="Times New Roman"/>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w:t>
      </w:r>
      <w:r>
        <w:rPr>
          <w:rFonts w:ascii="宋体" w:hAnsi="宋体" w:eastAsia="宋体" w:cs="Times New Roman"/>
          <w:sz w:val="28"/>
          <w:szCs w:val="28"/>
        </w:rPr>
        <w:t>技术支持和服务网点</w:t>
      </w:r>
      <w:r>
        <w:rPr>
          <w:rFonts w:hint="eastAsia" w:ascii="宋体" w:hAnsi="宋体" w:eastAsia="宋体" w:cs="Times New Roman"/>
          <w:sz w:val="28"/>
          <w:szCs w:val="28"/>
        </w:rPr>
        <w:t>分布情况的说明（提供</w:t>
      </w:r>
      <w:r>
        <w:rPr>
          <w:rFonts w:ascii="宋体" w:hAnsi="宋体" w:eastAsia="宋体" w:cs="Times New Roman"/>
          <w:sz w:val="28"/>
          <w:szCs w:val="28"/>
        </w:rPr>
        <w:t>技术支持和服务网点</w:t>
      </w:r>
      <w:r>
        <w:rPr>
          <w:rFonts w:hint="eastAsia" w:ascii="宋体" w:hAnsi="宋体" w:eastAsia="宋体" w:cs="Times New Roman"/>
          <w:sz w:val="28"/>
          <w:szCs w:val="28"/>
        </w:rPr>
        <w:t>的地址、</w:t>
      </w:r>
      <w:r>
        <w:rPr>
          <w:rFonts w:ascii="宋体" w:hAnsi="宋体" w:eastAsia="宋体" w:cs="Times New Roman"/>
          <w:sz w:val="28"/>
          <w:szCs w:val="28"/>
        </w:rPr>
        <w:t>24小时服务支持热线</w:t>
      </w:r>
      <w:r>
        <w:rPr>
          <w:rFonts w:hint="eastAsia" w:ascii="宋体" w:hAnsi="宋体" w:eastAsia="宋体" w:cs="Times New Roman"/>
          <w:sz w:val="28"/>
          <w:szCs w:val="28"/>
        </w:rPr>
        <w:t>，以及营业执照、委托服务协议等证明材料）。</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对投标货物在质量保修期内和质量保修期外的相关服务内容做出的</w:t>
      </w:r>
      <w:r>
        <w:rPr>
          <w:rFonts w:hint="eastAsia" w:ascii="宋体" w:hAnsi="宋体" w:eastAsia="宋体" w:cs="Times New Roman"/>
          <w:sz w:val="28"/>
          <w:szCs w:val="28"/>
          <w:lang w:val="zh-CN"/>
        </w:rPr>
        <w:t>说明与承诺</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保修期外维修费用</w:t>
      </w:r>
      <w:r>
        <w:rPr>
          <w:rFonts w:hint="eastAsia" w:ascii="宋体" w:hAnsi="宋体" w:eastAsia="宋体" w:cs="Times New Roman"/>
          <w:b/>
          <w:sz w:val="28"/>
          <w:szCs w:val="28"/>
        </w:rPr>
        <w:t>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提供零配件全国统一报价</w:t>
      </w:r>
      <w:r>
        <w:rPr>
          <w:rFonts w:hint="eastAsia" w:ascii="宋体" w:hAnsi="宋体" w:eastAsia="宋体" w:cs="Times New Roman"/>
          <w:b/>
          <w:sz w:val="28"/>
          <w:szCs w:val="28"/>
        </w:rPr>
        <w:t>情况，并作</w:t>
      </w:r>
      <w:r>
        <w:rPr>
          <w:rFonts w:ascii="宋体" w:hAnsi="宋体" w:eastAsia="宋体" w:cs="Times New Roman"/>
          <w:b/>
          <w:sz w:val="28"/>
          <w:szCs w:val="28"/>
        </w:rPr>
        <w:t>军队用户更换配件价格统一报价</w:t>
      </w:r>
      <w:r>
        <w:rPr>
          <w:rFonts w:hint="eastAsia" w:ascii="宋体" w:hAnsi="宋体" w:eastAsia="宋体" w:cs="Times New Roman"/>
          <w:b/>
          <w:sz w:val="28"/>
          <w:szCs w:val="28"/>
        </w:rPr>
        <w:t>、</w:t>
      </w:r>
      <w:r>
        <w:rPr>
          <w:rFonts w:ascii="宋体" w:hAnsi="宋体" w:eastAsia="宋体" w:cs="Times New Roman"/>
          <w:b/>
          <w:sz w:val="28"/>
          <w:szCs w:val="28"/>
        </w:rPr>
        <w:t>零配件保证供应时间的</w:t>
      </w:r>
      <w:r>
        <w:rPr>
          <w:rFonts w:hint="eastAsia" w:ascii="宋体" w:hAnsi="宋体" w:eastAsia="宋体" w:cs="Times New Roman"/>
          <w:b/>
          <w:sz w:val="28"/>
          <w:szCs w:val="28"/>
        </w:rPr>
        <w:t>承诺说明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对投标货物的备品备件和易损易耗件供应保障情况进行说明（如果某设备无备品备件和易损易耗件，也需明确“</w:t>
      </w:r>
      <w:r>
        <w:rPr>
          <w:rFonts w:ascii="宋体" w:hAnsi="宋体" w:eastAsia="宋体" w:cs="Times New Roman"/>
          <w:b/>
          <w:sz w:val="28"/>
          <w:szCs w:val="28"/>
        </w:rPr>
        <w:t>×</w:t>
      </w:r>
      <w:r>
        <w:rPr>
          <w:rFonts w:hint="eastAsia" w:ascii="宋体" w:hAnsi="宋体" w:eastAsia="宋体" w:cs="Times New Roman"/>
          <w:sz w:val="28"/>
          <w:szCs w:val="28"/>
        </w:rPr>
        <w:t>设备无备品备件和易损易耗件”）。</w:t>
      </w:r>
    </w:p>
    <w:p>
      <w:pPr>
        <w:spacing w:line="440" w:lineRule="exact"/>
        <w:rPr>
          <w:rFonts w:cs="Times New Roman" w:asciiTheme="minorEastAsia" w:hAnsiTheme="minorEastAsia"/>
          <w:kern w:val="0"/>
          <w:sz w:val="28"/>
          <w:szCs w:val="28"/>
          <w:lang w:val="zh-CN"/>
        </w:rPr>
      </w:pPr>
      <w:r>
        <w:rPr>
          <w:rFonts w:ascii="宋体" w:hAnsi="宋体" w:eastAsia="宋体" w:cs="Times New Roman"/>
          <w:sz w:val="28"/>
          <w:szCs w:val="28"/>
        </w:rPr>
        <w:t>其他服务承诺</w:t>
      </w:r>
      <w:r>
        <w:rPr>
          <w:rFonts w:hint="eastAsia" w:ascii="宋体" w:hAnsi="宋体" w:eastAsia="宋体" w:cs="Times New Roman"/>
          <w:sz w:val="28"/>
          <w:szCs w:val="28"/>
        </w:rPr>
        <w:t>（</w:t>
      </w:r>
      <w:r>
        <w:rPr>
          <w:rFonts w:hint="eastAsia" w:ascii="宋体" w:hAnsi="宋体" w:eastAsia="宋体" w:cs="Times New Roman"/>
          <w:b/>
          <w:sz w:val="28"/>
          <w:szCs w:val="28"/>
        </w:rPr>
        <w:t>逐一核对评分标准内涉及的售后服务进行响应和承诺）</w:t>
      </w:r>
      <w:r>
        <w:rPr>
          <w:rFonts w:ascii="宋体" w:hAnsi="宋体" w:eastAsia="宋体" w:cs="Times New Roman"/>
          <w:sz w:val="28"/>
          <w:szCs w:val="28"/>
        </w:rPr>
        <w:t>。</w:t>
      </w:r>
    </w:p>
    <w:p>
      <w:pPr>
        <w:spacing w:line="440" w:lineRule="exact"/>
        <w:ind w:firstLine="1626" w:firstLineChars="600"/>
        <w:rPr>
          <w:rFonts w:cs="宋体" w:asciiTheme="minorEastAsia" w:hAnsiTheme="minorEastAsia"/>
          <w:kern w:val="0"/>
          <w:sz w:val="28"/>
          <w:szCs w:val="28"/>
          <w:lang w:val="zh-CN"/>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2</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生产厂家售后服务承诺</w:t>
      </w:r>
    </w:p>
    <w:p>
      <w:pPr>
        <w:ind w:firstLine="542" w:firstLineChars="200"/>
        <w:rPr>
          <w:rFonts w:ascii="Times New Roman" w:hAnsi="Times New Roman" w:eastAsia="宋体" w:cs="Times New Roman"/>
          <w:snapToGrid w:val="0"/>
          <w:kern w:val="0"/>
          <w:sz w:val="28"/>
          <w:szCs w:val="28"/>
          <w:lang w:val="zh-CN"/>
        </w:rPr>
      </w:pPr>
    </w:p>
    <w:p>
      <w:pPr>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Times New Roman"/>
          <w:kern w:val="0"/>
          <w:sz w:val="28"/>
          <w:szCs w:val="28"/>
          <w:lang w:val="zh-CN"/>
        </w:rPr>
        <w:t>生产厂商对产品售后服务做出的承诺，对照技术和参数要求的条款、商务评审表中售后服务评审项自行编制。至少包括售后服务年限、响应时间、技术培训、</w:t>
      </w:r>
      <w:r>
        <w:rPr>
          <w:rFonts w:hint="eastAsia" w:ascii="宋体" w:hAnsi="宋体" w:eastAsia="宋体" w:cs="Times New Roman"/>
          <w:kern w:val="0"/>
          <w:sz w:val="28"/>
          <w:szCs w:val="28"/>
        </w:rPr>
        <w:t>零配件全国统一报价</w:t>
      </w:r>
      <w:r>
        <w:rPr>
          <w:rFonts w:hint="eastAsia" w:ascii="宋体" w:hAnsi="宋体" w:eastAsia="宋体" w:cs="Times New Roman"/>
          <w:kern w:val="0"/>
          <w:sz w:val="28"/>
          <w:szCs w:val="28"/>
          <w:lang w:val="zh-CN"/>
        </w:rPr>
        <w:t>等内容</w:t>
      </w:r>
      <w:r>
        <w:rPr>
          <w:rFonts w:hint="eastAsia" w:cs="Times New Roman" w:asciiTheme="minorEastAsia" w:hAnsiTheme="minorEastAsia"/>
          <w:kern w:val="0"/>
          <w:sz w:val="28"/>
          <w:szCs w:val="28"/>
          <w:lang w:val="zh-CN"/>
        </w:rPr>
        <w:t>）</w:t>
      </w: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32"/>
          <w:szCs w:val="32"/>
        </w:rPr>
      </w:pPr>
      <w:r>
        <w:rPr>
          <w:rFonts w:hint="eastAsia" w:ascii="Times New Roman" w:hAnsi="Times New Roman" w:eastAsia="宋体" w:cs="Times New Roman"/>
          <w:snapToGrid w:val="0"/>
          <w:kern w:val="0"/>
          <w:sz w:val="32"/>
          <w:szCs w:val="32"/>
        </w:rPr>
        <w:t xml:space="preserve">          </w:t>
      </w: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生产厂家全称：（盖章）</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3</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近3年中标成交案例及同类项目案例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840"/>
        <w:gridCol w:w="977"/>
        <w:gridCol w:w="1819"/>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项目内容</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（包括同类项目，产品名称、型号等）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签订</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用户联系</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r>
              <w:rPr>
                <w:rFonts w:hint="eastAsia" w:cs="Times New Roman" w:asciiTheme="minorEastAsia" w:hAnsiTheme="minorEastAsia"/>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bl>
    <w:p>
      <w:pPr>
        <w:ind w:left="924" w:hanging="924" w:hangingChars="400"/>
        <w:rPr>
          <w:rFonts w:ascii="宋体" w:hAnsi="宋体" w:eastAsia="宋体" w:cs="Times New Roman"/>
          <w:bCs/>
          <w:kern w:val="0"/>
          <w:sz w:val="24"/>
          <w:szCs w:val="24"/>
        </w:rPr>
      </w:pPr>
      <w:r>
        <w:rPr>
          <w:rFonts w:hint="eastAsia" w:ascii="宋体" w:hAnsi="宋体" w:eastAsia="宋体" w:cs="Times New Roman"/>
          <w:bCs/>
          <w:kern w:val="0"/>
          <w:sz w:val="24"/>
          <w:szCs w:val="24"/>
        </w:rPr>
        <w:t>备注：1.同类项目指本次招标的产品或同类产品。合同有效金额是指合同中本次招标的产品或同类产品金额。</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2.投标人应附销售合同复印件，按合同有效金额由高到低顺序装订，包括：合同首尾页、签字盖章页、合同金额页、产品信息页。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3.投标人提供虚假合同的，按虚假投标处理。</w:t>
      </w:r>
    </w:p>
    <w:p>
      <w:pPr>
        <w:ind w:left="918" w:leftChars="342" w:hanging="231" w:hangingChars="100"/>
        <w:rPr>
          <w:rFonts w:ascii="宋体" w:hAnsi="宋体" w:eastAsia="宋体" w:cs="Times New Roman"/>
          <w:b/>
          <w:bCs/>
          <w:kern w:val="0"/>
          <w:sz w:val="24"/>
          <w:szCs w:val="24"/>
        </w:rPr>
      </w:pPr>
      <w:r>
        <w:rPr>
          <w:rFonts w:hint="eastAsia" w:ascii="宋体" w:hAnsi="宋体" w:eastAsia="宋体" w:cs="Times New Roman"/>
          <w:b/>
          <w:bCs/>
          <w:kern w:val="0"/>
          <w:sz w:val="24"/>
          <w:szCs w:val="24"/>
        </w:rPr>
        <w:t>4.需提供三甲医院或高等科研院所销售合同，其他视为无效合同。</w:t>
      </w:r>
    </w:p>
    <w:p>
      <w:pPr>
        <w:rPr>
          <w:rFonts w:ascii="Times New Roman" w:hAnsi="Times New Roman" w:eastAsia="宋体" w:cs="Times New Roman"/>
          <w:kern w:val="0"/>
          <w:sz w:val="28"/>
          <w:szCs w:val="28"/>
          <w:lang w:val="zh-CN"/>
        </w:rPr>
      </w:pPr>
    </w:p>
    <w:p>
      <w:pPr>
        <w:ind w:firstLine="1626" w:firstLineChars="6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投标人全称：（盖章）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rPr>
          <w:rFonts w:ascii="Times New Roman" w:hAnsi="Times New Roman" w:eastAsia="宋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附件14</w:t>
      </w:r>
    </w:p>
    <w:p>
      <w:pPr>
        <w:jc w:val="center"/>
        <w:rPr>
          <w:rFonts w:ascii="黑体" w:hAnsi="黑体" w:eastAsia="黑体" w:cs="Times New Roman"/>
          <w:kern w:val="0"/>
          <w:sz w:val="32"/>
          <w:szCs w:val="32"/>
        </w:rPr>
      </w:pPr>
      <w:r>
        <w:rPr>
          <w:rFonts w:hint="eastAsia" w:ascii="黑体" w:hAnsi="黑体" w:eastAsia="黑体" w:cs="Times New Roman"/>
          <w:kern w:val="0"/>
          <w:sz w:val="32"/>
          <w:szCs w:val="32"/>
        </w:rPr>
        <w:t>技术评审表</w:t>
      </w:r>
    </w:p>
    <w:tbl>
      <w:tblPr>
        <w:tblStyle w:val="17"/>
        <w:tblW w:w="0" w:type="auto"/>
        <w:jc w:val="center"/>
        <w:tblLayout w:type="fixed"/>
        <w:tblCellMar>
          <w:top w:w="0" w:type="dxa"/>
          <w:left w:w="108" w:type="dxa"/>
          <w:bottom w:w="0" w:type="dxa"/>
          <w:right w:w="108" w:type="dxa"/>
        </w:tblCellMar>
      </w:tblPr>
      <w:tblGrid>
        <w:gridCol w:w="1172"/>
        <w:gridCol w:w="3648"/>
        <w:gridCol w:w="2268"/>
        <w:gridCol w:w="1755"/>
      </w:tblGrid>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268"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1755"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技术力量</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技术专利证书1</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hint="eastAsia" w:asciiTheme="majorEastAsia" w:hAnsiTheme="majorEastAsia" w:eastAsiaTheme="majorEastAsia"/>
                <w:szCs w:val="21"/>
              </w:rPr>
              <w:t>技术专利证书2</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asciiTheme="majorEastAsia" w:hAnsiTheme="majorEastAsia" w:eastAsiaTheme="majorEastAsia"/>
                <w:szCs w:val="21"/>
              </w:rPr>
              <w:t>…</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CE认证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3   </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FDA认证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产品投放市场时间</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入围最近年度“中国医疗设备行业数据及售后服务调查”三甲医院推荐品牌及排名情况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入围最近年度“中国医学装备协会发布优秀国产医疗设备产品目录”情况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asciiTheme="minorEastAsia" w:hAnsiTheme="minorEastAsia"/>
                <w:b/>
                <w:szCs w:val="21"/>
              </w:rPr>
              <w:t>产品技术性能指标参数满足偏离情况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Cs w:val="21"/>
              </w:rPr>
            </w:pPr>
            <w:r>
              <w:rPr>
                <w:rFonts w:hint="eastAsia" w:cs="宋体" w:asciiTheme="majorEastAsia" w:hAnsiTheme="majorEastAsia" w:eastAsiaTheme="majorEastAsia"/>
                <w:szCs w:val="21"/>
              </w:rPr>
              <w:t>详见技术指标参数响应偏离表</w:t>
            </w: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售后服务</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inorEastAsia" w:hAnsiTheme="minorEastAsia"/>
                <w:szCs w:val="21"/>
              </w:rPr>
              <w:t>免费保修期</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零配件报价</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3</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零配件保证供应时间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到位维修响应时间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保修期外维修费用</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技术支持和服务网点</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注：以上项目由投标人自行填写，对于未提供项填写“无”。</w:t>
      </w:r>
    </w:p>
    <w:p>
      <w:pPr>
        <w:ind w:firstLine="2423" w:firstLineChars="894"/>
        <w:rPr>
          <w:rFonts w:cs="宋体" w:asciiTheme="minorEastAsia" w:hAnsiTheme="minorEastAsia"/>
          <w:kern w:val="0"/>
          <w:sz w:val="28"/>
          <w:szCs w:val="28"/>
          <w:lang w:val="zh-CN"/>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附件15</w:t>
      </w:r>
    </w:p>
    <w:p>
      <w:pPr>
        <w:jc w:val="center"/>
        <w:rPr>
          <w:rFonts w:ascii="方正小标宋简体" w:hAnsi="Times New Roman" w:eastAsia="方正小标宋简体" w:cs="Times New Roman"/>
          <w:kern w:val="0"/>
          <w:sz w:val="44"/>
          <w:szCs w:val="44"/>
        </w:rPr>
      </w:pPr>
      <w:r>
        <w:rPr>
          <w:rFonts w:hint="eastAsia" w:ascii="黑体" w:hAnsi="黑体" w:eastAsia="黑体" w:cs="Times New Roman"/>
          <w:kern w:val="0"/>
          <w:sz w:val="32"/>
          <w:szCs w:val="32"/>
        </w:rPr>
        <w:t>商务评审表</w:t>
      </w:r>
    </w:p>
    <w:tbl>
      <w:tblPr>
        <w:tblStyle w:val="17"/>
        <w:tblW w:w="0" w:type="auto"/>
        <w:jc w:val="center"/>
        <w:tblLayout w:type="fixed"/>
        <w:tblCellMar>
          <w:top w:w="0" w:type="dxa"/>
          <w:left w:w="108" w:type="dxa"/>
          <w:bottom w:w="0" w:type="dxa"/>
          <w:right w:w="108" w:type="dxa"/>
        </w:tblCellMar>
      </w:tblPr>
      <w:tblGrid>
        <w:gridCol w:w="1172"/>
        <w:gridCol w:w="2939"/>
        <w:gridCol w:w="2552"/>
        <w:gridCol w:w="2180"/>
      </w:tblGrid>
      <w:tr>
        <w:tblPrEx>
          <w:tblCellMar>
            <w:top w:w="0" w:type="dxa"/>
            <w:left w:w="108" w:type="dxa"/>
            <w:bottom w:w="0" w:type="dxa"/>
            <w:right w:w="108" w:type="dxa"/>
          </w:tblCellMar>
        </w:tblPrEx>
        <w:trPr>
          <w:trHeight w:val="224"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552"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2180"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投标产品销售业绩</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合同1金额</w:t>
            </w:r>
          </w:p>
        </w:tc>
        <w:tc>
          <w:tcPr>
            <w:tcW w:w="2552"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合同2金额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   </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cs="宋体" w:asciiTheme="majorEastAsia" w:hAnsiTheme="majorEastAsia" w:eastAsiaTheme="majorEastAsia"/>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企业规模</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平均资产总额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缴纳社保金额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信誉</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企业纳税信用A级评价证书</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711"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银行颁发的资信（信用）</w:t>
            </w:r>
          </w:p>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等级证明</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四</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财务状况（</w:t>
            </w:r>
            <w:r>
              <w:rPr>
                <w:rFonts w:hint="eastAsia" w:asciiTheme="majorEastAsia" w:hAnsiTheme="majorEastAsia" w:eastAsiaTheme="majorEastAsia"/>
                <w:sz w:val="24"/>
                <w:szCs w:val="24"/>
              </w:rPr>
              <w:t>平均净利润</w:t>
            </w:r>
            <w:r>
              <w:rPr>
                <w:rFonts w:hint="eastAsia" w:cs="宋体" w:asciiTheme="majorEastAsia" w:hAnsiTheme="majorEastAsia" w:eastAsiaTheme="majorEastAsia"/>
                <w:b/>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五</w:t>
            </w:r>
          </w:p>
        </w:tc>
        <w:tc>
          <w:tcPr>
            <w:tcW w:w="29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投标方性质</w:t>
            </w:r>
          </w:p>
        </w:tc>
        <w:tc>
          <w:tcPr>
            <w:tcW w:w="255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jc w:val="left"/>
        <w:rPr>
          <w:rFonts w:cs="Times New Roman" w:asciiTheme="minorEastAsia" w:hAnsiTheme="minorEastAsia"/>
          <w:kern w:val="0"/>
          <w:szCs w:val="21"/>
        </w:rPr>
      </w:pPr>
    </w:p>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注：以上项目由投标人自行填写，对于未提供项填写“无”。</w:t>
      </w: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adjustRightInd w:val="0"/>
        <w:snapToGrid w:val="0"/>
        <w:jc w:val="left"/>
        <w:rPr>
          <w:rFonts w:cs="Times New Roman" w:asciiTheme="minorEastAsia" w:hAnsiTheme="minorEastAsia"/>
          <w:kern w:val="0"/>
          <w:szCs w:val="21"/>
        </w:rPr>
      </w:pPr>
      <w:r>
        <w:rPr>
          <w:rFonts w:cs="Times New Roman" w:asciiTheme="minorEastAsia" w:hAnsiTheme="minorEastAsia"/>
          <w:kern w:val="0"/>
          <w:szCs w:val="21"/>
        </w:rPr>
        <w:br w:type="page"/>
      </w:r>
    </w:p>
    <w:p>
      <w:pPr>
        <w:rPr>
          <w:rFonts w:ascii="仿宋_GB2312" w:hAnsi="Times New Roman" w:eastAsia="仿宋_GB2312" w:cs="Times New Roman"/>
          <w:kern w:val="0"/>
          <w:sz w:val="32"/>
          <w:szCs w:val="32"/>
        </w:rPr>
      </w:pPr>
      <w:r>
        <w:rPr>
          <w:rFonts w:hint="eastAsia" w:ascii="黑体" w:hAnsi="黑体" w:eastAsia="黑体" w:cs="Times New Roman"/>
          <w:kern w:val="0"/>
          <w:sz w:val="32"/>
          <w:szCs w:val="32"/>
        </w:rPr>
        <w:t xml:space="preserve">附件16                               </w:t>
      </w:r>
      <w:r>
        <w:rPr>
          <w:rFonts w:ascii="仿宋_GB2312" w:hAnsi="Times New Roman" w:eastAsia="仿宋_GB2312" w:cs="Times New Roman"/>
          <w:kern w:val="0"/>
          <w:sz w:val="32"/>
          <w:szCs w:val="32"/>
        </w:rPr>
        <w:t xml:space="preserve">    </w:t>
      </w:r>
    </w:p>
    <w:p>
      <w:pPr>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法定代表人资格证明书</w:t>
      </w:r>
    </w:p>
    <w:p>
      <w:pPr>
        <w:ind w:firstLine="542" w:firstLineChars="200"/>
        <w:rPr>
          <w:rFonts w:ascii="Times New Roman" w:hAnsi="Times New Roman" w:eastAsia="楷体_GB2312" w:cs="Times New Roman"/>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u w:val="single"/>
        </w:rPr>
        <w:t>（法定代表人姓名）</w:t>
      </w:r>
      <w:r>
        <w:rPr>
          <w:rFonts w:hint="eastAsia" w:cs="Times New Roman" w:asciiTheme="minorEastAsia" w:hAnsiTheme="minorEastAsia"/>
          <w:sz w:val="28"/>
          <w:szCs w:val="28"/>
        </w:rPr>
        <w:t>系</w:t>
      </w:r>
      <w:r>
        <w:rPr>
          <w:rFonts w:hint="eastAsia" w:cs="Times New Roman" w:asciiTheme="minorEastAsia" w:hAnsiTheme="minorEastAsia"/>
          <w:sz w:val="28"/>
          <w:szCs w:val="28"/>
          <w:u w:val="single"/>
        </w:rPr>
        <w:t>（投标人全称）</w:t>
      </w:r>
      <w:r>
        <w:rPr>
          <w:rFonts w:hint="eastAsia" w:cs="Times New Roman" w:asciiTheme="minorEastAsia" w:hAnsiTheme="minorEastAsia"/>
          <w:sz w:val="28"/>
          <w:szCs w:val="28"/>
        </w:rPr>
        <w:t>的法定代表人。</w:t>
      </w:r>
    </w:p>
    <w:p>
      <w:pPr>
        <w:ind w:firstLine="542" w:firstLineChars="200"/>
        <w:rPr>
          <w:rFonts w:cs="Times New Roman" w:asciiTheme="minorEastAsia" w:hAnsiTheme="minorEastAsia"/>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rPr>
        <w:t>特此证明</w:t>
      </w:r>
    </w:p>
    <w:p>
      <w:pPr>
        <w:rPr>
          <w:rFonts w:cs="Times New Roman" w:asciiTheme="minorEastAsia" w:hAnsiTheme="minorEastAsia"/>
          <w:sz w:val="28"/>
          <w:szCs w:val="28"/>
        </w:rPr>
      </w:pPr>
      <w:r>
        <w:rPr>
          <w:rFonts w:cs="Times New Roman" w:asciiTheme="minorEastAsia" w:hAnsiTheme="minorEastAsia"/>
          <w:sz w:val="28"/>
          <w:szCs w:val="28"/>
        </w:rPr>
        <mc:AlternateContent>
          <mc:Choice Requires="wps">
            <w:drawing>
              <wp:anchor distT="0" distB="0" distL="114300" distR="114300" simplePos="0" relativeHeight="251672576" behindDoc="0" locked="0" layoutInCell="1" allowOverlap="1">
                <wp:simplePos x="0" y="0"/>
                <wp:positionH relativeFrom="column">
                  <wp:posOffset>2881630</wp:posOffset>
                </wp:positionH>
                <wp:positionV relativeFrom="paragraph">
                  <wp:posOffset>131445</wp:posOffset>
                </wp:positionV>
                <wp:extent cx="2655570" cy="1319530"/>
                <wp:effectExtent l="4445" t="4445" r="6985" b="1714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9pt;margin-top:10.35pt;height:103.9pt;width:209.1pt;z-index:251672576;v-text-anchor:middle;mso-width-relative:page;mso-height-relative:page;" fillcolor="#FFFFFF" filled="t" stroked="t"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HNamg1wAAAAoB&#10;AAAPAAAAAAAAAAEAIAAAACIAAABkcnMvZG93bnJldi54bWxQSwECFAAUAAAACACHTuJA7Cw8a1UC&#10;AACwBAAADgAAAAAAAAABACAAAAAmAQAAZHJzL2Uyb0RvYy54bWxQSwUGAAAAAAYABgBZAQAA7QUA&#10;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71552" behindDoc="0" locked="0" layoutInCell="1" allowOverlap="1">
                <wp:simplePos x="0" y="0"/>
                <wp:positionH relativeFrom="column">
                  <wp:posOffset>26670</wp:posOffset>
                </wp:positionH>
                <wp:positionV relativeFrom="paragraph">
                  <wp:posOffset>131445</wp:posOffset>
                </wp:positionV>
                <wp:extent cx="2623820" cy="1319530"/>
                <wp:effectExtent l="4445" t="4445" r="8255" b="1714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623820" cy="1319842"/>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1pt;margin-top:10.35pt;height:103.9pt;width:206.6pt;z-index:251671552;v-text-anchor:middle;mso-width-relative:page;mso-height-relative:page;" fillcolor="#FFFFFF" filled="t" stroked="t"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D4EQTDVAAAACAEA&#10;AA8AAAAAAAAAAQAgAAAAIgAAAGRycy9kb3ducmV2LnhtbFBLAQIUABQAAAAIAIdO4kBuZZNSVgIA&#10;ALAEAAAOAAAAAAAAAAEAIAAAACQBAABkcnMvZTJvRG9jLnhtbFBLBQYAAAAABgAGAFkBAADsBQAA&#10;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ind w:firstLine="4743" w:firstLineChars="1750"/>
        <w:rPr>
          <w:rFonts w:cs="Times New Roman" w:asciiTheme="minorEastAsia" w:hAnsiTheme="minorEastAsia"/>
          <w:sz w:val="28"/>
          <w:szCs w:val="28"/>
        </w:rPr>
      </w:pPr>
    </w:p>
    <w:p>
      <w:pPr>
        <w:rPr>
          <w:rFonts w:cs="Times New Roman" w:asciiTheme="minorEastAsia" w:hAnsiTheme="minorEastAsia"/>
          <w:kern w:val="0"/>
          <w:sz w:val="28"/>
          <w:szCs w:val="28"/>
        </w:rPr>
      </w:pPr>
    </w:p>
    <w:p>
      <w:pPr>
        <w:ind w:firstLine="4743" w:firstLineChars="175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投标人全称：（盖章）</w:t>
      </w:r>
    </w:p>
    <w:p>
      <w:pPr>
        <w:ind w:firstLine="3851" w:firstLineChars="1421"/>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ascii="Times New Roman" w:hAnsi="Times New Roman" w:eastAsia="黑体" w:cs="Times New Roman"/>
          <w:kern w:val="0"/>
          <w:sz w:val="24"/>
          <w:szCs w:val="24"/>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7</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rPr>
        <w:t>法定代表人授权书</w:t>
      </w:r>
    </w:p>
    <w:p>
      <w:pPr>
        <w:rPr>
          <w:rFonts w:ascii="Times New Roman" w:hAnsi="Times New Roman" w:eastAsia="宋体" w:cs="Times New Roman"/>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（投标人全称）</w:t>
      </w:r>
      <w:r>
        <w:rPr>
          <w:rFonts w:hint="eastAsia" w:cs="Times New Roman" w:asciiTheme="minorEastAsia" w:hAnsiTheme="minorEastAsia"/>
          <w:kern w:val="0"/>
          <w:sz w:val="28"/>
          <w:szCs w:val="28"/>
        </w:rPr>
        <w:t>法定代表人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投标人全称：（盖章）</w:t>
      </w: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法定代表人：（签字或盖章）</w:t>
      </w:r>
    </w:p>
    <w:p>
      <w:pPr>
        <w:ind w:firstLine="4648"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w:rPr>
          <w:rFonts w:cs="Times New Roman" w:asciiTheme="minorEastAsia" w:hAnsiTheme="minorEastAsia"/>
          <w:sz w:val="28"/>
          <w:szCs w:val="28"/>
        </w:rPr>
        <mc:AlternateContent>
          <mc:Choice Requires="wps">
            <w:drawing>
              <wp:anchor distT="0" distB="0" distL="114300" distR="114300" simplePos="0" relativeHeight="251675648" behindDoc="0" locked="0" layoutInCell="1" allowOverlap="1">
                <wp:simplePos x="0" y="0"/>
                <wp:positionH relativeFrom="column">
                  <wp:posOffset>2898775</wp:posOffset>
                </wp:positionH>
                <wp:positionV relativeFrom="paragraph">
                  <wp:posOffset>180975</wp:posOffset>
                </wp:positionV>
                <wp:extent cx="2679065" cy="1345565"/>
                <wp:effectExtent l="4445" t="4445" r="13970" b="635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25pt;margin-top:14.25pt;height:105.95pt;width:210.95pt;z-index:251675648;v-text-anchor:middle;mso-width-relative:page;mso-height-relative:page;" fillcolor="#FFFFFF" filled="t" stroked="t"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mhZ8GNcAAAAK&#10;AQAADwAAAAAAAAABACAAAAAiAAAAZHJzL2Rvd25yZXYueG1sUEsBAhQAFAAAAAgAh07iQPq8jfhW&#10;AgAAsAQAAA4AAAAAAAAAAQAgAAAAJgEAAGRycy9lMm9Eb2MueG1sUEsFBgAAAAAGAAYAWQEAAO4F&#10;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74624" behindDoc="0" locked="0" layoutInCell="1" allowOverlap="1">
                <wp:simplePos x="0" y="0"/>
                <wp:positionH relativeFrom="column">
                  <wp:posOffset>17780</wp:posOffset>
                </wp:positionH>
                <wp:positionV relativeFrom="paragraph">
                  <wp:posOffset>198120</wp:posOffset>
                </wp:positionV>
                <wp:extent cx="2687320" cy="1328420"/>
                <wp:effectExtent l="4445" t="4445" r="5715" b="825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1.4pt;margin-top:15.6pt;height:104.6pt;width:211.6pt;z-index:251674624;v-text-anchor:middle;mso-width-relative:page;mso-height-relative:page;" fillcolor="#FFFFFF" filled="t" stroked="t"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5LDp29QAAAAIAQAADwAA&#10;AAAAAAABACAAAAAiAAAAZHJzL2Rvd25yZXYueG1sUEsBAhQAFAAAAAgAh07iQKSoFIJTAgAAsAQA&#10;AA4AAAAAAAAAAQAgAAAAIwEAAGRycy9lMm9Eb2MueG1sUEsFBgAAAAAGAAYAWQEAAOgF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主要股东或出资人信息</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5"/>
        <w:gridCol w:w="1230"/>
        <w:gridCol w:w="2183"/>
        <w:gridCol w:w="1314"/>
        <w:gridCol w:w="1416"/>
        <w:gridCol w:w="1233"/>
        <w:gridCol w:w="9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（姓名）</w:t>
            </w: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统一社会信用代码</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（身份证号）</w:t>
            </w: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出资方式</w:t>
            </w: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出资金额</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（万元）</w:t>
            </w: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占全部股份比例</w:t>
            </w: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我方承诺，以上信息真实可靠；如填报的股东出资额、出资比例等与实际不符，视为放弃中标资格。</w:t>
      </w:r>
    </w:p>
    <w:p>
      <w:pPr>
        <w:rPr>
          <w:rFonts w:cs="Times New Roman" w:asciiTheme="minorEastAsia" w:hAnsiTheme="minorEastAsia"/>
          <w:kern w:val="0"/>
          <w:sz w:val="28"/>
          <w:szCs w:val="28"/>
        </w:rPr>
      </w:pPr>
    </w:p>
    <w:p>
      <w:pPr>
        <w:ind w:left="797" w:hanging="797" w:hangingChars="294"/>
        <w:rPr>
          <w:rFonts w:cs="Times New Roman" w:asciiTheme="minorEastAsia" w:hAnsiTheme="minorEastAsia"/>
          <w:kern w:val="0"/>
          <w:sz w:val="28"/>
          <w:szCs w:val="28"/>
        </w:rPr>
      </w:pPr>
      <w:r>
        <w:rPr>
          <w:rFonts w:hint="eastAsia" w:cs="Times New Roman" w:asciiTheme="minorEastAsia" w:hAnsiTheme="minorEastAsia"/>
          <w:kern w:val="0"/>
          <w:sz w:val="28"/>
          <w:szCs w:val="28"/>
        </w:rPr>
        <w:t>注：1.主要股东或出资人为法人的，填写法人全称及统一社会信用代码（尚未办理三证合一的填写组织机构代码）；为自然人的，填写自然人姓名和身份证号。</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2.出资方式填写货币、实物、工艺产权和非专利技术、土地使用权等。</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3.投标人应按照占全部股份比例从大到小依次逐个股东填写，股东数量多于10个的，填写前10名，不足10个的全部填写。</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73"/>
        <w:rPr>
          <w:rFonts w:ascii="Times New Roman" w:hAnsi="Times New Roman" w:eastAsia="宋体" w:cs="Times New Roman"/>
          <w:kern w:val="0"/>
          <w:sz w:val="24"/>
          <w:szCs w:val="24"/>
        </w:rPr>
      </w:pPr>
      <w:r>
        <w:rPr>
          <w:rFonts w:ascii="Times New Roman" w:hAnsi="Times New Roman" w:eastAsia="宋体" w:cs="Times New Roman"/>
          <w:kern w:val="0"/>
          <w:sz w:val="28"/>
          <w:szCs w:val="28"/>
          <w:lang w:val="zh-CN"/>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我方参加贵单位组织的编号为</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四、招标文件以及相关技术文件专室放置、专盘存储、专人管理。</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五、未经招标人审查批准，不得擅自在互联网、通讯媒体等发表涉及此次采购项目相关内容或资讯。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违反上述承诺，愿承担一切法律责任，接受军队采购管理部门和招标人按国家和军队规定作出的相关处罚。</w:t>
      </w:r>
    </w:p>
    <w:p>
      <w:pPr>
        <w:ind w:firstLine="1089" w:firstLineChars="402"/>
        <w:rPr>
          <w:rFonts w:cs="Times New Roman" w:asciiTheme="minorEastAsia" w:hAnsiTheme="minorEastAsia"/>
          <w:kern w:val="0"/>
          <w:sz w:val="28"/>
          <w:szCs w:val="28"/>
        </w:rPr>
      </w:pPr>
    </w:p>
    <w:p>
      <w:pPr>
        <w:ind w:firstLine="1089" w:firstLineChars="402"/>
        <w:rPr>
          <w:rFonts w:cs="Times New Roman" w:asciiTheme="minorEastAsia" w:hAnsiTheme="minorEastAsia"/>
          <w:kern w:val="0"/>
          <w:sz w:val="28"/>
          <w:szCs w:val="28"/>
        </w:rPr>
      </w:pPr>
      <w:r>
        <w:rPr>
          <w:rFonts w:cs="Times New Roman" w:asciiTheme="minorEastAsia" w:hAnsiTheme="minorEastAsia"/>
          <w:kern w:val="0"/>
          <w:sz w:val="28"/>
          <w:szCs w:val="28"/>
        </w:rPr>
        <w:t xml:space="preserve">                </w:t>
      </w: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cs="Times New Roman" w:asciiTheme="minorEastAsia" w:hAnsiTheme="minorEastAsia"/>
          <w:snapToGrid w:val="0"/>
          <w:kern w:val="0"/>
          <w:sz w:val="28"/>
          <w:szCs w:val="28"/>
        </w:rPr>
      </w:pPr>
    </w:p>
    <w:p>
      <w:pPr>
        <w:autoSpaceDE w:val="0"/>
        <w:autoSpaceDN w:val="0"/>
        <w:adjustRightInd w:val="0"/>
        <w:rPr>
          <w:rFonts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根据国家、军队相关法律法规以及有关廉洁自律的规定，为保证招标采购活动廉洁、公正和有效，我方郑重承诺：</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承诺投标文件中提供的文件资料真实有效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承诺投标产品价格不得高于国内同级单位最低成交价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如违反上述承诺，贵院有权取消我方的投标资格，由此引起的一切损失由我单位自行承担。</w:t>
      </w:r>
    </w:p>
    <w:p>
      <w:pPr>
        <w:autoSpaceDE w:val="0"/>
        <w:autoSpaceDN w:val="0"/>
        <w:adjustRightInd w:val="0"/>
        <w:ind w:firstLine="542" w:firstLineChars="200"/>
        <w:rPr>
          <w:rFonts w:cs="Times New Roman" w:asciiTheme="minorEastAsia" w:hAnsiTheme="minorEastAsia"/>
          <w:kern w:val="0"/>
          <w:sz w:val="28"/>
          <w:szCs w:val="28"/>
          <w:lang w:val="zh-CN"/>
        </w:rPr>
      </w:pPr>
    </w:p>
    <w:p>
      <w:pPr>
        <w:autoSpaceDE w:val="0"/>
        <w:autoSpaceDN w:val="0"/>
        <w:adjustRightInd w:val="0"/>
        <w:ind w:firstLine="542" w:firstLineChars="200"/>
        <w:rPr>
          <w:rFonts w:cs="Times New Roman"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Times New Roman" w:asciiTheme="minorEastAsia" w:hAnsiTheme="minorEastAsia"/>
          <w:kern w:val="0"/>
          <w:sz w:val="28"/>
          <w:szCs w:val="28"/>
          <w:lang w:val="zh-CN"/>
        </w:rPr>
        <w:t xml:space="preserve">     </w:t>
      </w:r>
      <w:r>
        <w:rPr>
          <w:rFonts w:hint="eastAsia" w:cs="宋体" w:asciiTheme="minorEastAsia" w:hAnsiTheme="minorEastAsia"/>
          <w:kern w:val="0"/>
          <w:sz w:val="28"/>
          <w:szCs w:val="28"/>
          <w:lang w:val="zh-CN"/>
        </w:rPr>
        <w:t>投标人全称：（盖章）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声明书</w:t>
      </w:r>
    </w:p>
    <w:p>
      <w:pPr>
        <w:rPr>
          <w:rFonts w:ascii="方正小标宋简体" w:hAnsi="Times New Roman" w:eastAsia="方正小标宋简体" w:cs="Times New Roman"/>
          <w:kern w:val="0"/>
          <w:sz w:val="32"/>
          <w:szCs w:val="32"/>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我方参加贵单位组织的</w:t>
      </w:r>
      <w:r>
        <w:rPr>
          <w:rFonts w:hint="eastAsia" w:cs="Times New Roman" w:asciiTheme="minorEastAsia" w:hAnsiTheme="minorEastAsia"/>
          <w:snapToGrid w:val="0"/>
          <w:kern w:val="0"/>
          <w:sz w:val="28"/>
          <w:szCs w:val="28"/>
          <w:u w:val="single"/>
        </w:rPr>
        <w:t xml:space="preserve">  （</w:t>
      </w:r>
      <w:r>
        <w:rPr>
          <w:rFonts w:cs="Times New Roman" w:asciiTheme="minorEastAsia" w:hAnsiTheme="minorEastAsia"/>
          <w:snapToGrid w:val="0"/>
          <w:kern w:val="0"/>
          <w:sz w:val="28"/>
          <w:szCs w:val="28"/>
          <w:u w:val="single"/>
        </w:rPr>
        <w:t>项目名称</w:t>
      </w:r>
      <w:r>
        <w:rPr>
          <w:rFonts w:hint="eastAsia" w:cs="Times New Roman" w:asciiTheme="minorEastAsia" w:hAnsiTheme="minorEastAsia"/>
          <w:snapToGrid w:val="0"/>
          <w:kern w:val="0"/>
          <w:sz w:val="28"/>
          <w:szCs w:val="28"/>
          <w:u w:val="single"/>
        </w:rPr>
        <w:t xml:space="preserve">）  </w:t>
      </w:r>
      <w:r>
        <w:rPr>
          <w:rFonts w:hint="eastAsia" w:cs="Times New Roman" w:asciiTheme="minorEastAsia" w:hAnsiTheme="minorEastAsia"/>
          <w:snapToGrid w:val="0"/>
          <w:kern w:val="0"/>
          <w:sz w:val="28"/>
          <w:szCs w:val="28"/>
        </w:rPr>
        <w:t>项目采购活动，现就有关事项声明如下：</w:t>
      </w:r>
      <w:r>
        <w:rPr>
          <w:rFonts w:cs="Times New Roman" w:asciiTheme="minorEastAsia" w:hAnsiTheme="minorEastAsia"/>
          <w:snapToGrid w:val="0"/>
          <w:kern w:val="0"/>
          <w:sz w:val="28"/>
          <w:szCs w:val="28"/>
        </w:rPr>
        <w:t xml:space="preserve"> </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pPr>
        <w:rPr>
          <w:rFonts w:cs="宋体" w:asciiTheme="minorEastAsia" w:hAnsiTheme="minorEastAsia"/>
          <w:kern w:val="0"/>
          <w:sz w:val="28"/>
          <w:szCs w:val="28"/>
          <w:lang w:val="zh-CN"/>
        </w:rPr>
      </w:pPr>
    </w:p>
    <w:p>
      <w:pPr>
        <w:autoSpaceDE w:val="0"/>
        <w:autoSpaceDN w:val="0"/>
        <w:adjustRightInd w:val="0"/>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 xml:space="preserve">  </w:t>
      </w:r>
    </w:p>
    <w:p>
      <w:pPr>
        <w:autoSpaceDE w:val="0"/>
        <w:autoSpaceDN w:val="0"/>
        <w:adjustRightInd w:val="0"/>
        <w:ind w:firstLine="266" w:firstLineChars="98"/>
        <w:rPr>
          <w:rFonts w:cs="Times New Roman" w:asciiTheme="minorEastAsia" w:hAnsiTheme="minorEastAsia"/>
          <w:snapToGrid w:val="0"/>
          <w:kern w:val="0"/>
          <w:sz w:val="28"/>
          <w:szCs w:val="28"/>
        </w:rPr>
      </w:pPr>
    </w:p>
    <w:p>
      <w:pPr>
        <w:rPr>
          <w:rFonts w:cs="宋体" w:asciiTheme="minorEastAsia" w:hAnsiTheme="minorEastAsia"/>
          <w:kern w:val="0"/>
          <w:sz w:val="28"/>
          <w:szCs w:val="28"/>
          <w:lang w:val="zh-CN"/>
        </w:rPr>
      </w:pPr>
    </w:p>
    <w:p>
      <w:pPr>
        <w:ind w:firstLine="2290" w:firstLineChars="8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color w:val="FF0000"/>
          <w:kern w:val="0"/>
          <w:szCs w:val="21"/>
        </w:rPr>
      </w:pPr>
      <w:r>
        <w:rPr>
          <w:rFonts w:hint="eastAsia" w:cs="Times New Roman" w:asciiTheme="minorEastAsia" w:hAnsiTheme="minorEastAsia"/>
          <w:snapToGrid w:val="0"/>
          <w:kern w:val="0"/>
          <w:szCs w:val="21"/>
        </w:rPr>
        <w:t>注：声明内容自行填写，包括但不限于以下内容</w:t>
      </w:r>
    </w:p>
    <w:p>
      <w:pPr>
        <w:autoSpaceDE w:val="0"/>
        <w:autoSpaceDN w:val="0"/>
        <w:adjustRightInd w:val="0"/>
        <w:snapToGrid w:val="0"/>
        <w:spacing w:line="360" w:lineRule="exact"/>
        <w:rPr>
          <w:rFonts w:cs="Times New Roman" w:asciiTheme="minorEastAsia" w:hAnsiTheme="minorEastAsia"/>
          <w:snapToGrid w:val="0"/>
          <w:kern w:val="0"/>
          <w:szCs w:val="21"/>
        </w:rPr>
      </w:pPr>
      <w:r>
        <w:rPr>
          <w:rFonts w:cs="Times New Roman" w:asciiTheme="minorEastAsia" w:hAnsiTheme="minorEastAsia"/>
          <w:snapToGrid w:val="0"/>
          <w:kern w:val="0"/>
          <w:szCs w:val="21"/>
        </w:rPr>
        <w:t>①</w:t>
      </w:r>
      <w:r>
        <w:rPr>
          <w:rFonts w:hint="eastAsia" w:cs="Times New Roman" w:asciiTheme="minorEastAsia" w:hAnsiTheme="minorEastAsia"/>
          <w:snapToGrid w:val="0"/>
          <w:kern w:val="0"/>
          <w:szCs w:val="21"/>
        </w:rPr>
        <w:t>非外资企业或外资控股企业；</w:t>
      </w:r>
    </w:p>
    <w:p>
      <w:pPr>
        <w:widowControl/>
        <w:adjustRightInd w:val="0"/>
        <w:snapToGrid w:val="0"/>
        <w:spacing w:line="360" w:lineRule="exact"/>
        <w:jc w:val="left"/>
        <w:rPr>
          <w:rFonts w:ascii="黑体" w:hAnsi="黑体" w:eastAsia="黑体" w:cs="Times New Roman"/>
          <w:kern w:val="0"/>
          <w:szCs w:val="21"/>
        </w:rPr>
      </w:pPr>
      <w:r>
        <w:rPr>
          <w:rFonts w:hint="eastAsia" w:cs="Times New Roman" w:asciiTheme="minorEastAsia" w:hAnsiTheme="minorEastAsia"/>
          <w:snapToGrid w:val="0"/>
          <w:kern w:val="0"/>
          <w:szCs w:val="21"/>
        </w:rPr>
        <w:t>②参加本次采购活动前3年内在经营活动中没有违法、违规、违约，以及项目质量和安全问题。</w:t>
      </w:r>
    </w:p>
    <w:p>
      <w:pPr>
        <w:rPr>
          <w:rFonts w:ascii="黑体" w:hAnsi="黑体" w:eastAsia="黑体" w:cs="Times New Roman"/>
          <w:kern w:val="0"/>
          <w:sz w:val="32"/>
          <w:szCs w:val="32"/>
        </w:rPr>
      </w:pPr>
      <w:r>
        <w:rPr>
          <w:rFonts w:hint="eastAsia" w:ascii="黑体" w:hAnsi="黑体" w:eastAsia="黑体" w:cs="Times New Roman"/>
          <w:kern w:val="0"/>
          <w:sz w:val="32"/>
          <w:szCs w:val="32"/>
        </w:rPr>
        <w:t>附件22</w:t>
      </w:r>
    </w:p>
    <w:p>
      <w:pPr>
        <w:jc w:val="center"/>
        <w:rPr>
          <w:rFonts w:ascii="宋体" w:hAnsi="宋体" w:eastAsia="宋体" w:cs="宋体"/>
          <w:kern w:val="0"/>
          <w:szCs w:val="21"/>
        </w:rPr>
      </w:pPr>
      <w:r>
        <w:rPr>
          <w:rFonts w:hint="eastAsia" w:ascii="方正小标宋简体" w:hAnsi="Times New Roman" w:eastAsia="方正小标宋简体" w:cs="Times New Roman"/>
          <w:kern w:val="0"/>
          <w:sz w:val="32"/>
          <w:szCs w:val="32"/>
        </w:rPr>
        <w:t>生产企业对代理公司投标授权书</w:t>
      </w:r>
    </w:p>
    <w:p>
      <w:pPr>
        <w:jc w:val="center"/>
        <w:rPr>
          <w:rFonts w:ascii="方正小标宋简体" w:hAnsi="Times New Roman" w:eastAsia="方正小标宋简体" w:cs="Times New Roman"/>
          <w:kern w:val="0"/>
          <w:sz w:val="28"/>
          <w:szCs w:val="28"/>
        </w:rPr>
      </w:pPr>
      <w:r>
        <w:rPr>
          <w:rFonts w:hint="eastAsia" w:ascii="方正小标宋简体" w:hAnsi="Times New Roman" w:eastAsia="方正小标宋简体" w:cs="Times New Roman"/>
          <w:kern w:val="0"/>
          <w:sz w:val="28"/>
          <w:szCs w:val="28"/>
        </w:rPr>
        <w:t>（格式不限）</w:t>
      </w:r>
    </w:p>
    <w:p>
      <w:pPr>
        <w:widowControl/>
        <w:jc w:val="lef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1、授权书的格式不限。</w:t>
      </w: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2、进口产品需提供原厂对中国总代的中英文授权，并提供中国总代至各级授权书。</w:t>
      </w: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3、生产厂家直接投标的不需此文件。</w:t>
      </w:r>
    </w:p>
    <w:sectPr>
      <w:headerReference r:id="rId12" w:type="default"/>
      <w:pgSz w:w="11906" w:h="16838"/>
      <w:pgMar w:top="2098" w:right="1474" w:bottom="1985" w:left="1588" w:header="851" w:footer="992"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等线">
    <w:altName w:val="微软雅黑"/>
    <w:panose1 w:val="00000000000000000000"/>
    <w:charset w:val="86"/>
    <w:family w:val="auto"/>
    <w:pitch w:val="default"/>
    <w:sig w:usb0="00000000" w:usb1="00000000" w:usb2="00000016" w:usb3="00000000" w:csb0="0004000F" w:csb1="00000000"/>
  </w:font>
  <w:font w:name="Dotum">
    <w:panose1 w:val="020B0600000101010101"/>
    <w:charset w:val="81"/>
    <w:family w:val="swiss"/>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方正大标宋简体">
    <w:altName w:val="Arial Unicode MS"/>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1</w:t>
    </w:r>
    <w:r>
      <w:rPr>
        <w:rStyle w:val="20"/>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30</w:t>
    </w:r>
    <w:r>
      <w:rPr>
        <w:rStyle w:val="20"/>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ascii="宋体"/>
        <w:sz w:val="24"/>
        <w:szCs w:val="24"/>
      </w:rPr>
    </w:pPr>
    <w:r>
      <w:rPr>
        <w:rFonts w:hint="eastAsia" w:ascii="宋体"/>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33</w:t>
    </w:r>
    <w:r>
      <w:rPr>
        <w:rStyle w:val="20"/>
        <w:sz w:val="24"/>
        <w:szCs w:val="24"/>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招标公告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技术和</w:t>
    </w:r>
    <w:r>
      <w:rPr>
        <w:rFonts w:hint="eastAsia" w:ascii="楷体_GB2312" w:eastAsia="楷体_GB2312"/>
        <w:sz w:val="21"/>
        <w:szCs w:val="21"/>
      </w:rPr>
      <w:t>商</w:t>
    </w:r>
    <w:r>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投标人须知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 xml:space="preserve">招标文件    </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投标文件格式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招标文件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投标文件格式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招标文件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投标文件格式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1346F"/>
    <w:multiLevelType w:val="multilevel"/>
    <w:tmpl w:val="4B01346F"/>
    <w:lvl w:ilvl="0" w:tentative="0">
      <w:start w:val="1"/>
      <w:numFmt w:val="decimal"/>
      <w:lvlText w:val="%1.  "/>
      <w:lvlJc w:val="left"/>
      <w:pPr>
        <w:ind w:left="935" w:hanging="420"/>
      </w:pPr>
      <w:rPr>
        <w:rFonts w:hint="default" w:ascii="Times New Roman" w:hAnsi="Times New Roman" w:cs="Times New Roman"/>
        <w:color w:val="auto"/>
      </w:rPr>
    </w:lvl>
    <w:lvl w:ilvl="1" w:tentative="0">
      <w:start w:val="1"/>
      <w:numFmt w:val="lowerLetter"/>
      <w:lvlText w:val="%2)"/>
      <w:lvlJc w:val="left"/>
      <w:pPr>
        <w:ind w:left="1355" w:hanging="420"/>
      </w:pPr>
    </w:lvl>
    <w:lvl w:ilvl="2" w:tentative="0">
      <w:start w:val="1"/>
      <w:numFmt w:val="lowerRoman"/>
      <w:lvlText w:val="%3."/>
      <w:lvlJc w:val="right"/>
      <w:pPr>
        <w:ind w:left="1775" w:hanging="420"/>
      </w:pPr>
    </w:lvl>
    <w:lvl w:ilvl="3" w:tentative="0">
      <w:start w:val="1"/>
      <w:numFmt w:val="decimal"/>
      <w:suff w:val="nothing"/>
      <w:lvlText w:val="%4. "/>
      <w:lvlJc w:val="left"/>
      <w:pPr>
        <w:ind w:left="1413" w:hanging="420"/>
      </w:pPr>
      <w:rPr>
        <w:rFonts w:hint="eastAsia"/>
      </w:rPr>
    </w:lvl>
    <w:lvl w:ilvl="4" w:tentative="0">
      <w:start w:val="1"/>
      <w:numFmt w:val="lowerLetter"/>
      <w:lvlText w:val="%5)"/>
      <w:lvlJc w:val="left"/>
      <w:pPr>
        <w:ind w:left="2615" w:hanging="420"/>
      </w:pPr>
    </w:lvl>
    <w:lvl w:ilvl="5" w:tentative="0">
      <w:start w:val="1"/>
      <w:numFmt w:val="lowerRoman"/>
      <w:lvlText w:val="%6."/>
      <w:lvlJc w:val="right"/>
      <w:pPr>
        <w:ind w:left="3035" w:hanging="420"/>
      </w:pPr>
    </w:lvl>
    <w:lvl w:ilvl="6" w:tentative="0">
      <w:start w:val="1"/>
      <w:numFmt w:val="decimal"/>
      <w:lvlText w:val="%7."/>
      <w:lvlJc w:val="left"/>
      <w:pPr>
        <w:ind w:left="3455" w:hanging="420"/>
      </w:pPr>
    </w:lvl>
    <w:lvl w:ilvl="7" w:tentative="0">
      <w:start w:val="1"/>
      <w:numFmt w:val="lowerLetter"/>
      <w:lvlText w:val="%8)"/>
      <w:lvlJc w:val="left"/>
      <w:pPr>
        <w:ind w:left="3875" w:hanging="420"/>
      </w:pPr>
    </w:lvl>
    <w:lvl w:ilvl="8" w:tentative="0">
      <w:start w:val="1"/>
      <w:numFmt w:val="lowerRoman"/>
      <w:lvlText w:val="%9."/>
      <w:lvlJc w:val="right"/>
      <w:pPr>
        <w:ind w:left="42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201"/>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9EE"/>
    <w:rsid w:val="00002C2E"/>
    <w:rsid w:val="00002FA2"/>
    <w:rsid w:val="00004634"/>
    <w:rsid w:val="0000573F"/>
    <w:rsid w:val="00013467"/>
    <w:rsid w:val="0001562D"/>
    <w:rsid w:val="000158F6"/>
    <w:rsid w:val="00016044"/>
    <w:rsid w:val="000160A3"/>
    <w:rsid w:val="00021B72"/>
    <w:rsid w:val="000251D9"/>
    <w:rsid w:val="00025F6C"/>
    <w:rsid w:val="00026C64"/>
    <w:rsid w:val="00030F28"/>
    <w:rsid w:val="000347B9"/>
    <w:rsid w:val="00034E63"/>
    <w:rsid w:val="00041450"/>
    <w:rsid w:val="00042DCC"/>
    <w:rsid w:val="0004687A"/>
    <w:rsid w:val="00050482"/>
    <w:rsid w:val="00054AFA"/>
    <w:rsid w:val="0005519E"/>
    <w:rsid w:val="0005539D"/>
    <w:rsid w:val="0005654B"/>
    <w:rsid w:val="000636CA"/>
    <w:rsid w:val="0007237B"/>
    <w:rsid w:val="00074448"/>
    <w:rsid w:val="000744D5"/>
    <w:rsid w:val="000803AF"/>
    <w:rsid w:val="00085564"/>
    <w:rsid w:val="000879CB"/>
    <w:rsid w:val="00090C0E"/>
    <w:rsid w:val="00092481"/>
    <w:rsid w:val="00094144"/>
    <w:rsid w:val="00094D66"/>
    <w:rsid w:val="000A01D4"/>
    <w:rsid w:val="000A0899"/>
    <w:rsid w:val="000A1FBF"/>
    <w:rsid w:val="000A47EE"/>
    <w:rsid w:val="000A6CE0"/>
    <w:rsid w:val="000A77FA"/>
    <w:rsid w:val="000B0A52"/>
    <w:rsid w:val="000B1714"/>
    <w:rsid w:val="000B1F30"/>
    <w:rsid w:val="000B4FE3"/>
    <w:rsid w:val="000D1724"/>
    <w:rsid w:val="000D4E07"/>
    <w:rsid w:val="000E0A9C"/>
    <w:rsid w:val="000E203F"/>
    <w:rsid w:val="000E2378"/>
    <w:rsid w:val="000E441D"/>
    <w:rsid w:val="000F19EE"/>
    <w:rsid w:val="000F241F"/>
    <w:rsid w:val="000F6B44"/>
    <w:rsid w:val="000F6D0D"/>
    <w:rsid w:val="000F7F74"/>
    <w:rsid w:val="00100C14"/>
    <w:rsid w:val="00104F9C"/>
    <w:rsid w:val="00112AB8"/>
    <w:rsid w:val="00117521"/>
    <w:rsid w:val="0011792C"/>
    <w:rsid w:val="001179D2"/>
    <w:rsid w:val="0012622A"/>
    <w:rsid w:val="0012758E"/>
    <w:rsid w:val="00132440"/>
    <w:rsid w:val="001370A6"/>
    <w:rsid w:val="00143A5E"/>
    <w:rsid w:val="00145EE0"/>
    <w:rsid w:val="0015050A"/>
    <w:rsid w:val="001509A9"/>
    <w:rsid w:val="00153080"/>
    <w:rsid w:val="00154A37"/>
    <w:rsid w:val="00155AB8"/>
    <w:rsid w:val="00156746"/>
    <w:rsid w:val="00160CAA"/>
    <w:rsid w:val="00161C89"/>
    <w:rsid w:val="00163061"/>
    <w:rsid w:val="0016323B"/>
    <w:rsid w:val="001670CC"/>
    <w:rsid w:val="00170A53"/>
    <w:rsid w:val="00170CAC"/>
    <w:rsid w:val="001723F0"/>
    <w:rsid w:val="00172E51"/>
    <w:rsid w:val="0017341B"/>
    <w:rsid w:val="00181519"/>
    <w:rsid w:val="001842B9"/>
    <w:rsid w:val="00184BEA"/>
    <w:rsid w:val="00185E33"/>
    <w:rsid w:val="00187DDD"/>
    <w:rsid w:val="00190499"/>
    <w:rsid w:val="001946ED"/>
    <w:rsid w:val="00194A09"/>
    <w:rsid w:val="00195A35"/>
    <w:rsid w:val="001967E6"/>
    <w:rsid w:val="001A1DAD"/>
    <w:rsid w:val="001A27DE"/>
    <w:rsid w:val="001A3D64"/>
    <w:rsid w:val="001A3D7B"/>
    <w:rsid w:val="001A420E"/>
    <w:rsid w:val="001A7AF3"/>
    <w:rsid w:val="001B0507"/>
    <w:rsid w:val="001B25A6"/>
    <w:rsid w:val="001B30A2"/>
    <w:rsid w:val="001B77E3"/>
    <w:rsid w:val="001C13BA"/>
    <w:rsid w:val="001C20C5"/>
    <w:rsid w:val="001C4128"/>
    <w:rsid w:val="001C7DE1"/>
    <w:rsid w:val="001D04C7"/>
    <w:rsid w:val="001D3A1B"/>
    <w:rsid w:val="001D51BC"/>
    <w:rsid w:val="001D70FA"/>
    <w:rsid w:val="001E193A"/>
    <w:rsid w:val="001E3944"/>
    <w:rsid w:val="001E3BC8"/>
    <w:rsid w:val="001E3D72"/>
    <w:rsid w:val="001F3830"/>
    <w:rsid w:val="001F49DF"/>
    <w:rsid w:val="001F602A"/>
    <w:rsid w:val="001F665F"/>
    <w:rsid w:val="00200C01"/>
    <w:rsid w:val="00214820"/>
    <w:rsid w:val="00217B83"/>
    <w:rsid w:val="00220449"/>
    <w:rsid w:val="00220BEB"/>
    <w:rsid w:val="00222099"/>
    <w:rsid w:val="002246D0"/>
    <w:rsid w:val="002253F6"/>
    <w:rsid w:val="00230E9D"/>
    <w:rsid w:val="00235E78"/>
    <w:rsid w:val="002367B0"/>
    <w:rsid w:val="002400C7"/>
    <w:rsid w:val="00241372"/>
    <w:rsid w:val="00244F73"/>
    <w:rsid w:val="0025364F"/>
    <w:rsid w:val="00254550"/>
    <w:rsid w:val="00255ABB"/>
    <w:rsid w:val="002579DE"/>
    <w:rsid w:val="00262608"/>
    <w:rsid w:val="0027075E"/>
    <w:rsid w:val="00275151"/>
    <w:rsid w:val="0027705C"/>
    <w:rsid w:val="002803F1"/>
    <w:rsid w:val="00280EA8"/>
    <w:rsid w:val="00281483"/>
    <w:rsid w:val="00281540"/>
    <w:rsid w:val="00282BA9"/>
    <w:rsid w:val="00285F65"/>
    <w:rsid w:val="00286030"/>
    <w:rsid w:val="002913DB"/>
    <w:rsid w:val="002918A0"/>
    <w:rsid w:val="00292839"/>
    <w:rsid w:val="00293B4C"/>
    <w:rsid w:val="00295BF0"/>
    <w:rsid w:val="00295DDE"/>
    <w:rsid w:val="00297A15"/>
    <w:rsid w:val="002A29EE"/>
    <w:rsid w:val="002A4C33"/>
    <w:rsid w:val="002A77D9"/>
    <w:rsid w:val="002B0A3B"/>
    <w:rsid w:val="002B136A"/>
    <w:rsid w:val="002B202E"/>
    <w:rsid w:val="002B38DD"/>
    <w:rsid w:val="002B6049"/>
    <w:rsid w:val="002B7194"/>
    <w:rsid w:val="002C0130"/>
    <w:rsid w:val="002C0F66"/>
    <w:rsid w:val="002C1344"/>
    <w:rsid w:val="002C6A11"/>
    <w:rsid w:val="002C7079"/>
    <w:rsid w:val="002C7283"/>
    <w:rsid w:val="002D0966"/>
    <w:rsid w:val="002D331A"/>
    <w:rsid w:val="002D43F5"/>
    <w:rsid w:val="002D5161"/>
    <w:rsid w:val="002D5B51"/>
    <w:rsid w:val="002E011C"/>
    <w:rsid w:val="002E0A0C"/>
    <w:rsid w:val="002E3D9F"/>
    <w:rsid w:val="002F1927"/>
    <w:rsid w:val="003027C7"/>
    <w:rsid w:val="00302A57"/>
    <w:rsid w:val="00302A79"/>
    <w:rsid w:val="00302BCC"/>
    <w:rsid w:val="00310302"/>
    <w:rsid w:val="00312142"/>
    <w:rsid w:val="00314ADF"/>
    <w:rsid w:val="00317B20"/>
    <w:rsid w:val="00320702"/>
    <w:rsid w:val="0032757D"/>
    <w:rsid w:val="0032766C"/>
    <w:rsid w:val="003276E6"/>
    <w:rsid w:val="00333901"/>
    <w:rsid w:val="00335EF0"/>
    <w:rsid w:val="00336DFF"/>
    <w:rsid w:val="00340B6D"/>
    <w:rsid w:val="0034221C"/>
    <w:rsid w:val="00342A28"/>
    <w:rsid w:val="00343140"/>
    <w:rsid w:val="00346B6C"/>
    <w:rsid w:val="00350CE6"/>
    <w:rsid w:val="00353505"/>
    <w:rsid w:val="00356BD1"/>
    <w:rsid w:val="0035787E"/>
    <w:rsid w:val="003611CA"/>
    <w:rsid w:val="00361426"/>
    <w:rsid w:val="00365563"/>
    <w:rsid w:val="003721E4"/>
    <w:rsid w:val="00381B40"/>
    <w:rsid w:val="0038315E"/>
    <w:rsid w:val="003839B9"/>
    <w:rsid w:val="00384C3A"/>
    <w:rsid w:val="0038561E"/>
    <w:rsid w:val="0038583F"/>
    <w:rsid w:val="00386754"/>
    <w:rsid w:val="00391648"/>
    <w:rsid w:val="00392277"/>
    <w:rsid w:val="003923F1"/>
    <w:rsid w:val="0039559B"/>
    <w:rsid w:val="0039601D"/>
    <w:rsid w:val="003A1E13"/>
    <w:rsid w:val="003B0536"/>
    <w:rsid w:val="003B0652"/>
    <w:rsid w:val="003B3F4B"/>
    <w:rsid w:val="003B44D4"/>
    <w:rsid w:val="003B50D8"/>
    <w:rsid w:val="003B7663"/>
    <w:rsid w:val="003C19BC"/>
    <w:rsid w:val="003C3B80"/>
    <w:rsid w:val="003C6E11"/>
    <w:rsid w:val="003D1292"/>
    <w:rsid w:val="003D363B"/>
    <w:rsid w:val="003E2C38"/>
    <w:rsid w:val="003E2C3A"/>
    <w:rsid w:val="003E2D1B"/>
    <w:rsid w:val="003E650B"/>
    <w:rsid w:val="003E7CE7"/>
    <w:rsid w:val="003F02F9"/>
    <w:rsid w:val="003F2300"/>
    <w:rsid w:val="003F29CF"/>
    <w:rsid w:val="003F37B0"/>
    <w:rsid w:val="003F4055"/>
    <w:rsid w:val="003F4981"/>
    <w:rsid w:val="00402E19"/>
    <w:rsid w:val="00406BC5"/>
    <w:rsid w:val="00412ADF"/>
    <w:rsid w:val="0041496A"/>
    <w:rsid w:val="00422CFA"/>
    <w:rsid w:val="00426402"/>
    <w:rsid w:val="0042719D"/>
    <w:rsid w:val="004350C6"/>
    <w:rsid w:val="004359C8"/>
    <w:rsid w:val="00435AE4"/>
    <w:rsid w:val="004404EB"/>
    <w:rsid w:val="00441D08"/>
    <w:rsid w:val="00443086"/>
    <w:rsid w:val="00443F77"/>
    <w:rsid w:val="00447DED"/>
    <w:rsid w:val="00452784"/>
    <w:rsid w:val="00453C16"/>
    <w:rsid w:val="004559AE"/>
    <w:rsid w:val="00455BD3"/>
    <w:rsid w:val="0045635E"/>
    <w:rsid w:val="00456462"/>
    <w:rsid w:val="004569F6"/>
    <w:rsid w:val="00456AED"/>
    <w:rsid w:val="0046063F"/>
    <w:rsid w:val="00463F09"/>
    <w:rsid w:val="00464557"/>
    <w:rsid w:val="00471BF6"/>
    <w:rsid w:val="00472142"/>
    <w:rsid w:val="00475253"/>
    <w:rsid w:val="00476D8F"/>
    <w:rsid w:val="004817C9"/>
    <w:rsid w:val="0048184A"/>
    <w:rsid w:val="004855DB"/>
    <w:rsid w:val="00486FAC"/>
    <w:rsid w:val="00490B39"/>
    <w:rsid w:val="0049116F"/>
    <w:rsid w:val="00497561"/>
    <w:rsid w:val="004A2AB0"/>
    <w:rsid w:val="004A51A4"/>
    <w:rsid w:val="004B3316"/>
    <w:rsid w:val="004C0B0A"/>
    <w:rsid w:val="004C1A39"/>
    <w:rsid w:val="004C6962"/>
    <w:rsid w:val="004C7646"/>
    <w:rsid w:val="004D09D9"/>
    <w:rsid w:val="004D23FB"/>
    <w:rsid w:val="004D48E0"/>
    <w:rsid w:val="004E037D"/>
    <w:rsid w:val="004E0BAB"/>
    <w:rsid w:val="004E162D"/>
    <w:rsid w:val="004E18EC"/>
    <w:rsid w:val="004E3F98"/>
    <w:rsid w:val="004E60AD"/>
    <w:rsid w:val="004F4BBC"/>
    <w:rsid w:val="004F5759"/>
    <w:rsid w:val="005016FA"/>
    <w:rsid w:val="00501BD3"/>
    <w:rsid w:val="005026E6"/>
    <w:rsid w:val="00505765"/>
    <w:rsid w:val="00505E0B"/>
    <w:rsid w:val="00506149"/>
    <w:rsid w:val="00506678"/>
    <w:rsid w:val="0051161F"/>
    <w:rsid w:val="00512A58"/>
    <w:rsid w:val="00514365"/>
    <w:rsid w:val="005143F2"/>
    <w:rsid w:val="00516724"/>
    <w:rsid w:val="00517248"/>
    <w:rsid w:val="00526DAB"/>
    <w:rsid w:val="00530149"/>
    <w:rsid w:val="00531428"/>
    <w:rsid w:val="005342E3"/>
    <w:rsid w:val="00541A12"/>
    <w:rsid w:val="005431D4"/>
    <w:rsid w:val="005501A2"/>
    <w:rsid w:val="005538B6"/>
    <w:rsid w:val="005643ED"/>
    <w:rsid w:val="00564779"/>
    <w:rsid w:val="00564DF4"/>
    <w:rsid w:val="00566914"/>
    <w:rsid w:val="005704FC"/>
    <w:rsid w:val="0057527E"/>
    <w:rsid w:val="0057658B"/>
    <w:rsid w:val="00577C87"/>
    <w:rsid w:val="0058033F"/>
    <w:rsid w:val="00592954"/>
    <w:rsid w:val="00593668"/>
    <w:rsid w:val="005A03AA"/>
    <w:rsid w:val="005A4B13"/>
    <w:rsid w:val="005A4B8A"/>
    <w:rsid w:val="005A63B3"/>
    <w:rsid w:val="005B1A5E"/>
    <w:rsid w:val="005B2EA3"/>
    <w:rsid w:val="005B3948"/>
    <w:rsid w:val="005C0D9D"/>
    <w:rsid w:val="005C1F06"/>
    <w:rsid w:val="005C3150"/>
    <w:rsid w:val="005D0B03"/>
    <w:rsid w:val="005E60DB"/>
    <w:rsid w:val="005F4A22"/>
    <w:rsid w:val="005F507A"/>
    <w:rsid w:val="005F5D7D"/>
    <w:rsid w:val="005F680F"/>
    <w:rsid w:val="00603D4C"/>
    <w:rsid w:val="00603E3C"/>
    <w:rsid w:val="006147F1"/>
    <w:rsid w:val="00614A6A"/>
    <w:rsid w:val="006202D4"/>
    <w:rsid w:val="0062359B"/>
    <w:rsid w:val="006262F0"/>
    <w:rsid w:val="00627EB1"/>
    <w:rsid w:val="00644283"/>
    <w:rsid w:val="00646B99"/>
    <w:rsid w:val="00647C90"/>
    <w:rsid w:val="00652826"/>
    <w:rsid w:val="00652A4D"/>
    <w:rsid w:val="0066462B"/>
    <w:rsid w:val="00665B4B"/>
    <w:rsid w:val="00665B57"/>
    <w:rsid w:val="00666127"/>
    <w:rsid w:val="0067109C"/>
    <w:rsid w:val="00671BDE"/>
    <w:rsid w:val="0067234D"/>
    <w:rsid w:val="006753D8"/>
    <w:rsid w:val="00680410"/>
    <w:rsid w:val="00681868"/>
    <w:rsid w:val="006819DA"/>
    <w:rsid w:val="00682719"/>
    <w:rsid w:val="00684B77"/>
    <w:rsid w:val="0068595F"/>
    <w:rsid w:val="006933F0"/>
    <w:rsid w:val="00695F8D"/>
    <w:rsid w:val="006962AD"/>
    <w:rsid w:val="0069676E"/>
    <w:rsid w:val="006979A0"/>
    <w:rsid w:val="006A120F"/>
    <w:rsid w:val="006A16F5"/>
    <w:rsid w:val="006A7511"/>
    <w:rsid w:val="006B21E6"/>
    <w:rsid w:val="006B45F4"/>
    <w:rsid w:val="006B7C2C"/>
    <w:rsid w:val="006C1CF4"/>
    <w:rsid w:val="006C45C6"/>
    <w:rsid w:val="006C4797"/>
    <w:rsid w:val="006C6901"/>
    <w:rsid w:val="006E23C5"/>
    <w:rsid w:val="006E3186"/>
    <w:rsid w:val="006E4137"/>
    <w:rsid w:val="006E423C"/>
    <w:rsid w:val="006E44DC"/>
    <w:rsid w:val="006E732A"/>
    <w:rsid w:val="006F116B"/>
    <w:rsid w:val="006F20D7"/>
    <w:rsid w:val="006F4A93"/>
    <w:rsid w:val="006F621C"/>
    <w:rsid w:val="00700EA9"/>
    <w:rsid w:val="007048F0"/>
    <w:rsid w:val="00706B94"/>
    <w:rsid w:val="00707587"/>
    <w:rsid w:val="00712CBC"/>
    <w:rsid w:val="007144A6"/>
    <w:rsid w:val="007154D8"/>
    <w:rsid w:val="00723750"/>
    <w:rsid w:val="0072438F"/>
    <w:rsid w:val="00724A15"/>
    <w:rsid w:val="00724F47"/>
    <w:rsid w:val="007264A9"/>
    <w:rsid w:val="00726DAE"/>
    <w:rsid w:val="007302D1"/>
    <w:rsid w:val="007335ED"/>
    <w:rsid w:val="00733A42"/>
    <w:rsid w:val="00733BDD"/>
    <w:rsid w:val="00733F31"/>
    <w:rsid w:val="00750539"/>
    <w:rsid w:val="00751CB1"/>
    <w:rsid w:val="00760AB4"/>
    <w:rsid w:val="00765BBC"/>
    <w:rsid w:val="00767719"/>
    <w:rsid w:val="00767AAD"/>
    <w:rsid w:val="0077100A"/>
    <w:rsid w:val="0077103A"/>
    <w:rsid w:val="00771F5D"/>
    <w:rsid w:val="00772B5D"/>
    <w:rsid w:val="007731DA"/>
    <w:rsid w:val="0077339D"/>
    <w:rsid w:val="0077559A"/>
    <w:rsid w:val="00776432"/>
    <w:rsid w:val="00780C9C"/>
    <w:rsid w:val="0078225A"/>
    <w:rsid w:val="007823A9"/>
    <w:rsid w:val="00782884"/>
    <w:rsid w:val="00783162"/>
    <w:rsid w:val="007876EF"/>
    <w:rsid w:val="00790E1A"/>
    <w:rsid w:val="007912E6"/>
    <w:rsid w:val="00794142"/>
    <w:rsid w:val="00794DFB"/>
    <w:rsid w:val="007A06DB"/>
    <w:rsid w:val="007A0E7A"/>
    <w:rsid w:val="007A1E3A"/>
    <w:rsid w:val="007B2A7F"/>
    <w:rsid w:val="007B31EB"/>
    <w:rsid w:val="007B376E"/>
    <w:rsid w:val="007B6E7C"/>
    <w:rsid w:val="007B79E4"/>
    <w:rsid w:val="007C28FA"/>
    <w:rsid w:val="007C3B80"/>
    <w:rsid w:val="007C42A8"/>
    <w:rsid w:val="007C610C"/>
    <w:rsid w:val="007C687E"/>
    <w:rsid w:val="007C7791"/>
    <w:rsid w:val="007D5626"/>
    <w:rsid w:val="007D6B4A"/>
    <w:rsid w:val="007E05D4"/>
    <w:rsid w:val="007E1C94"/>
    <w:rsid w:val="007E2690"/>
    <w:rsid w:val="007E2FA9"/>
    <w:rsid w:val="007E33AC"/>
    <w:rsid w:val="007E4DE9"/>
    <w:rsid w:val="007E71E8"/>
    <w:rsid w:val="007F021A"/>
    <w:rsid w:val="007F2105"/>
    <w:rsid w:val="007F39A1"/>
    <w:rsid w:val="007F4898"/>
    <w:rsid w:val="007F4F86"/>
    <w:rsid w:val="00803595"/>
    <w:rsid w:val="008055AC"/>
    <w:rsid w:val="00810E36"/>
    <w:rsid w:val="00813A34"/>
    <w:rsid w:val="00817F8B"/>
    <w:rsid w:val="00820413"/>
    <w:rsid w:val="00820845"/>
    <w:rsid w:val="0082198C"/>
    <w:rsid w:val="00825390"/>
    <w:rsid w:val="00830AC0"/>
    <w:rsid w:val="00830D03"/>
    <w:rsid w:val="00830FC4"/>
    <w:rsid w:val="00833B0E"/>
    <w:rsid w:val="00835412"/>
    <w:rsid w:val="00842750"/>
    <w:rsid w:val="00844B61"/>
    <w:rsid w:val="00846F55"/>
    <w:rsid w:val="00850279"/>
    <w:rsid w:val="008518CF"/>
    <w:rsid w:val="008557A0"/>
    <w:rsid w:val="00855AC0"/>
    <w:rsid w:val="00856711"/>
    <w:rsid w:val="00857990"/>
    <w:rsid w:val="008642CB"/>
    <w:rsid w:val="00864339"/>
    <w:rsid w:val="00871AA1"/>
    <w:rsid w:val="008731D1"/>
    <w:rsid w:val="00881A2F"/>
    <w:rsid w:val="008879B2"/>
    <w:rsid w:val="00890364"/>
    <w:rsid w:val="00892407"/>
    <w:rsid w:val="00894FD2"/>
    <w:rsid w:val="00895983"/>
    <w:rsid w:val="008A0E95"/>
    <w:rsid w:val="008A3925"/>
    <w:rsid w:val="008A5296"/>
    <w:rsid w:val="008B40F1"/>
    <w:rsid w:val="008B5D3A"/>
    <w:rsid w:val="008B7F5D"/>
    <w:rsid w:val="008C012A"/>
    <w:rsid w:val="008C22E2"/>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856"/>
    <w:rsid w:val="00910A73"/>
    <w:rsid w:val="00911F1B"/>
    <w:rsid w:val="009141ED"/>
    <w:rsid w:val="00914CA0"/>
    <w:rsid w:val="00917AC9"/>
    <w:rsid w:val="00922C1C"/>
    <w:rsid w:val="00924CF4"/>
    <w:rsid w:val="00925716"/>
    <w:rsid w:val="0092784F"/>
    <w:rsid w:val="00930468"/>
    <w:rsid w:val="00931D4D"/>
    <w:rsid w:val="0093212A"/>
    <w:rsid w:val="00932621"/>
    <w:rsid w:val="00934050"/>
    <w:rsid w:val="00936837"/>
    <w:rsid w:val="00941CD2"/>
    <w:rsid w:val="00946547"/>
    <w:rsid w:val="009474B3"/>
    <w:rsid w:val="009478E9"/>
    <w:rsid w:val="009538C7"/>
    <w:rsid w:val="009554D8"/>
    <w:rsid w:val="009570D9"/>
    <w:rsid w:val="00957388"/>
    <w:rsid w:val="00962E40"/>
    <w:rsid w:val="0096732E"/>
    <w:rsid w:val="00977E68"/>
    <w:rsid w:val="00977F7E"/>
    <w:rsid w:val="00980D50"/>
    <w:rsid w:val="00981994"/>
    <w:rsid w:val="00985CB0"/>
    <w:rsid w:val="009876D3"/>
    <w:rsid w:val="00993684"/>
    <w:rsid w:val="00993A4B"/>
    <w:rsid w:val="0099585E"/>
    <w:rsid w:val="00997675"/>
    <w:rsid w:val="009A1A23"/>
    <w:rsid w:val="009A4C72"/>
    <w:rsid w:val="009A68A6"/>
    <w:rsid w:val="009B02ED"/>
    <w:rsid w:val="009B1DC8"/>
    <w:rsid w:val="009B4A1B"/>
    <w:rsid w:val="009B55F3"/>
    <w:rsid w:val="009B598D"/>
    <w:rsid w:val="009B6673"/>
    <w:rsid w:val="009B6C69"/>
    <w:rsid w:val="009B7EA9"/>
    <w:rsid w:val="009C00DD"/>
    <w:rsid w:val="009C4029"/>
    <w:rsid w:val="009C55EE"/>
    <w:rsid w:val="009D06C0"/>
    <w:rsid w:val="009D217C"/>
    <w:rsid w:val="009D403B"/>
    <w:rsid w:val="009E48BE"/>
    <w:rsid w:val="009F16A1"/>
    <w:rsid w:val="009F315B"/>
    <w:rsid w:val="00A03529"/>
    <w:rsid w:val="00A05A0E"/>
    <w:rsid w:val="00A0656E"/>
    <w:rsid w:val="00A11831"/>
    <w:rsid w:val="00A11DC2"/>
    <w:rsid w:val="00A1300A"/>
    <w:rsid w:val="00A1323F"/>
    <w:rsid w:val="00A15AB3"/>
    <w:rsid w:val="00A15AF7"/>
    <w:rsid w:val="00A16C22"/>
    <w:rsid w:val="00A25764"/>
    <w:rsid w:val="00A31724"/>
    <w:rsid w:val="00A346B1"/>
    <w:rsid w:val="00A36553"/>
    <w:rsid w:val="00A37843"/>
    <w:rsid w:val="00A41211"/>
    <w:rsid w:val="00A416F4"/>
    <w:rsid w:val="00A46821"/>
    <w:rsid w:val="00A522F8"/>
    <w:rsid w:val="00A53651"/>
    <w:rsid w:val="00A53BD8"/>
    <w:rsid w:val="00A56B19"/>
    <w:rsid w:val="00A606E9"/>
    <w:rsid w:val="00A66B44"/>
    <w:rsid w:val="00A71960"/>
    <w:rsid w:val="00A73616"/>
    <w:rsid w:val="00A755BD"/>
    <w:rsid w:val="00A81EA5"/>
    <w:rsid w:val="00A8366F"/>
    <w:rsid w:val="00A84E5F"/>
    <w:rsid w:val="00A85F76"/>
    <w:rsid w:val="00A87205"/>
    <w:rsid w:val="00A87620"/>
    <w:rsid w:val="00A93DE8"/>
    <w:rsid w:val="00A94AB9"/>
    <w:rsid w:val="00AA43E5"/>
    <w:rsid w:val="00AA4C17"/>
    <w:rsid w:val="00AA55F3"/>
    <w:rsid w:val="00AA7CE8"/>
    <w:rsid w:val="00AB140D"/>
    <w:rsid w:val="00AB4A4E"/>
    <w:rsid w:val="00AB4AFD"/>
    <w:rsid w:val="00AB5A7B"/>
    <w:rsid w:val="00AC1106"/>
    <w:rsid w:val="00AC2501"/>
    <w:rsid w:val="00AC5B29"/>
    <w:rsid w:val="00AC6ABA"/>
    <w:rsid w:val="00AC6F74"/>
    <w:rsid w:val="00AC7215"/>
    <w:rsid w:val="00AC7F20"/>
    <w:rsid w:val="00AC7F58"/>
    <w:rsid w:val="00AD3762"/>
    <w:rsid w:val="00AD6F80"/>
    <w:rsid w:val="00AE024F"/>
    <w:rsid w:val="00AE22ED"/>
    <w:rsid w:val="00AE386F"/>
    <w:rsid w:val="00AE4417"/>
    <w:rsid w:val="00AE4FFF"/>
    <w:rsid w:val="00AF0759"/>
    <w:rsid w:val="00AF1771"/>
    <w:rsid w:val="00AF2AE2"/>
    <w:rsid w:val="00AF3AB1"/>
    <w:rsid w:val="00AF3EFD"/>
    <w:rsid w:val="00AF5F07"/>
    <w:rsid w:val="00AF6F79"/>
    <w:rsid w:val="00B00DAF"/>
    <w:rsid w:val="00B02965"/>
    <w:rsid w:val="00B02B2B"/>
    <w:rsid w:val="00B05091"/>
    <w:rsid w:val="00B07ACA"/>
    <w:rsid w:val="00B14E99"/>
    <w:rsid w:val="00B16B77"/>
    <w:rsid w:val="00B16D32"/>
    <w:rsid w:val="00B20AA0"/>
    <w:rsid w:val="00B24395"/>
    <w:rsid w:val="00B2575B"/>
    <w:rsid w:val="00B25CCF"/>
    <w:rsid w:val="00B312BF"/>
    <w:rsid w:val="00B33EB7"/>
    <w:rsid w:val="00B3565C"/>
    <w:rsid w:val="00B36D3D"/>
    <w:rsid w:val="00B3727D"/>
    <w:rsid w:val="00B3729E"/>
    <w:rsid w:val="00B40D8F"/>
    <w:rsid w:val="00B42007"/>
    <w:rsid w:val="00B45248"/>
    <w:rsid w:val="00B5113A"/>
    <w:rsid w:val="00B554DE"/>
    <w:rsid w:val="00B57556"/>
    <w:rsid w:val="00B613E9"/>
    <w:rsid w:val="00B62611"/>
    <w:rsid w:val="00B63207"/>
    <w:rsid w:val="00B63A58"/>
    <w:rsid w:val="00B64ACD"/>
    <w:rsid w:val="00B70AC4"/>
    <w:rsid w:val="00B74023"/>
    <w:rsid w:val="00B74539"/>
    <w:rsid w:val="00B83170"/>
    <w:rsid w:val="00B832AC"/>
    <w:rsid w:val="00B83D1A"/>
    <w:rsid w:val="00B85169"/>
    <w:rsid w:val="00B87CEC"/>
    <w:rsid w:val="00B90304"/>
    <w:rsid w:val="00B918E6"/>
    <w:rsid w:val="00B944A5"/>
    <w:rsid w:val="00B94A8A"/>
    <w:rsid w:val="00BA1EA0"/>
    <w:rsid w:val="00BA71AE"/>
    <w:rsid w:val="00BB2B8E"/>
    <w:rsid w:val="00BB380A"/>
    <w:rsid w:val="00BB488F"/>
    <w:rsid w:val="00BB7CF6"/>
    <w:rsid w:val="00BC21AC"/>
    <w:rsid w:val="00BD1E15"/>
    <w:rsid w:val="00BD39AC"/>
    <w:rsid w:val="00BD737A"/>
    <w:rsid w:val="00BD7CAC"/>
    <w:rsid w:val="00BE4874"/>
    <w:rsid w:val="00BE4D46"/>
    <w:rsid w:val="00BF1317"/>
    <w:rsid w:val="00BF60B1"/>
    <w:rsid w:val="00C0287F"/>
    <w:rsid w:val="00C02CD6"/>
    <w:rsid w:val="00C03359"/>
    <w:rsid w:val="00C05979"/>
    <w:rsid w:val="00C05988"/>
    <w:rsid w:val="00C05E71"/>
    <w:rsid w:val="00C116BF"/>
    <w:rsid w:val="00C1522D"/>
    <w:rsid w:val="00C17C0C"/>
    <w:rsid w:val="00C17E1B"/>
    <w:rsid w:val="00C257E3"/>
    <w:rsid w:val="00C3022B"/>
    <w:rsid w:val="00C3311B"/>
    <w:rsid w:val="00C41960"/>
    <w:rsid w:val="00C4330B"/>
    <w:rsid w:val="00C43C6F"/>
    <w:rsid w:val="00C475A2"/>
    <w:rsid w:val="00C53850"/>
    <w:rsid w:val="00C53CFB"/>
    <w:rsid w:val="00C5456B"/>
    <w:rsid w:val="00C562A9"/>
    <w:rsid w:val="00C5736D"/>
    <w:rsid w:val="00C57D95"/>
    <w:rsid w:val="00C65928"/>
    <w:rsid w:val="00C7014A"/>
    <w:rsid w:val="00C75273"/>
    <w:rsid w:val="00C761E7"/>
    <w:rsid w:val="00C77CA5"/>
    <w:rsid w:val="00C77DB5"/>
    <w:rsid w:val="00C81CBB"/>
    <w:rsid w:val="00C840DC"/>
    <w:rsid w:val="00C852C5"/>
    <w:rsid w:val="00C90493"/>
    <w:rsid w:val="00C91F60"/>
    <w:rsid w:val="00C930A6"/>
    <w:rsid w:val="00C93F1A"/>
    <w:rsid w:val="00C94047"/>
    <w:rsid w:val="00CA2259"/>
    <w:rsid w:val="00CA46F0"/>
    <w:rsid w:val="00CA47C5"/>
    <w:rsid w:val="00CA4F44"/>
    <w:rsid w:val="00CA508A"/>
    <w:rsid w:val="00CA53CE"/>
    <w:rsid w:val="00CA7656"/>
    <w:rsid w:val="00CB0C1E"/>
    <w:rsid w:val="00CB2ECF"/>
    <w:rsid w:val="00CB4AA1"/>
    <w:rsid w:val="00CB57AB"/>
    <w:rsid w:val="00CB63F6"/>
    <w:rsid w:val="00CC788E"/>
    <w:rsid w:val="00CD1389"/>
    <w:rsid w:val="00CD3A99"/>
    <w:rsid w:val="00CD408F"/>
    <w:rsid w:val="00CD46E0"/>
    <w:rsid w:val="00CD58CF"/>
    <w:rsid w:val="00CE3C32"/>
    <w:rsid w:val="00CE48C7"/>
    <w:rsid w:val="00CF40F3"/>
    <w:rsid w:val="00CF4B59"/>
    <w:rsid w:val="00CF5B6D"/>
    <w:rsid w:val="00CF644A"/>
    <w:rsid w:val="00CF6D7C"/>
    <w:rsid w:val="00D03D3C"/>
    <w:rsid w:val="00D06FF8"/>
    <w:rsid w:val="00D10DF2"/>
    <w:rsid w:val="00D15E56"/>
    <w:rsid w:val="00D1612C"/>
    <w:rsid w:val="00D16290"/>
    <w:rsid w:val="00D162FA"/>
    <w:rsid w:val="00D168DD"/>
    <w:rsid w:val="00D205FF"/>
    <w:rsid w:val="00D23E0D"/>
    <w:rsid w:val="00D2626D"/>
    <w:rsid w:val="00D32648"/>
    <w:rsid w:val="00D34BFF"/>
    <w:rsid w:val="00D417CC"/>
    <w:rsid w:val="00D43BBF"/>
    <w:rsid w:val="00D51588"/>
    <w:rsid w:val="00D51635"/>
    <w:rsid w:val="00D55CB1"/>
    <w:rsid w:val="00D600C6"/>
    <w:rsid w:val="00D6206D"/>
    <w:rsid w:val="00D629BF"/>
    <w:rsid w:val="00D62A8E"/>
    <w:rsid w:val="00D630FF"/>
    <w:rsid w:val="00D63F42"/>
    <w:rsid w:val="00D6410D"/>
    <w:rsid w:val="00D65763"/>
    <w:rsid w:val="00D74170"/>
    <w:rsid w:val="00D746E9"/>
    <w:rsid w:val="00D75E68"/>
    <w:rsid w:val="00D75EF5"/>
    <w:rsid w:val="00D811AD"/>
    <w:rsid w:val="00D81BC3"/>
    <w:rsid w:val="00D82273"/>
    <w:rsid w:val="00D82379"/>
    <w:rsid w:val="00D874E6"/>
    <w:rsid w:val="00D91FBB"/>
    <w:rsid w:val="00D9263A"/>
    <w:rsid w:val="00D94BC0"/>
    <w:rsid w:val="00DA3CE5"/>
    <w:rsid w:val="00DA48E1"/>
    <w:rsid w:val="00DA4AA0"/>
    <w:rsid w:val="00DB0D05"/>
    <w:rsid w:val="00DB1953"/>
    <w:rsid w:val="00DB3B93"/>
    <w:rsid w:val="00DB5A86"/>
    <w:rsid w:val="00DB7520"/>
    <w:rsid w:val="00DC1D0F"/>
    <w:rsid w:val="00DC4321"/>
    <w:rsid w:val="00DD153E"/>
    <w:rsid w:val="00DD2C6F"/>
    <w:rsid w:val="00DD45CF"/>
    <w:rsid w:val="00DE009D"/>
    <w:rsid w:val="00DE45D1"/>
    <w:rsid w:val="00DF1C4D"/>
    <w:rsid w:val="00DF28D9"/>
    <w:rsid w:val="00DF6112"/>
    <w:rsid w:val="00DF6760"/>
    <w:rsid w:val="00E0008D"/>
    <w:rsid w:val="00E016D8"/>
    <w:rsid w:val="00E03D99"/>
    <w:rsid w:val="00E048AE"/>
    <w:rsid w:val="00E06D28"/>
    <w:rsid w:val="00E14E70"/>
    <w:rsid w:val="00E156DA"/>
    <w:rsid w:val="00E16F6C"/>
    <w:rsid w:val="00E225F7"/>
    <w:rsid w:val="00E270B5"/>
    <w:rsid w:val="00E36E55"/>
    <w:rsid w:val="00E374ED"/>
    <w:rsid w:val="00E40040"/>
    <w:rsid w:val="00E477BF"/>
    <w:rsid w:val="00E50B6E"/>
    <w:rsid w:val="00E52986"/>
    <w:rsid w:val="00E529C2"/>
    <w:rsid w:val="00E52EBE"/>
    <w:rsid w:val="00E53EB6"/>
    <w:rsid w:val="00E558D3"/>
    <w:rsid w:val="00E55F69"/>
    <w:rsid w:val="00E570BF"/>
    <w:rsid w:val="00E5789C"/>
    <w:rsid w:val="00E63572"/>
    <w:rsid w:val="00E655D3"/>
    <w:rsid w:val="00E67EA1"/>
    <w:rsid w:val="00E72EB4"/>
    <w:rsid w:val="00E763C3"/>
    <w:rsid w:val="00E851B0"/>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3F37"/>
    <w:rsid w:val="00F04056"/>
    <w:rsid w:val="00F07135"/>
    <w:rsid w:val="00F07E6A"/>
    <w:rsid w:val="00F10D6E"/>
    <w:rsid w:val="00F1490A"/>
    <w:rsid w:val="00F16EEB"/>
    <w:rsid w:val="00F2090E"/>
    <w:rsid w:val="00F213F7"/>
    <w:rsid w:val="00F33B8D"/>
    <w:rsid w:val="00F34D85"/>
    <w:rsid w:val="00F365B1"/>
    <w:rsid w:val="00F36DC0"/>
    <w:rsid w:val="00F433EA"/>
    <w:rsid w:val="00F445B0"/>
    <w:rsid w:val="00F52461"/>
    <w:rsid w:val="00F55C60"/>
    <w:rsid w:val="00F5673F"/>
    <w:rsid w:val="00F61363"/>
    <w:rsid w:val="00F62C5A"/>
    <w:rsid w:val="00F65697"/>
    <w:rsid w:val="00F667E1"/>
    <w:rsid w:val="00F66CCE"/>
    <w:rsid w:val="00F7132C"/>
    <w:rsid w:val="00F733A6"/>
    <w:rsid w:val="00F76262"/>
    <w:rsid w:val="00F7755E"/>
    <w:rsid w:val="00F86306"/>
    <w:rsid w:val="00F903C9"/>
    <w:rsid w:val="00F906A3"/>
    <w:rsid w:val="00F90D0C"/>
    <w:rsid w:val="00F952D2"/>
    <w:rsid w:val="00F96005"/>
    <w:rsid w:val="00F97B72"/>
    <w:rsid w:val="00FA2C0A"/>
    <w:rsid w:val="00FA3149"/>
    <w:rsid w:val="00FA4E4F"/>
    <w:rsid w:val="00FA72EA"/>
    <w:rsid w:val="00FB1444"/>
    <w:rsid w:val="00FB52C0"/>
    <w:rsid w:val="00FB62A8"/>
    <w:rsid w:val="00FB78D1"/>
    <w:rsid w:val="00FC0639"/>
    <w:rsid w:val="00FC3062"/>
    <w:rsid w:val="00FC33D8"/>
    <w:rsid w:val="00FC6F12"/>
    <w:rsid w:val="00FD2CFC"/>
    <w:rsid w:val="00FD5A77"/>
    <w:rsid w:val="00FE0962"/>
    <w:rsid w:val="00FE134B"/>
    <w:rsid w:val="00FE1C94"/>
    <w:rsid w:val="00FE4F4D"/>
    <w:rsid w:val="00FE6AA0"/>
    <w:rsid w:val="00FF119D"/>
    <w:rsid w:val="00FF3BF2"/>
    <w:rsid w:val="00FF557D"/>
    <w:rsid w:val="00FF7971"/>
    <w:rsid w:val="055D6F0D"/>
    <w:rsid w:val="07B009FA"/>
    <w:rsid w:val="1085258A"/>
    <w:rsid w:val="1D1D420F"/>
    <w:rsid w:val="20281833"/>
    <w:rsid w:val="2B71600A"/>
    <w:rsid w:val="34CC7B0E"/>
    <w:rsid w:val="3E593DC6"/>
    <w:rsid w:val="40156841"/>
    <w:rsid w:val="41CA63AB"/>
    <w:rsid w:val="46EE7B28"/>
    <w:rsid w:val="4A9461A4"/>
    <w:rsid w:val="4F404A6A"/>
    <w:rsid w:val="4F460AA5"/>
    <w:rsid w:val="61B37BA7"/>
    <w:rsid w:val="63B9587A"/>
    <w:rsid w:val="64975810"/>
    <w:rsid w:val="66C061B6"/>
    <w:rsid w:val="6AA519A4"/>
    <w:rsid w:val="6C490EBA"/>
    <w:rsid w:val="6DDA1A2B"/>
    <w:rsid w:val="743D2371"/>
    <w:rsid w:val="76AD3C71"/>
    <w:rsid w:val="7EC445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4"/>
    <w:link w:val="23"/>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eastAsia="宋体" w:cs="Times New Roman"/>
      <w:kern w:val="0"/>
      <w:sz w:val="24"/>
      <w:szCs w:val="24"/>
    </w:rPr>
  </w:style>
  <w:style w:type="paragraph" w:styleId="5">
    <w:name w:val="Document Map"/>
    <w:basedOn w:val="1"/>
    <w:link w:val="34"/>
    <w:semiHidden/>
    <w:qFormat/>
    <w:uiPriority w:val="0"/>
    <w:pPr>
      <w:shd w:val="clear" w:color="auto" w:fill="000080"/>
    </w:pPr>
    <w:rPr>
      <w:rFonts w:ascii="Times New Roman" w:hAnsi="Times New Roman" w:eastAsia="宋体" w:cs="Times New Roman"/>
      <w:kern w:val="0"/>
      <w:sz w:val="24"/>
      <w:szCs w:val="24"/>
    </w:rPr>
  </w:style>
  <w:style w:type="paragraph" w:styleId="6">
    <w:name w:val="Body Text"/>
    <w:basedOn w:val="1"/>
    <w:link w:val="29"/>
    <w:qFormat/>
    <w:uiPriority w:val="0"/>
    <w:rPr>
      <w:rFonts w:ascii="Times New Roman" w:hAnsi="Times New Roman" w:eastAsia="宋体" w:cs="Times New Roman"/>
      <w:kern w:val="0"/>
      <w:szCs w:val="24"/>
    </w:rPr>
  </w:style>
  <w:style w:type="paragraph" w:styleId="7">
    <w:name w:val="Body Text Indent"/>
    <w:basedOn w:val="1"/>
    <w:link w:val="28"/>
    <w:qFormat/>
    <w:uiPriority w:val="0"/>
    <w:pPr>
      <w:ind w:firstLine="555"/>
    </w:pPr>
    <w:rPr>
      <w:rFonts w:ascii="Times New Roman" w:hAnsi="Times New Roman" w:eastAsia="宋体" w:cs="Times New Roman"/>
      <w:kern w:val="0"/>
      <w:sz w:val="24"/>
      <w:szCs w:val="24"/>
    </w:rPr>
  </w:style>
  <w:style w:type="paragraph" w:styleId="8">
    <w:name w:val="Plain Text"/>
    <w:basedOn w:val="1"/>
    <w:link w:val="35"/>
    <w:qFormat/>
    <w:uiPriority w:val="0"/>
    <w:rPr>
      <w:rFonts w:ascii="宋体" w:hAnsi="Courier New" w:eastAsia="宋体" w:cs="Courier New"/>
      <w:sz w:val="24"/>
      <w:szCs w:val="21"/>
    </w:rPr>
  </w:style>
  <w:style w:type="paragraph" w:styleId="9">
    <w:name w:val="Body Text Indent 2"/>
    <w:basedOn w:val="1"/>
    <w:link w:val="27"/>
    <w:qFormat/>
    <w:uiPriority w:val="0"/>
    <w:pPr>
      <w:spacing w:line="540" w:lineRule="exact"/>
      <w:ind w:firstLine="630"/>
    </w:pPr>
    <w:rPr>
      <w:rFonts w:ascii="Times New Roman" w:hAnsi="Times New Roman" w:eastAsia="宋体" w:cs="Times New Roman"/>
      <w:kern w:val="0"/>
      <w:sz w:val="24"/>
      <w:szCs w:val="24"/>
    </w:rPr>
  </w:style>
  <w:style w:type="paragraph" w:styleId="10">
    <w:name w:val="Balloon Text"/>
    <w:basedOn w:val="1"/>
    <w:link w:val="36"/>
    <w:semiHidden/>
    <w:qFormat/>
    <w:uiPriority w:val="0"/>
    <w:rPr>
      <w:rFonts w:ascii="Times New Roman" w:hAnsi="Times New Roman" w:eastAsia="宋体" w:cs="Times New Roman"/>
      <w:kern w:val="0"/>
      <w:sz w:val="18"/>
      <w:szCs w:val="18"/>
    </w:rPr>
  </w:style>
  <w:style w:type="paragraph" w:styleId="11">
    <w:name w:val="footer"/>
    <w:basedOn w:val="1"/>
    <w:link w:val="25"/>
    <w:qFormat/>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2">
    <w:name w:val="header"/>
    <w:basedOn w:val="1"/>
    <w:link w:val="24"/>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3">
    <w:name w:val="toc 1"/>
    <w:basedOn w:val="1"/>
    <w:next w:val="1"/>
    <w:qFormat/>
    <w:uiPriority w:val="39"/>
    <w:pPr>
      <w:tabs>
        <w:tab w:val="right" w:leader="dot" w:pos="8658"/>
      </w:tabs>
      <w:ind w:left="935" w:leftChars="400"/>
    </w:pPr>
    <w:rPr>
      <w:rFonts w:ascii="Times New Roman" w:hAnsi="Times New Roman" w:eastAsia="宋体" w:cs="Times New Roman"/>
      <w:kern w:val="0"/>
      <w:sz w:val="24"/>
      <w:szCs w:val="24"/>
    </w:rPr>
  </w:style>
  <w:style w:type="paragraph" w:styleId="14">
    <w:name w:val="toc 2"/>
    <w:basedOn w:val="1"/>
    <w:next w:val="1"/>
    <w:unhideWhenUsed/>
    <w:qFormat/>
    <w:uiPriority w:val="39"/>
    <w:pPr>
      <w:ind w:left="420" w:leftChars="200"/>
    </w:pPr>
  </w:style>
  <w:style w:type="paragraph" w:styleId="15">
    <w:name w:val="Body Text 2"/>
    <w:basedOn w:val="1"/>
    <w:link w:val="30"/>
    <w:qFormat/>
    <w:uiPriority w:val="0"/>
    <w:pPr>
      <w:jc w:val="center"/>
    </w:pPr>
    <w:rPr>
      <w:rFonts w:ascii="Times New Roman" w:hAnsi="Times New Roman" w:eastAsia="宋体" w:cs="Times New Roman"/>
      <w:kern w:val="0"/>
      <w:szCs w:val="24"/>
    </w:rPr>
  </w:style>
  <w:style w:type="paragraph" w:styleId="16">
    <w:name w:val="index 1"/>
    <w:basedOn w:val="1"/>
    <w:next w:val="1"/>
    <w:semiHidden/>
    <w:qFormat/>
    <w:uiPriority w:val="0"/>
    <w:rPr>
      <w:rFonts w:ascii="Times New Roman" w:hAnsi="Times New Roman" w:eastAsia="宋体" w:cs="Times New Roman"/>
      <w:kern w:val="0"/>
      <w:sz w:val="24"/>
      <w:szCs w:val="24"/>
    </w:rPr>
  </w:style>
  <w:style w:type="table" w:styleId="18">
    <w:name w:val="Table Grid"/>
    <w:basedOn w:val="17"/>
    <w:qFormat/>
    <w:uiPriority w:val="0"/>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page number"/>
    <w:basedOn w:val="19"/>
    <w:qFormat/>
    <w:uiPriority w:val="0"/>
    <w:rPr>
      <w:rFonts w:cs="Times New Roman"/>
    </w:rPr>
  </w:style>
  <w:style w:type="character" w:styleId="21">
    <w:name w:val="Hyperlink"/>
    <w:basedOn w:val="19"/>
    <w:qFormat/>
    <w:uiPriority w:val="99"/>
    <w:rPr>
      <w:rFonts w:cs="Times New Roman"/>
      <w:color w:val="0000FF"/>
      <w:u w:val="single"/>
    </w:rPr>
  </w:style>
  <w:style w:type="character" w:customStyle="1" w:styleId="22">
    <w:name w:val="标题 1 Char"/>
    <w:basedOn w:val="19"/>
    <w:link w:val="2"/>
    <w:qFormat/>
    <w:uiPriority w:val="0"/>
    <w:rPr>
      <w:rFonts w:ascii="Times New Roman" w:hAnsi="Times New Roman" w:eastAsia="宋体" w:cs="Times New Roman"/>
      <w:b/>
      <w:bCs/>
      <w:kern w:val="44"/>
      <w:sz w:val="44"/>
      <w:szCs w:val="44"/>
    </w:rPr>
  </w:style>
  <w:style w:type="character" w:customStyle="1" w:styleId="23">
    <w:name w:val="标题 2 Char"/>
    <w:basedOn w:val="19"/>
    <w:link w:val="3"/>
    <w:qFormat/>
    <w:uiPriority w:val="0"/>
    <w:rPr>
      <w:rFonts w:ascii="Arial" w:hAnsi="Arial" w:eastAsia="黑体" w:cs="Times New Roman"/>
      <w:b/>
      <w:kern w:val="0"/>
      <w:sz w:val="32"/>
      <w:szCs w:val="20"/>
    </w:rPr>
  </w:style>
  <w:style w:type="character" w:customStyle="1" w:styleId="24">
    <w:name w:val="页眉 Char"/>
    <w:basedOn w:val="19"/>
    <w:link w:val="12"/>
    <w:qFormat/>
    <w:uiPriority w:val="0"/>
    <w:rPr>
      <w:rFonts w:ascii="Times New Roman" w:hAnsi="Times New Roman" w:eastAsia="宋体" w:cs="Times New Roman"/>
      <w:kern w:val="0"/>
      <w:sz w:val="18"/>
      <w:szCs w:val="18"/>
    </w:rPr>
  </w:style>
  <w:style w:type="character" w:customStyle="1" w:styleId="25">
    <w:name w:val="页脚 Char"/>
    <w:basedOn w:val="19"/>
    <w:link w:val="11"/>
    <w:qFormat/>
    <w:uiPriority w:val="0"/>
    <w:rPr>
      <w:rFonts w:ascii="Times New Roman" w:hAnsi="Times New Roman" w:eastAsia="宋体" w:cs="Times New Roman"/>
      <w:kern w:val="0"/>
      <w:sz w:val="18"/>
      <w:szCs w:val="18"/>
    </w:rPr>
  </w:style>
  <w:style w:type="paragraph" w:customStyle="1" w:styleId="26">
    <w:name w:val="正文文字缩进"/>
    <w:qFormat/>
    <w:uiPriority w:val="0"/>
    <w:pPr>
      <w:spacing w:line="351" w:lineRule="atLeast"/>
      <w:ind w:firstLine="555"/>
      <w:textAlignment w:val="baseline"/>
    </w:pPr>
    <w:rPr>
      <w:rFonts w:ascii="Times New Roman" w:hAnsi="Times New Roman" w:eastAsia="宋体" w:cs="Times New Roman"/>
      <w:color w:val="000000"/>
      <w:kern w:val="0"/>
      <w:sz w:val="28"/>
      <w:szCs w:val="20"/>
      <w:u w:color="000000"/>
      <w:lang w:val="en-US" w:eastAsia="zh-CN" w:bidi="ar-SA"/>
    </w:rPr>
  </w:style>
  <w:style w:type="character" w:customStyle="1" w:styleId="27">
    <w:name w:val="正文文本缩进 2 Char"/>
    <w:basedOn w:val="19"/>
    <w:link w:val="9"/>
    <w:qFormat/>
    <w:uiPriority w:val="0"/>
    <w:rPr>
      <w:rFonts w:ascii="Times New Roman" w:hAnsi="Times New Roman" w:eastAsia="宋体" w:cs="Times New Roman"/>
      <w:kern w:val="0"/>
      <w:sz w:val="24"/>
      <w:szCs w:val="24"/>
    </w:rPr>
  </w:style>
  <w:style w:type="character" w:customStyle="1" w:styleId="28">
    <w:name w:val="正文文本缩进 Char"/>
    <w:basedOn w:val="19"/>
    <w:link w:val="7"/>
    <w:qFormat/>
    <w:uiPriority w:val="0"/>
    <w:rPr>
      <w:rFonts w:ascii="Times New Roman" w:hAnsi="Times New Roman" w:eastAsia="宋体" w:cs="Times New Roman"/>
      <w:kern w:val="0"/>
      <w:sz w:val="24"/>
      <w:szCs w:val="24"/>
    </w:rPr>
  </w:style>
  <w:style w:type="character" w:customStyle="1" w:styleId="29">
    <w:name w:val="正文文本 Char"/>
    <w:basedOn w:val="19"/>
    <w:link w:val="6"/>
    <w:qFormat/>
    <w:uiPriority w:val="0"/>
    <w:rPr>
      <w:rFonts w:ascii="Times New Roman" w:hAnsi="Times New Roman" w:eastAsia="宋体" w:cs="Times New Roman"/>
      <w:kern w:val="0"/>
      <w:szCs w:val="24"/>
    </w:rPr>
  </w:style>
  <w:style w:type="character" w:customStyle="1" w:styleId="30">
    <w:name w:val="正文文本 2 Char"/>
    <w:basedOn w:val="19"/>
    <w:link w:val="15"/>
    <w:qFormat/>
    <w:uiPriority w:val="0"/>
    <w:rPr>
      <w:rFonts w:ascii="Times New Roman" w:hAnsi="Times New Roman" w:eastAsia="宋体" w:cs="Times New Roman"/>
      <w:kern w:val="0"/>
      <w:szCs w:val="24"/>
    </w:rPr>
  </w:style>
  <w:style w:type="paragraph" w:customStyle="1" w:styleId="31">
    <w:name w:val="样式1"/>
    <w:basedOn w:val="2"/>
    <w:qFormat/>
    <w:uiPriority w:val="0"/>
    <w:pPr>
      <w:spacing w:line="640" w:lineRule="exact"/>
      <w:jc w:val="center"/>
    </w:pPr>
    <w:rPr>
      <w:rFonts w:ascii="方正小标宋简体" w:hAnsi="华文中宋" w:eastAsia="方正小标宋简体"/>
      <w:b w:val="0"/>
    </w:rPr>
  </w:style>
  <w:style w:type="paragraph" w:customStyle="1" w:styleId="32">
    <w:name w:val="样式2"/>
    <w:basedOn w:val="2"/>
    <w:qFormat/>
    <w:uiPriority w:val="0"/>
    <w:pPr>
      <w:spacing w:line="640" w:lineRule="exact"/>
      <w:jc w:val="center"/>
    </w:pPr>
    <w:rPr>
      <w:rFonts w:ascii="方正小标宋简体" w:hAnsi="华文中宋" w:eastAsia="方正小标宋简体"/>
      <w:b w:val="0"/>
    </w:rPr>
  </w:style>
  <w:style w:type="paragraph" w:customStyle="1" w:styleId="33">
    <w:name w:val="样式3"/>
    <w:basedOn w:val="2"/>
    <w:qFormat/>
    <w:uiPriority w:val="0"/>
    <w:pPr>
      <w:spacing w:line="640" w:lineRule="exact"/>
      <w:jc w:val="center"/>
    </w:pPr>
    <w:rPr>
      <w:rFonts w:ascii="方正小标宋简体" w:hAnsi="华文中宋" w:eastAsia="方正小标宋简体"/>
      <w:b w:val="0"/>
    </w:rPr>
  </w:style>
  <w:style w:type="character" w:customStyle="1" w:styleId="34">
    <w:name w:val="文档结构图 Char"/>
    <w:basedOn w:val="19"/>
    <w:link w:val="5"/>
    <w:semiHidden/>
    <w:qFormat/>
    <w:uiPriority w:val="0"/>
    <w:rPr>
      <w:rFonts w:ascii="Times New Roman" w:hAnsi="Times New Roman" w:eastAsia="宋体" w:cs="Times New Roman"/>
      <w:kern w:val="0"/>
      <w:sz w:val="24"/>
      <w:szCs w:val="24"/>
      <w:shd w:val="clear" w:color="auto" w:fill="000080"/>
    </w:rPr>
  </w:style>
  <w:style w:type="character" w:customStyle="1" w:styleId="35">
    <w:name w:val="纯文本 Char"/>
    <w:basedOn w:val="19"/>
    <w:link w:val="8"/>
    <w:qFormat/>
    <w:uiPriority w:val="0"/>
    <w:rPr>
      <w:rFonts w:ascii="宋体" w:hAnsi="Courier New" w:eastAsia="宋体" w:cs="Courier New"/>
      <w:sz w:val="24"/>
      <w:szCs w:val="21"/>
    </w:rPr>
  </w:style>
  <w:style w:type="character" w:customStyle="1" w:styleId="36">
    <w:name w:val="批注框文本 Char"/>
    <w:basedOn w:val="19"/>
    <w:link w:val="10"/>
    <w:semiHidden/>
    <w:qFormat/>
    <w:uiPriority w:val="0"/>
    <w:rPr>
      <w:rFonts w:ascii="Times New Roman" w:hAnsi="Times New Roman" w:eastAsia="宋体" w:cs="Times New Roman"/>
      <w:kern w:val="0"/>
      <w:sz w:val="18"/>
      <w:szCs w:val="18"/>
    </w:rPr>
  </w:style>
  <w:style w:type="paragraph" w:customStyle="1" w:styleId="37">
    <w:name w:val="列出段落1"/>
    <w:basedOn w:val="1"/>
    <w:link w:val="41"/>
    <w:qFormat/>
    <w:uiPriority w:val="0"/>
    <w:pPr>
      <w:widowControl/>
      <w:ind w:left="720" w:firstLine="360"/>
      <w:jc w:val="left"/>
    </w:pPr>
    <w:rPr>
      <w:rFonts w:ascii="Calibri" w:hAnsi="Calibri" w:eastAsia="宋体" w:cs="Times New Roman"/>
      <w:kern w:val="0"/>
      <w:sz w:val="22"/>
      <w:szCs w:val="20"/>
      <w:lang w:eastAsia="en-US"/>
    </w:rPr>
  </w:style>
  <w:style w:type="paragraph" w:customStyle="1" w:styleId="38">
    <w:name w:val="1111111199999"/>
    <w:basedOn w:val="1"/>
    <w:link w:val="39"/>
    <w:qFormat/>
    <w:uiPriority w:val="0"/>
    <w:pPr>
      <w:widowControl/>
      <w:spacing w:beforeLines="50" w:line="240" w:lineRule="exact"/>
      <w:ind w:firstLine="514" w:firstLineChars="214"/>
      <w:jc w:val="left"/>
    </w:pPr>
    <w:rPr>
      <w:rFonts w:ascii="Times New Roman" w:hAnsi="Times New Roman" w:eastAsia="宋体" w:cs="Times New Roman"/>
      <w:kern w:val="0"/>
      <w:szCs w:val="20"/>
    </w:rPr>
  </w:style>
  <w:style w:type="character" w:customStyle="1" w:styleId="39">
    <w:name w:val="1111111199999 Char"/>
    <w:link w:val="38"/>
    <w:qFormat/>
    <w:locked/>
    <w:uiPriority w:val="0"/>
    <w:rPr>
      <w:rFonts w:ascii="Times New Roman" w:hAnsi="Times New Roman" w:eastAsia="宋体" w:cs="Times New Roman"/>
      <w:kern w:val="0"/>
      <w:szCs w:val="20"/>
    </w:rPr>
  </w:style>
  <w:style w:type="character" w:customStyle="1" w:styleId="40">
    <w:name w:val="apple-style-span"/>
    <w:qFormat/>
    <w:uiPriority w:val="0"/>
  </w:style>
  <w:style w:type="character" w:customStyle="1" w:styleId="41">
    <w:name w:val="List Paragraph Char"/>
    <w:link w:val="37"/>
    <w:qFormat/>
    <w:locked/>
    <w:uiPriority w:val="0"/>
    <w:rPr>
      <w:rFonts w:ascii="Calibri" w:hAnsi="Calibri" w:eastAsia="宋体" w:cs="Times New Roman"/>
      <w:kern w:val="0"/>
      <w:sz w:val="22"/>
      <w:szCs w:val="20"/>
      <w:lang w:eastAsia="en-US"/>
    </w:rPr>
  </w:style>
  <w:style w:type="paragraph" w:customStyle="1" w:styleId="42">
    <w:name w:val="Char Char Char Char"/>
    <w:basedOn w:val="1"/>
    <w:qFormat/>
    <w:uiPriority w:val="0"/>
    <w:rPr>
      <w:rFonts w:ascii="Times New Roman" w:hAnsi="Times New Roman" w:eastAsia="宋体" w:cs="Times New Roman"/>
      <w:sz w:val="24"/>
      <w:szCs w:val="36"/>
    </w:rPr>
  </w:style>
  <w:style w:type="character" w:customStyle="1" w:styleId="43">
    <w:name w:val="Char Char4"/>
    <w:qFormat/>
    <w:locked/>
    <w:uiPriority w:val="0"/>
    <w:rPr>
      <w:rFonts w:ascii="宋体" w:hAnsi="Courier New" w:eastAsia="宋体"/>
      <w:kern w:val="2"/>
      <w:sz w:val="21"/>
      <w:lang w:bidi="ar-SA"/>
    </w:rPr>
  </w:style>
  <w:style w:type="character" w:customStyle="1" w:styleId="44">
    <w:name w:val="样式 (中文) 仿宋_GB2312 三号"/>
    <w:basedOn w:val="19"/>
    <w:qFormat/>
    <w:uiPriority w:val="0"/>
    <w:rPr>
      <w:rFonts w:hint="eastAsia" w:ascii="仿宋_GB2312" w:eastAsia="仿宋_GB2312"/>
      <w:sz w:val="32"/>
    </w:rPr>
  </w:style>
  <w:style w:type="character" w:customStyle="1" w:styleId="45">
    <w:name w:val="Char Char3"/>
    <w:basedOn w:val="19"/>
    <w:qFormat/>
    <w:locked/>
    <w:uiPriority w:val="0"/>
    <w:rPr>
      <w:rFonts w:ascii="宋体" w:hAnsi="宋体" w:eastAsia="宋体"/>
      <w:sz w:val="18"/>
      <w:szCs w:val="18"/>
      <w:lang w:val="en-US" w:eastAsia="zh-CN" w:bidi="ar-SA"/>
    </w:rPr>
  </w:style>
  <w:style w:type="paragraph" w:styleId="46">
    <w:name w:val="List Paragraph"/>
    <w:basedOn w:val="1"/>
    <w:qFormat/>
    <w:uiPriority w:val="34"/>
    <w:pPr>
      <w:ind w:firstLine="420" w:firstLineChars="200"/>
    </w:pPr>
    <w:rPr>
      <w:rFonts w:ascii="等线" w:hAnsi="等线" w:eastAsia="等线"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75B1E5-CDBB-4B6B-9854-634451BB5E8E}">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61</Pages>
  <Words>4938</Words>
  <Characters>28147</Characters>
  <Lines>234</Lines>
  <Paragraphs>66</Paragraphs>
  <TotalTime>3</TotalTime>
  <ScaleCrop>false</ScaleCrop>
  <LinksUpToDate>false</LinksUpToDate>
  <CharactersWithSpaces>33019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2020-03-30T02:20:00Z</dcterms:created>
  <dc:creator>Administrator</dc:creator>
  <cp:lastModifiedBy>Administrator</cp:lastModifiedBy>
  <cp:lastPrinted>2020-11-09T10:53:00Z</cp:lastPrinted>
  <dcterms:modified xsi:type="dcterms:W3CDTF">2021-01-29T02:07:39Z</dcterms:modified>
  <cp:revision>240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