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招 标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战创模型</w:t>
      </w:r>
      <w:r>
        <w:rPr>
          <w:rFonts w:hint="eastAsia" w:ascii="宋体" w:hAnsi="宋体" w:eastAsia="宋体" w:cs="Times New Roman"/>
          <w:kern w:val="0"/>
          <w:sz w:val="36"/>
          <w:szCs w:val="36"/>
          <w:u w:val="single"/>
        </w:rPr>
        <w:t xml:space="preserve">    </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ab/>
      </w:r>
      <w:r>
        <w:rPr>
          <w:rFonts w:hint="eastAsia" w:ascii="宋体" w:hAnsi="宋体" w:eastAsia="宋体" w:cs="Times New Roman"/>
          <w:kern w:val="0"/>
          <w:sz w:val="36"/>
          <w:szCs w:val="36"/>
          <w:u w:val="single"/>
          <w:lang w:eastAsia="zh-CN"/>
        </w:rPr>
        <w:t>2020-JL13(03)-W10115</w:t>
      </w:r>
      <w:r>
        <w:rPr>
          <w:rFonts w:hint="eastAsia" w:ascii="宋体" w:hAnsi="宋体" w:eastAsia="宋体" w:cs="Times New Roman"/>
          <w:kern w:val="0"/>
          <w:sz w:val="36"/>
          <w:szCs w:val="36"/>
          <w:u w:val="single"/>
        </w:rPr>
        <w:t xml:space="preserve"> </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招标人：物资采购中心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年</w:t>
      </w:r>
      <w:r>
        <w:rPr>
          <w:rFonts w:hint="eastAsia" w:ascii="宋体" w:hAnsi="宋体" w:eastAsia="宋体" w:cs="Times New Roman"/>
          <w:kern w:val="0"/>
          <w:sz w:val="36"/>
          <w:szCs w:val="36"/>
          <w:lang w:eastAsia="zh-CN"/>
        </w:rPr>
        <w:t>一</w:t>
      </w:r>
      <w:r>
        <w:rPr>
          <w:rFonts w:ascii="宋体" w:hAnsi="宋体" w:eastAsia="宋体" w:cs="Times New Roman"/>
          <w:kern w:val="0"/>
          <w:sz w:val="36"/>
          <w:szCs w:val="36"/>
        </w:rPr>
        <w:t>月</w:t>
      </w:r>
    </w:p>
    <w:p>
      <w:pPr>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投标</w:t>
      </w:r>
      <w:r>
        <w:rPr>
          <w:rFonts w:ascii="黑体" w:hAnsi="黑体" w:eastAsia="黑体" w:cs="Times New Roman"/>
          <w:bCs/>
          <w:kern w:val="0"/>
          <w:sz w:val="30"/>
          <w:szCs w:val="30"/>
        </w:rPr>
        <w:t>注意事项</w:t>
      </w:r>
    </w:p>
    <w:p>
      <w:pPr>
        <w:widowControl/>
        <w:ind w:firstLine="582" w:firstLineChars="200"/>
        <w:textAlignment w:val="baseline"/>
        <w:rPr>
          <w:rFonts w:ascii="黑体" w:hAnsi="黑体" w:eastAsia="黑体" w:cs="Times New Roman"/>
          <w:kern w:val="0"/>
          <w:sz w:val="30"/>
          <w:szCs w:val="30"/>
          <w:u w:color="000000"/>
        </w:rPr>
      </w:pP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一、投标人应特别留意招标文件上载明的投标开始截止时间，提前或逾期送达（含邮寄送达）的投标文件概不接受。</w:t>
      </w:r>
    </w:p>
    <w:p>
      <w:pPr>
        <w:widowControl/>
        <w:ind w:firstLine="582" w:firstLineChars="200"/>
        <w:rPr>
          <w:rFonts w:cs="Times New Roman" w:asciiTheme="minorEastAsia" w:hAnsiTheme="minorEastAsia"/>
          <w:snapToGrid w:val="0"/>
          <w:kern w:val="0"/>
          <w:sz w:val="30"/>
          <w:szCs w:val="30"/>
          <w:u w:color="000000"/>
        </w:rPr>
      </w:pPr>
      <w:r>
        <w:rPr>
          <w:rFonts w:hint="eastAsia" w:cs="Times New Roman" w:asciiTheme="minorEastAsia" w:hAnsiTheme="minorEastAsia"/>
          <w:kern w:val="0"/>
          <w:sz w:val="30"/>
          <w:szCs w:val="30"/>
          <w:u w:color="000000"/>
        </w:rPr>
        <w:t>二、请仔细检查招标文件要求提交的相关证书的有效期和审核信息。</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snapToGrid w:val="0"/>
          <w:kern w:val="0"/>
          <w:sz w:val="30"/>
          <w:szCs w:val="30"/>
          <w:u w:color="000000"/>
        </w:rPr>
        <w:t>三、</w:t>
      </w:r>
      <w:r>
        <w:rPr>
          <w:rFonts w:hint="eastAsia" w:ascii="宋体" w:hAnsi="宋体" w:eastAsia="宋体" w:cs="Times New Roman"/>
          <w:kern w:val="0"/>
          <w:sz w:val="30"/>
          <w:szCs w:val="30"/>
          <w:u w:color="000000"/>
        </w:rPr>
        <w:t>请仔细检查投标文件是否按要求盖单位公章、签名、签署日期、</w:t>
      </w:r>
      <w:r>
        <w:rPr>
          <w:rFonts w:hint="eastAsia" w:ascii="黑体" w:hAnsi="黑体" w:eastAsia="黑体" w:cs="Times New Roman"/>
          <w:kern w:val="0"/>
          <w:sz w:val="30"/>
          <w:szCs w:val="30"/>
          <w:u w:color="000000"/>
        </w:rPr>
        <w:t>胶装成册（</w:t>
      </w:r>
      <w:r>
        <w:rPr>
          <w:rFonts w:hint="eastAsia" w:cs="Times New Roman" w:asciiTheme="minorEastAsia" w:hAnsiTheme="minorEastAsia"/>
          <w:kern w:val="0"/>
          <w:sz w:val="30"/>
          <w:szCs w:val="30"/>
          <w:u w:color="000000"/>
        </w:rPr>
        <w:t>价格文件除外</w:t>
      </w:r>
      <w:r>
        <w:rPr>
          <w:rFonts w:hint="eastAsia" w:ascii="黑体" w:hAnsi="黑体" w:eastAsia="黑体" w:cs="Times New Roman"/>
          <w:kern w:val="0"/>
          <w:sz w:val="30"/>
          <w:szCs w:val="30"/>
          <w:u w:color="000000"/>
        </w:rPr>
        <w:t>）</w:t>
      </w:r>
      <w:r>
        <w:rPr>
          <w:rFonts w:hint="eastAsia" w:ascii="宋体" w:hAnsi="宋体" w:eastAsia="宋体" w:cs="Times New Roman"/>
          <w:kern w:val="0"/>
          <w:sz w:val="30"/>
          <w:szCs w:val="30"/>
          <w:u w:color="000000"/>
        </w:rPr>
        <w:t>、密封，投标文件需签名之处必须由当事人签署，否则可能会被视为无效投标</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四、带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号条款均为实质性响应指标要求，必须全部响应。若有一项带“</w:t>
      </w:r>
      <w:r>
        <w:rPr>
          <w:rFonts w:hint="eastAsia" w:cs="宋体" w:asciiTheme="minorEastAsia" w:hAnsiTheme="minorEastAsia"/>
          <w:kern w:val="0"/>
          <w:sz w:val="30"/>
          <w:szCs w:val="30"/>
          <w:u w:color="000000"/>
        </w:rPr>
        <w:t>★</w:t>
      </w:r>
      <w:r>
        <w:rPr>
          <w:rFonts w:hint="eastAsia" w:cs="Times New Roman" w:asciiTheme="minorEastAsia" w:hAnsiTheme="minorEastAsia"/>
          <w:kern w:val="0"/>
          <w:sz w:val="30"/>
          <w:szCs w:val="30"/>
          <w:u w:color="000000"/>
        </w:rPr>
        <w:t>”条款未响应或不满足，均视为非实质性响应招标文件，按无效投标处理。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五、《价格文件》一式一份，单独装订，密封在一个信封内，在信封表面标明“价格文件”“开标时启封”字样，注明“投标人名称”“项目名称”“项目编号”“包号”等信息，投标时单独递交。投标人如未按上述要求单独递交《价格文件》，其投标有可能被拒绝。</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六、投标文件中除《价格文件》外，其他部分不得有任何涉及本次投标报价的信息，否则视为无效投标。</w:t>
      </w:r>
    </w:p>
    <w:p>
      <w:pPr>
        <w:widowControl/>
        <w:ind w:firstLine="582" w:firstLineChars="200"/>
        <w:rPr>
          <w:rFonts w:cs="Times New Roman" w:asciiTheme="minorEastAsia" w:hAnsiTheme="minorEastAsia"/>
          <w:kern w:val="0"/>
          <w:sz w:val="30"/>
          <w:szCs w:val="30"/>
          <w:u w:color="000000"/>
        </w:rPr>
      </w:pPr>
      <w:r>
        <w:rPr>
          <w:rFonts w:hint="eastAsia" w:ascii="黑体" w:hAnsi="黑体" w:eastAsia="黑体" w:cs="Times New Roman"/>
          <w:kern w:val="0"/>
          <w:sz w:val="30"/>
          <w:szCs w:val="30"/>
          <w:u w:color="000000"/>
        </w:rPr>
        <w:t>七、投标人编制投标文件，应按照招标文件评审标准要求，填写指标值或评分项及其在投标文件位置页码；评审时评委依据投标文件，对投标人填写的内容进行审核确认</w:t>
      </w:r>
      <w:r>
        <w:rPr>
          <w:rFonts w:hint="eastAsia" w:cs="Times New Roman" w:asciiTheme="minorEastAsia" w:hAnsiTheme="minorEastAsia"/>
          <w:kern w:val="0"/>
          <w:sz w:val="30"/>
          <w:szCs w:val="30"/>
          <w:u w:color="000000"/>
        </w:rPr>
        <w:t>。</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八、供应商发现购买招标文件时提交的相关资料被盗用或复制，应遵循法律途径解决，追究侵权者责任。</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九、投标人应对提供的资料真实性负责，如发现投标人借用或盗用他人相关资质的，将根据国家、军队及医院供应商管理规定予以处理。</w:t>
      </w:r>
    </w:p>
    <w:p>
      <w:pPr>
        <w:widowControl/>
        <w:ind w:firstLine="582" w:firstLineChars="200"/>
        <w:rPr>
          <w:rFonts w:cs="Times New Roman" w:asciiTheme="minorEastAsia" w:hAnsiTheme="minorEastAsia"/>
          <w:kern w:val="0"/>
          <w:sz w:val="30"/>
          <w:szCs w:val="30"/>
          <w:u w:color="000000"/>
        </w:rPr>
      </w:pPr>
      <w:r>
        <w:rPr>
          <w:rFonts w:hint="eastAsia" w:cs="Times New Roman" w:asciiTheme="minorEastAsia" w:hAnsiTheme="minorEastAsia"/>
          <w:kern w:val="0"/>
          <w:sz w:val="30"/>
          <w:szCs w:val="30"/>
          <w:u w:color="000000"/>
        </w:rPr>
        <w:t>十、开标当日，投标人授权代表需手持身份证原件、法定代表人授权书原件（法定代表人需持法定代表人资格证明书）及招标文件购买凭证进行现场点验。</w:t>
      </w:r>
    </w:p>
    <w:p>
      <w:pPr>
        <w:widowControl/>
        <w:jc w:val="left"/>
        <w:rPr>
          <w:rFonts w:ascii="方正小标宋简体" w:hAnsi="Times New Roman" w:eastAsia="方正小标宋简体" w:cs="Times New Roman"/>
          <w:kern w:val="0"/>
          <w:sz w:val="44"/>
          <w:szCs w:val="44"/>
        </w:rPr>
      </w:pPr>
      <w:r>
        <w:rPr>
          <w:rFonts w:ascii="方正小标宋简体" w:hAnsi="Times New Roman" w:eastAsia="方正小标宋简体" w:cs="Times New Roman"/>
          <w:kern w:val="0"/>
          <w:sz w:val="44"/>
          <w:szCs w:val="44"/>
        </w:rPr>
        <w:br w:type="page"/>
      </w:r>
    </w:p>
    <w:p>
      <w:pPr>
        <w:widowControl/>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目    录</w:t>
      </w:r>
    </w:p>
    <w:p>
      <w:pPr>
        <w:rPr>
          <w:rFonts w:ascii="Times New Roman" w:hAnsi="Times New Roman" w:eastAsia="宋体" w:cs="Times New Roman"/>
          <w:kern w:val="0"/>
          <w:sz w:val="36"/>
          <w:szCs w:val="36"/>
        </w:rPr>
      </w:pPr>
    </w:p>
    <w:p>
      <w:pPr>
        <w:pStyle w:val="13"/>
        <w:ind w:left="804"/>
        <w:rPr>
          <w:rFonts w:asciiTheme="minorHAnsi" w:hAnsiTheme="minorHAnsi" w:eastAsiaTheme="minorEastAsia" w:cstheme="minorBidi"/>
          <w:kern w:val="2"/>
          <w:szCs w:val="22"/>
        </w:rPr>
      </w:pPr>
      <w:r>
        <w:rPr>
          <w:rFonts w:ascii="仿宋_GB2312" w:hAnsi="宋体" w:eastAsia="仿宋_GB2312"/>
          <w:sz w:val="40"/>
          <w:szCs w:val="32"/>
        </w:rPr>
        <w:fldChar w:fldCharType="begin"/>
      </w:r>
      <w:r>
        <w:rPr>
          <w:rFonts w:ascii="仿宋_GB2312" w:hAnsi="宋体" w:eastAsia="仿宋_GB2312"/>
          <w:sz w:val="40"/>
          <w:szCs w:val="32"/>
        </w:rPr>
        <w:instrText xml:space="preserve"> TOC \o "1-3" \h \z \u </w:instrText>
      </w:r>
      <w:r>
        <w:rPr>
          <w:rFonts w:ascii="仿宋_GB2312" w:hAnsi="宋体" w:eastAsia="仿宋_GB2312"/>
          <w:sz w:val="40"/>
          <w:szCs w:val="32"/>
        </w:rPr>
        <w:fldChar w:fldCharType="separate"/>
      </w:r>
      <w:r>
        <w:fldChar w:fldCharType="begin"/>
      </w:r>
      <w:r>
        <w:instrText xml:space="preserve"> HYPERLINK \l "_Toc37172687" </w:instrText>
      </w:r>
      <w:r>
        <w:fldChar w:fldCharType="separate"/>
      </w:r>
      <w:r>
        <w:rPr>
          <w:rStyle w:val="21"/>
          <w:rFonts w:hint="eastAsia" w:ascii="黑体" w:hAnsi="黑体" w:eastAsia="黑体"/>
          <w:sz w:val="32"/>
        </w:rPr>
        <w:t>第一部分</w:t>
      </w:r>
      <w:r>
        <w:rPr>
          <w:rStyle w:val="21"/>
          <w:rFonts w:ascii="黑体" w:hAnsi="黑体" w:eastAsia="黑体"/>
          <w:sz w:val="32"/>
        </w:rPr>
        <w:t xml:space="preserve">  </w:t>
      </w:r>
      <w:r>
        <w:rPr>
          <w:rStyle w:val="21"/>
          <w:rFonts w:hint="eastAsia" w:ascii="黑体" w:hAnsi="黑体" w:eastAsia="黑体"/>
          <w:sz w:val="32"/>
        </w:rPr>
        <w:t>招标公告</w:t>
      </w:r>
      <w:r>
        <w:rPr>
          <w:sz w:val="32"/>
        </w:rPr>
        <w:tab/>
      </w:r>
      <w:r>
        <w:rPr>
          <w:sz w:val="32"/>
        </w:rPr>
        <w:fldChar w:fldCharType="begin"/>
      </w:r>
      <w:r>
        <w:rPr>
          <w:sz w:val="32"/>
        </w:rPr>
        <w:instrText xml:space="preserve"> PAGEREF _Toc37172687 \h </w:instrText>
      </w:r>
      <w:r>
        <w:rPr>
          <w:sz w:val="32"/>
        </w:rPr>
        <w:fldChar w:fldCharType="separate"/>
      </w:r>
      <w:r>
        <w:rPr>
          <w:sz w:val="32"/>
        </w:rPr>
        <w:t>1</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"_Toc37172688" </w:instrText>
      </w:r>
      <w:r>
        <w:fldChar w:fldCharType="separate"/>
      </w:r>
      <w:r>
        <w:rPr>
          <w:rStyle w:val="21"/>
          <w:rFonts w:hint="eastAsia" w:ascii="黑体" w:hAnsi="黑体" w:eastAsia="黑体"/>
          <w:sz w:val="32"/>
          <w:lang w:val="zh-CN"/>
        </w:rPr>
        <w:t>第二部分</w:t>
      </w:r>
      <w:r>
        <w:rPr>
          <w:rStyle w:val="21"/>
          <w:rFonts w:ascii="黑体" w:hAnsi="黑体" w:eastAsia="黑体"/>
          <w:sz w:val="32"/>
          <w:lang w:val="zh-CN"/>
        </w:rPr>
        <w:t xml:space="preserve">  </w:t>
      </w:r>
      <w:r>
        <w:rPr>
          <w:rStyle w:val="21"/>
          <w:rFonts w:hint="eastAsia" w:ascii="黑体" w:hAnsi="黑体" w:eastAsia="黑体"/>
          <w:sz w:val="32"/>
          <w:lang w:val="zh-CN"/>
        </w:rPr>
        <w:t>采购项目技</w:t>
      </w:r>
      <w:r>
        <w:rPr>
          <w:rStyle w:val="21"/>
          <w:rFonts w:hint="eastAsia" w:ascii="黑体" w:hAnsi="黑体" w:eastAsia="黑体" w:cs="宋体"/>
          <w:sz w:val="32"/>
          <w:lang w:val="zh-CN"/>
        </w:rPr>
        <w:t>术</w:t>
      </w:r>
      <w:r>
        <w:rPr>
          <w:rStyle w:val="21"/>
          <w:rFonts w:hint="eastAsia" w:ascii="黑体" w:hAnsi="黑体" w:eastAsia="黑体" w:cs="Dotum"/>
          <w:sz w:val="32"/>
          <w:lang w:val="zh-CN"/>
        </w:rPr>
        <w:t>和商</w:t>
      </w:r>
      <w:r>
        <w:rPr>
          <w:rStyle w:val="21"/>
          <w:rFonts w:hint="eastAsia" w:ascii="黑体" w:hAnsi="黑体" w:eastAsia="黑体" w:cs="宋体"/>
          <w:sz w:val="32"/>
          <w:lang w:val="zh-CN"/>
        </w:rPr>
        <w:t>务</w:t>
      </w:r>
      <w:r>
        <w:rPr>
          <w:rStyle w:val="21"/>
          <w:rFonts w:hint="eastAsia" w:ascii="黑体" w:hAnsi="黑体" w:eastAsia="黑体"/>
          <w:sz w:val="32"/>
          <w:lang w:val="zh-CN"/>
        </w:rPr>
        <w:t>要求</w:t>
      </w:r>
      <w:r>
        <w:rPr>
          <w:sz w:val="32"/>
        </w:rPr>
        <w:tab/>
      </w:r>
      <w:r>
        <w:rPr>
          <w:sz w:val="32"/>
        </w:rPr>
        <w:fldChar w:fldCharType="begin"/>
      </w:r>
      <w:r>
        <w:rPr>
          <w:sz w:val="32"/>
        </w:rPr>
        <w:instrText xml:space="preserve"> PAGEREF _Toc37172688 \h </w:instrText>
      </w:r>
      <w:r>
        <w:rPr>
          <w:sz w:val="32"/>
        </w:rPr>
        <w:fldChar w:fldCharType="separate"/>
      </w:r>
      <w:r>
        <w:rPr>
          <w:sz w:val="32"/>
        </w:rPr>
        <w:t>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"_Toc37172689" </w:instrText>
      </w:r>
      <w:r>
        <w:fldChar w:fldCharType="separate"/>
      </w:r>
      <w:r>
        <w:rPr>
          <w:rStyle w:val="21"/>
          <w:rFonts w:hint="eastAsia" w:ascii="黑体" w:hAnsi="黑体" w:eastAsia="黑体"/>
          <w:sz w:val="32"/>
        </w:rPr>
        <w:t>第三部分</w:t>
      </w:r>
      <w:r>
        <w:rPr>
          <w:rStyle w:val="21"/>
          <w:rFonts w:ascii="黑体" w:hAnsi="黑体" w:eastAsia="黑体"/>
          <w:sz w:val="32"/>
        </w:rPr>
        <w:t xml:space="preserve">  </w:t>
      </w:r>
      <w:r>
        <w:rPr>
          <w:rStyle w:val="21"/>
          <w:rFonts w:hint="eastAsia" w:ascii="黑体" w:hAnsi="黑体" w:eastAsia="黑体"/>
          <w:sz w:val="32"/>
          <w:lang w:val="zh-CN"/>
        </w:rPr>
        <w:t>投标人</w:t>
      </w:r>
      <w:r>
        <w:rPr>
          <w:rStyle w:val="21"/>
          <w:rFonts w:hint="eastAsia" w:ascii="黑体" w:hAnsi="黑体" w:eastAsia="黑体"/>
          <w:sz w:val="32"/>
        </w:rPr>
        <w:t>须知</w:t>
      </w:r>
      <w:r>
        <w:rPr>
          <w:sz w:val="32"/>
        </w:rPr>
        <w:tab/>
      </w:r>
      <w:r>
        <w:rPr>
          <w:sz w:val="32"/>
        </w:rPr>
        <w:fldChar w:fldCharType="begin"/>
      </w:r>
      <w:r>
        <w:rPr>
          <w:sz w:val="32"/>
        </w:rPr>
        <w:instrText xml:space="preserve"> PAGEREF _Toc37172689 \h </w:instrText>
      </w:r>
      <w:r>
        <w:rPr>
          <w:sz w:val="32"/>
        </w:rPr>
        <w:fldChar w:fldCharType="separate"/>
      </w:r>
      <w:r>
        <w:rPr>
          <w:sz w:val="32"/>
        </w:rPr>
        <w:t>10</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"_Toc37172690" </w:instrText>
      </w:r>
      <w:r>
        <w:fldChar w:fldCharType="separate"/>
      </w:r>
      <w:r>
        <w:rPr>
          <w:rStyle w:val="21"/>
          <w:rFonts w:hint="eastAsia" w:ascii="黑体" w:hAnsi="黑体" w:eastAsia="黑体"/>
          <w:bCs/>
          <w:sz w:val="32"/>
        </w:rPr>
        <w:t>第四部分</w:t>
      </w:r>
      <w:r>
        <w:rPr>
          <w:rStyle w:val="21"/>
          <w:rFonts w:ascii="黑体" w:hAnsi="黑体" w:eastAsia="黑体"/>
          <w:bCs/>
          <w:sz w:val="32"/>
        </w:rPr>
        <w:t xml:space="preserve">  </w:t>
      </w:r>
      <w:r>
        <w:rPr>
          <w:rStyle w:val="21"/>
          <w:rFonts w:hint="eastAsia" w:ascii="黑体" w:hAnsi="黑体" w:eastAsia="黑体"/>
          <w:bCs/>
          <w:sz w:val="32"/>
        </w:rPr>
        <w:t>合同样本</w:t>
      </w:r>
      <w:r>
        <w:rPr>
          <w:sz w:val="32"/>
        </w:rPr>
        <w:tab/>
      </w:r>
      <w:r>
        <w:rPr>
          <w:sz w:val="32"/>
        </w:rPr>
        <w:fldChar w:fldCharType="begin"/>
      </w:r>
      <w:r>
        <w:rPr>
          <w:sz w:val="32"/>
        </w:rPr>
        <w:instrText xml:space="preserve"> PAGEREF _Toc37172690 \h </w:instrText>
      </w:r>
      <w:r>
        <w:rPr>
          <w:sz w:val="32"/>
        </w:rPr>
        <w:fldChar w:fldCharType="separate"/>
      </w:r>
      <w:r>
        <w:rPr>
          <w:sz w:val="32"/>
        </w:rPr>
        <w:t>35</w:t>
      </w:r>
      <w:r>
        <w:rPr>
          <w:sz w:val="32"/>
        </w:rPr>
        <w:fldChar w:fldCharType="end"/>
      </w:r>
      <w:r>
        <w:rPr>
          <w:sz w:val="32"/>
        </w:rPr>
        <w:fldChar w:fldCharType="end"/>
      </w:r>
    </w:p>
    <w:p>
      <w:pPr>
        <w:pStyle w:val="13"/>
        <w:ind w:left="804"/>
        <w:rPr>
          <w:rFonts w:asciiTheme="minorHAnsi" w:hAnsiTheme="minorHAnsi" w:eastAsiaTheme="minorEastAsia" w:cstheme="minorBidi"/>
          <w:kern w:val="2"/>
          <w:szCs w:val="22"/>
        </w:rPr>
      </w:pPr>
      <w:r>
        <w:fldChar w:fldCharType="begin"/>
      </w:r>
      <w:r>
        <w:instrText xml:space="preserve"> HYPERLINK \l "_Toc37172691" </w:instrText>
      </w:r>
      <w:r>
        <w:fldChar w:fldCharType="separate"/>
      </w:r>
      <w:r>
        <w:rPr>
          <w:rStyle w:val="21"/>
          <w:rFonts w:hint="eastAsia" w:ascii="黑体" w:hAnsi="黑体" w:eastAsia="黑体"/>
          <w:sz w:val="32"/>
        </w:rPr>
        <w:t>第五部分</w:t>
      </w:r>
      <w:r>
        <w:rPr>
          <w:rStyle w:val="21"/>
          <w:rFonts w:ascii="黑体" w:hAnsi="黑体" w:eastAsia="黑体"/>
          <w:sz w:val="32"/>
        </w:rPr>
        <w:t xml:space="preserve">  </w:t>
      </w:r>
      <w:r>
        <w:rPr>
          <w:rStyle w:val="21"/>
          <w:rFonts w:hint="eastAsia" w:ascii="黑体" w:hAnsi="黑体" w:eastAsia="黑体"/>
          <w:sz w:val="32"/>
        </w:rPr>
        <w:t>附件</w:t>
      </w:r>
      <w:r>
        <w:rPr>
          <w:rStyle w:val="21"/>
          <w:rFonts w:ascii="黑体" w:hAnsi="黑体" w:eastAsia="黑体"/>
          <w:sz w:val="32"/>
        </w:rPr>
        <w:t>/</w:t>
      </w:r>
      <w:r>
        <w:rPr>
          <w:rStyle w:val="21"/>
          <w:rFonts w:hint="eastAsia" w:ascii="黑体" w:hAnsi="黑体" w:eastAsia="黑体"/>
          <w:sz w:val="32"/>
        </w:rPr>
        <w:t>投标文件格式</w:t>
      </w:r>
      <w:r>
        <w:rPr>
          <w:sz w:val="32"/>
        </w:rPr>
        <w:tab/>
      </w:r>
      <w:r>
        <w:rPr>
          <w:sz w:val="32"/>
        </w:rPr>
        <w:fldChar w:fldCharType="begin"/>
      </w:r>
      <w:r>
        <w:rPr>
          <w:sz w:val="32"/>
        </w:rPr>
        <w:instrText xml:space="preserve"> PAGEREF _Toc37172691 \h </w:instrText>
      </w:r>
      <w:r>
        <w:rPr>
          <w:sz w:val="32"/>
        </w:rPr>
        <w:fldChar w:fldCharType="separate"/>
      </w:r>
      <w:r>
        <w:rPr>
          <w:sz w:val="32"/>
        </w:rPr>
        <w:t>38</w:t>
      </w:r>
      <w:r>
        <w:rPr>
          <w:sz w:val="32"/>
        </w:rPr>
        <w:fldChar w:fldCharType="end"/>
      </w:r>
      <w:r>
        <w:rPr>
          <w:sz w:val="32"/>
        </w:rPr>
        <w:fldChar w:fldCharType="end"/>
      </w:r>
    </w:p>
    <w:p>
      <w:pPr>
        <w:jc w:val="distribute"/>
        <w:rPr>
          <w:rFonts w:ascii="仿宋_GB2312" w:hAnsi="宋体" w:eastAsia="仿宋_GB2312" w:cs="Times New Roman"/>
          <w:kern w:val="0"/>
          <w:sz w:val="32"/>
          <w:szCs w:val="32"/>
        </w:rPr>
      </w:pPr>
      <w:r>
        <w:rPr>
          <w:rFonts w:ascii="仿宋_GB2312" w:hAnsi="宋体" w:eastAsia="仿宋_GB2312" w:cs="Times New Roman"/>
          <w:kern w:val="0"/>
          <w:sz w:val="40"/>
          <w:szCs w:val="32"/>
        </w:rPr>
        <w:fldChar w:fldCharType="end"/>
      </w: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ind w:firstLine="462" w:firstLineChars="200"/>
        <w:rPr>
          <w:rFonts w:ascii="Times New Roman" w:hAnsi="Times New Roman" w:eastAsia="宋体" w:cs="Times New Roman"/>
          <w:kern w:val="0"/>
          <w:sz w:val="24"/>
          <w:szCs w:val="24"/>
        </w:rPr>
      </w:pPr>
    </w:p>
    <w:p>
      <w:pPr>
        <w:spacing w:beforeLines="100"/>
        <w:jc w:val="center"/>
        <w:rPr>
          <w:rFonts w:ascii="Times New Roman" w:hAnsi="Times New Roman" w:eastAsia="华文中宋" w:cs="Times New Roman"/>
          <w:kern w:val="0"/>
          <w:sz w:val="44"/>
          <w:szCs w:val="4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jc w:val="center"/>
        <w:rPr>
          <w:rFonts w:ascii="黑体" w:hAnsi="黑体" w:eastAsia="黑体"/>
          <w:kern w:val="0"/>
          <w:sz w:val="32"/>
          <w:szCs w:val="32"/>
        </w:rPr>
      </w:pPr>
      <w:bookmarkStart w:id="1" w:name="_Toc285612593"/>
      <w:bookmarkStart w:id="2" w:name="_Toc435540978"/>
      <w:bookmarkStart w:id="3" w:name="_Toc37172687"/>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招标公告</w:t>
      </w:r>
      <w:bookmarkEnd w:id="0"/>
      <w:bookmarkEnd w:id="3"/>
    </w:p>
    <w:p>
      <w:pPr>
        <w:adjustRightInd w:val="0"/>
        <w:snapToGrid w:val="0"/>
        <w:spacing w:line="440" w:lineRule="exact"/>
        <w:jc w:val="center"/>
        <w:rPr>
          <w:rFonts w:hint="eastAsia" w:ascii="Tahoma" w:hAnsi="Tahoma" w:cs="Tahoma" w:eastAsiaTheme="minorEastAsia"/>
          <w:b/>
          <w:bCs/>
          <w:kern w:val="0"/>
          <w:sz w:val="28"/>
          <w:szCs w:val="28"/>
          <w:lang w:eastAsia="zh-CN"/>
        </w:rPr>
      </w:pPr>
      <w:bookmarkStart w:id="24" w:name="_GoBack"/>
      <w:r>
        <w:rPr>
          <w:rFonts w:hint="eastAsia" w:ascii="Tahoma" w:hAnsi="Tahoma" w:cs="Tahoma"/>
          <w:b/>
          <w:bCs/>
          <w:kern w:val="0"/>
          <w:sz w:val="28"/>
          <w:szCs w:val="28"/>
        </w:rPr>
        <w:t>关于</w:t>
      </w:r>
      <w:r>
        <w:rPr>
          <w:rFonts w:hint="eastAsia" w:ascii="Tahoma" w:hAnsi="Tahoma" w:cs="Tahoma"/>
          <w:b/>
          <w:bCs/>
          <w:kern w:val="0"/>
          <w:sz w:val="28"/>
          <w:szCs w:val="28"/>
          <w:lang w:eastAsia="zh-CN"/>
        </w:rPr>
        <w:t>战创模型</w:t>
      </w:r>
      <w:r>
        <w:rPr>
          <w:rFonts w:hint="eastAsia" w:ascii="Tahoma" w:hAnsi="Tahoma" w:cs="Tahoma"/>
          <w:b/>
          <w:bCs/>
          <w:kern w:val="0"/>
          <w:sz w:val="28"/>
          <w:szCs w:val="28"/>
        </w:rPr>
        <w:t>的采购</w:t>
      </w:r>
      <w:r>
        <w:rPr>
          <w:rFonts w:ascii="Tahoma" w:hAnsi="Tahoma" w:cs="Tahoma"/>
          <w:b/>
          <w:bCs/>
          <w:kern w:val="0"/>
          <w:sz w:val="28"/>
          <w:szCs w:val="28"/>
        </w:rPr>
        <w:t>公告</w:t>
      </w:r>
      <w:r>
        <w:rPr>
          <w:rFonts w:hint="eastAsia" w:ascii="Tahoma" w:hAnsi="Tahoma" w:cs="Tahoma"/>
          <w:kern w:val="0"/>
          <w:sz w:val="28"/>
          <w:szCs w:val="28"/>
          <w:lang w:eastAsia="zh-CN"/>
        </w:rPr>
        <w:t>2020-JL13(03)-W10115</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我院就以下项目进行国内公开招标，采购资金已全部落实，欢迎符合条件的供应商参加投标。</w:t>
      </w:r>
    </w:p>
    <w:p>
      <w:pPr>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项目名称：</w:t>
      </w:r>
      <w:r>
        <w:rPr>
          <w:rFonts w:hint="eastAsia" w:cs="Times New Roman" w:asciiTheme="minorEastAsia" w:hAnsiTheme="minorEastAsia"/>
          <w:b/>
          <w:kern w:val="0"/>
          <w:sz w:val="24"/>
          <w:szCs w:val="24"/>
          <w:lang w:eastAsia="zh-CN"/>
        </w:rPr>
        <w:t>战创模型</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eastAsiaTheme="minorEastAsia"/>
          <w:b/>
          <w:kern w:val="0"/>
          <w:sz w:val="24"/>
          <w:szCs w:val="24"/>
          <w:lang w:eastAsia="zh-CN"/>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项目编号：</w:t>
      </w:r>
      <w:r>
        <w:rPr>
          <w:rFonts w:hint="eastAsia" w:cs="Times New Roman" w:asciiTheme="minorEastAsia" w:hAnsiTheme="minorEastAsia"/>
          <w:b/>
          <w:kern w:val="0"/>
          <w:sz w:val="24"/>
          <w:szCs w:val="24"/>
          <w:lang w:eastAsia="zh-CN"/>
        </w:rPr>
        <w:t>2020-JL13(03)-W10115</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三、项目概况</w:t>
      </w:r>
      <w:r>
        <w:rPr>
          <w:rFonts w:cs="Times New Roman" w:asciiTheme="minorEastAsia" w:hAnsiTheme="minorEastAsia"/>
          <w:b/>
          <w:kern w:val="0"/>
          <w:sz w:val="24"/>
          <w:szCs w:val="24"/>
        </w:rPr>
        <w:t>：</w:t>
      </w:r>
    </w:p>
    <w:tbl>
      <w:tblPr>
        <w:tblStyle w:val="17"/>
        <w:tblW w:w="51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750"/>
        <w:gridCol w:w="824"/>
        <w:gridCol w:w="1375"/>
        <w:gridCol w:w="722"/>
        <w:gridCol w:w="811"/>
        <w:gridCol w:w="1503"/>
        <w:gridCol w:w="867"/>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exac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包号</w:t>
            </w:r>
          </w:p>
        </w:tc>
        <w:tc>
          <w:tcPr>
            <w:tcW w:w="94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货物</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名称</w:t>
            </w:r>
          </w:p>
        </w:tc>
        <w:tc>
          <w:tcPr>
            <w:tcW w:w="44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规格</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型号</w:t>
            </w:r>
          </w:p>
        </w:tc>
        <w:tc>
          <w:tcPr>
            <w:tcW w:w="74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技术要求</w:t>
            </w:r>
          </w:p>
        </w:tc>
        <w:tc>
          <w:tcPr>
            <w:tcW w:w="38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计量</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单位</w:t>
            </w:r>
          </w:p>
        </w:tc>
        <w:tc>
          <w:tcPr>
            <w:tcW w:w="4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数量</w:t>
            </w:r>
          </w:p>
        </w:tc>
        <w:tc>
          <w:tcPr>
            <w:tcW w:w="81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时间</w:t>
            </w:r>
          </w:p>
        </w:tc>
        <w:tc>
          <w:tcPr>
            <w:tcW w:w="46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kern w:val="0"/>
                <w:szCs w:val="21"/>
              </w:rPr>
            </w:pPr>
            <w:r>
              <w:rPr>
                <w:rFonts w:hint="eastAsia" w:cs="Times New Roman" w:asciiTheme="minorEastAsia" w:hAnsiTheme="minorEastAsia"/>
                <w:b/>
                <w:bCs/>
                <w:snapToGrid w:val="0"/>
                <w:kern w:val="0"/>
                <w:szCs w:val="21"/>
              </w:rPr>
              <w:t>交货</w:t>
            </w:r>
          </w:p>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地点</w:t>
            </w:r>
          </w:p>
        </w:tc>
        <w:tc>
          <w:tcPr>
            <w:tcW w:w="41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b/>
                <w:bCs/>
                <w:snapToGrid w:val="0"/>
                <w:szCs w:val="21"/>
              </w:rPr>
            </w:pPr>
            <w:r>
              <w:rPr>
                <w:rFonts w:hint="eastAsia" w:cs="Times New Roman" w:asciiTheme="minorEastAsia" w:hAnsiTheme="minorEastAsia"/>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exact"/>
          <w:jc w:val="center"/>
        </w:trPr>
        <w:tc>
          <w:tcPr>
            <w:tcW w:w="354"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lang w:val="en-US" w:eastAsia="zh-CN"/>
              </w:rPr>
              <w:t>1</w:t>
            </w:r>
          </w:p>
        </w:tc>
        <w:tc>
          <w:tcPr>
            <w:tcW w:w="94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火线全功能战创伤模拟人</w:t>
            </w:r>
          </w:p>
        </w:tc>
        <w:tc>
          <w:tcPr>
            <w:tcW w:w="44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74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3</w:t>
            </w:r>
          </w:p>
        </w:tc>
        <w:tc>
          <w:tcPr>
            <w:tcW w:w="81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r>
              <w:rPr>
                <w:rFonts w:hint="eastAsia"/>
              </w:rPr>
              <w:t>合同签订后90个日历日</w:t>
            </w:r>
          </w:p>
        </w:tc>
        <w:tc>
          <w:tcPr>
            <w:tcW w:w="467" w:type="pct"/>
            <w:vMerge w:val="restart"/>
            <w:tcBorders>
              <w:top w:val="single" w:color="auto" w:sz="4" w:space="0"/>
              <w:left w:val="single" w:color="auto" w:sz="4" w:space="0"/>
              <w:right w:val="single" w:color="auto" w:sz="4" w:space="0"/>
            </w:tcBorders>
            <w:vAlign w:val="center"/>
          </w:tcPr>
          <w:p>
            <w:pPr>
              <w:bidi w:val="0"/>
              <w:jc w:val="center"/>
              <w:rPr>
                <w:rFonts w:hint="eastAsia"/>
              </w:rPr>
            </w:pPr>
            <w:r>
              <w:rPr>
                <w:rFonts w:hint="eastAsia"/>
              </w:rPr>
              <w:t>重庆市</w:t>
            </w:r>
          </w:p>
        </w:tc>
        <w:tc>
          <w:tcPr>
            <w:tcW w:w="412" w:type="pct"/>
            <w:tcBorders>
              <w:top w:val="single" w:color="auto" w:sz="4" w:space="0"/>
              <w:left w:val="single" w:color="auto" w:sz="4" w:space="0"/>
              <w:bottom w:val="single" w:color="auto" w:sz="4" w:space="0"/>
              <w:right w:val="single" w:color="auto" w:sz="4" w:space="0"/>
            </w:tcBorders>
            <w:vAlign w:val="center"/>
          </w:tcPr>
          <w:p>
            <w:pPr>
              <w:bidi w:val="0"/>
              <w:jc w:val="center"/>
            </w:pPr>
            <w:r>
              <w:rPr>
                <w:rFonts w:hint="eastAsia"/>
              </w:rPr>
              <w:t>现场提供样品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exact"/>
          <w:jc w:val="center"/>
        </w:trPr>
        <w:tc>
          <w:tcPr>
            <w:tcW w:w="354"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94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444"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w:t>
            </w:r>
          </w:p>
        </w:tc>
        <w:tc>
          <w:tcPr>
            <w:tcW w:w="741"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详见招标文件第二部分</w:t>
            </w:r>
          </w:p>
        </w:tc>
        <w:tc>
          <w:tcPr>
            <w:tcW w:w="389" w:type="pct"/>
            <w:tcBorders>
              <w:top w:val="single" w:color="auto" w:sz="4" w:space="0"/>
              <w:left w:val="single" w:color="auto" w:sz="4" w:space="0"/>
              <w:bottom w:val="single" w:color="auto" w:sz="4" w:space="0"/>
              <w:right w:val="single" w:color="auto" w:sz="4" w:space="0"/>
            </w:tcBorders>
            <w:vAlign w:val="center"/>
          </w:tcPr>
          <w:p>
            <w:pPr>
              <w:bidi w:val="0"/>
              <w:jc w:val="center"/>
              <w:rPr>
                <w:rFonts w:hint="eastAsia"/>
              </w:rPr>
            </w:pPr>
            <w:r>
              <w:rPr>
                <w:rFonts w:hint="eastAsia"/>
              </w:rPr>
              <w:t>套</w:t>
            </w:r>
          </w:p>
        </w:tc>
        <w:tc>
          <w:tcPr>
            <w:tcW w:w="437"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rPr>
            </w:pPr>
            <w:r>
              <w:rPr>
                <w:rFonts w:hint="eastAsia" w:ascii="宋体" w:hAnsi="宋体" w:eastAsia="宋体" w:cs="宋体"/>
                <w:i w:val="0"/>
                <w:color w:val="000000"/>
                <w:kern w:val="0"/>
                <w:sz w:val="20"/>
                <w:szCs w:val="20"/>
                <w:u w:val="none"/>
                <w:lang w:val="en-US" w:eastAsia="zh-CN" w:bidi="ar"/>
              </w:rPr>
              <w:t>10</w:t>
            </w:r>
          </w:p>
        </w:tc>
        <w:tc>
          <w:tcPr>
            <w:tcW w:w="810"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rPr>
            </w:pPr>
          </w:p>
        </w:tc>
        <w:tc>
          <w:tcPr>
            <w:tcW w:w="467" w:type="pct"/>
            <w:vMerge w:val="continue"/>
            <w:tcBorders>
              <w:left w:val="single" w:color="auto" w:sz="4" w:space="0"/>
              <w:bottom w:val="single" w:color="auto" w:sz="4" w:space="0"/>
              <w:right w:val="single" w:color="auto" w:sz="4" w:space="0"/>
            </w:tcBorders>
            <w:vAlign w:val="center"/>
          </w:tcPr>
          <w:p>
            <w:pPr>
              <w:bidi w:val="0"/>
              <w:jc w:val="center"/>
              <w:rPr>
                <w:rFonts w:hint="eastAsia"/>
              </w:rPr>
            </w:pPr>
          </w:p>
        </w:tc>
        <w:tc>
          <w:tcPr>
            <w:tcW w:w="412" w:type="pct"/>
            <w:tcBorders>
              <w:top w:val="single" w:color="auto" w:sz="4" w:space="0"/>
              <w:left w:val="single" w:color="auto" w:sz="4" w:space="0"/>
              <w:bottom w:val="single" w:color="auto" w:sz="4" w:space="0"/>
              <w:right w:val="single" w:color="auto" w:sz="4" w:space="0"/>
            </w:tcBorders>
            <w:vAlign w:val="center"/>
          </w:tcPr>
          <w:p>
            <w:pPr>
              <w:bidi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35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Times New Roman" w:asciiTheme="minorEastAsia" w:hAnsiTheme="minorEastAsia"/>
                <w:szCs w:val="21"/>
              </w:rPr>
            </w:pPr>
            <w:r>
              <w:rPr>
                <w:rFonts w:hint="eastAsia" w:cs="Times New Roman" w:asciiTheme="minorEastAsia" w:hAnsiTheme="minorEastAsia"/>
                <w:snapToGrid w:val="0"/>
                <w:kern w:val="0"/>
                <w:szCs w:val="21"/>
              </w:rPr>
              <w:t>说明</w:t>
            </w:r>
          </w:p>
        </w:tc>
        <w:tc>
          <w:tcPr>
            <w:tcW w:w="4645" w:type="pct"/>
            <w:gridSpan w:val="8"/>
            <w:tcBorders>
              <w:top w:val="single" w:color="auto" w:sz="4" w:space="0"/>
              <w:left w:val="single" w:color="auto" w:sz="4" w:space="0"/>
              <w:bottom w:val="single" w:color="auto" w:sz="4" w:space="0"/>
              <w:right w:val="single" w:color="auto" w:sz="4" w:space="0"/>
            </w:tcBorders>
            <w:vAlign w:val="center"/>
          </w:tcPr>
          <w:p>
            <w:pPr>
              <w:adjustRightInd w:val="0"/>
              <w:snapToGrid w:val="0"/>
              <w:rPr>
                <w:rFonts w:cs="Times New Roman" w:asciiTheme="minorEastAsia" w:hAnsiTheme="minorEastAsia"/>
                <w:kern w:val="0"/>
                <w:szCs w:val="21"/>
              </w:rPr>
            </w:pPr>
            <w:r>
              <w:rPr>
                <w:rFonts w:cs="Times New Roman" w:asciiTheme="minorEastAsia" w:hAnsiTheme="minorEastAsia"/>
                <w:kern w:val="0"/>
                <w:szCs w:val="21"/>
              </w:rPr>
              <w:t>1.</w:t>
            </w:r>
            <w:r>
              <w:rPr>
                <w:rFonts w:hint="eastAsia" w:cs="Times New Roman" w:asciiTheme="minorEastAsia" w:hAnsiTheme="minorEastAsia"/>
                <w:kern w:val="0"/>
                <w:szCs w:val="21"/>
              </w:rPr>
              <w:t>投标人须对所投包内所有产品和数量进行投标报价，否则视为无效投标。</w:t>
            </w:r>
          </w:p>
          <w:p>
            <w:pPr>
              <w:adjustRightInd w:val="0"/>
              <w:snapToGrid w:val="0"/>
              <w:rPr>
                <w:rFonts w:cs="Times New Roman" w:asciiTheme="minorEastAsia" w:hAnsiTheme="minorEastAsia"/>
                <w:szCs w:val="21"/>
              </w:rPr>
            </w:pPr>
            <w:r>
              <w:rPr>
                <w:rFonts w:hint="eastAsia" w:cs="Times New Roman" w:asciiTheme="minorEastAsia" w:hAnsiTheme="minorEastAsia"/>
                <w:kern w:val="0"/>
                <w:szCs w:val="21"/>
              </w:rPr>
              <w:t>2.</w:t>
            </w:r>
            <w:r>
              <w:rPr>
                <w:rFonts w:hint="eastAsia" w:ascii="宋体" w:hAnsi="宋体"/>
              </w:rPr>
              <w:t>投标报价应包括所有货物供应、运输、安装、培训、售后服务价格。</w:t>
            </w:r>
          </w:p>
        </w:tc>
      </w:tr>
    </w:tbl>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四、投标人</w:t>
      </w:r>
      <w:r>
        <w:rPr>
          <w:rFonts w:cs="Times New Roman" w:asciiTheme="minorEastAsia" w:hAnsiTheme="minorEastAsia"/>
          <w:b/>
          <w:kern w:val="0"/>
          <w:sz w:val="24"/>
          <w:szCs w:val="24"/>
        </w:rPr>
        <w:t>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（一）符合《中华人民共和国政府采购法》第二十二条资格条件：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1.具有独立承担民事责任的能力；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2.具有良好的商业信誉和健全的财务会计制度；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3.具有履行合同所必需的设备和专业技术能力；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4.有依法缴纳税收和社会保障资金的良好记录；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5.参加政府采购活动前3年内，在经营活动中没有重大违法记录；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6.法律、行政法规规定的其他条件。</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（二）供应商成立时间不少于1年。</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（三）非外资独资或外资控股企业。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（五）本项目不接受联合体投标。</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（六）注册资金</w:t>
      </w:r>
      <w:r>
        <w:rPr>
          <w:rFonts w:cs="Times New Roman" w:asciiTheme="minorEastAsia" w:hAnsiTheme="minorEastAsia"/>
          <w:kern w:val="0"/>
          <w:sz w:val="24"/>
          <w:szCs w:val="24"/>
        </w:rPr>
        <w:t>200</w:t>
      </w:r>
      <w:r>
        <w:rPr>
          <w:rFonts w:hint="eastAsia" w:cs="Times New Roman" w:asciiTheme="minorEastAsia" w:hAnsiTheme="minorEastAsia"/>
          <w:kern w:val="0"/>
          <w:sz w:val="24"/>
          <w:szCs w:val="24"/>
        </w:rPr>
        <w:t>万（含）以上生产或销售型企业。</w:t>
      </w:r>
    </w:p>
    <w:p>
      <w:pPr>
        <w:tabs>
          <w:tab w:val="left" w:pos="0"/>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（七）投标人应具备本项目生产或者销售范围（以投标人提供的营业执照、经营许可证为准）。</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（八）具备生产许可证、特许经营许可证、医疗器械注册证、质量管理体系认证、</w:t>
      </w:r>
      <w:r>
        <w:rPr>
          <w:rFonts w:cs="Times New Roman" w:asciiTheme="minorEastAsia" w:hAnsiTheme="minorEastAsia"/>
          <w:kern w:val="0"/>
          <w:sz w:val="24"/>
          <w:szCs w:val="24"/>
        </w:rPr>
        <w:t>3C</w:t>
      </w:r>
      <w:r>
        <w:rPr>
          <w:rFonts w:hint="eastAsia" w:cs="Times New Roman" w:asciiTheme="minorEastAsia" w:hAnsiTheme="minorEastAsia"/>
          <w:kern w:val="0"/>
          <w:sz w:val="24"/>
          <w:szCs w:val="24"/>
        </w:rPr>
        <w:t>认证等相关行业资质。</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rPr>
        <w:t>五、样品</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（一）提交样品时间：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r>
        <w:rPr>
          <w:rFonts w:hint="eastAsia" w:cs="Times New Roman" w:asciiTheme="minorEastAsia" w:hAnsiTheme="minorEastAsia"/>
          <w:b w:val="0"/>
          <w:bCs/>
          <w:color w:val="auto"/>
          <w:kern w:val="0"/>
          <w:sz w:val="24"/>
          <w:szCs w:val="24"/>
        </w:rPr>
        <w:t xml:space="preserve"> 。</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（二）提交样品地点：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hint="default" w:cs="Times New Roman" w:asciiTheme="minorEastAsia" w:hAnsiTheme="minorEastAsia" w:eastAsiaTheme="minorEastAsia"/>
          <w:b w:val="0"/>
          <w:bCs/>
          <w:color w:val="auto"/>
          <w:kern w:val="0"/>
          <w:sz w:val="24"/>
          <w:szCs w:val="24"/>
          <w:lang w:val="en-US" w:eastAsia="zh-CN"/>
        </w:rPr>
      </w:pPr>
      <w:r>
        <w:rPr>
          <w:rFonts w:hint="eastAsia" w:cs="Times New Roman" w:asciiTheme="minorEastAsia" w:hAnsiTheme="minorEastAsia"/>
          <w:b w:val="0"/>
          <w:bCs/>
          <w:color w:val="auto"/>
          <w:kern w:val="0"/>
          <w:sz w:val="24"/>
          <w:szCs w:val="24"/>
        </w:rPr>
        <w:t>（三）提交样品数量：云端成人半身心肺复苏套装 （16个/套）</w:t>
      </w:r>
      <w:r>
        <w:rPr>
          <w:rFonts w:hint="eastAsia" w:cs="Times New Roman" w:asciiTheme="minorEastAsia" w:hAnsiTheme="minorEastAsia"/>
          <w:b w:val="0"/>
          <w:bCs/>
          <w:color w:val="auto"/>
          <w:kern w:val="0"/>
          <w:sz w:val="24"/>
          <w:szCs w:val="24"/>
          <w:lang w:val="en-US" w:eastAsia="zh-CN"/>
        </w:rPr>
        <w:t>1套。</w:t>
      </w:r>
    </w:p>
    <w:p>
      <w:pPr>
        <w:tabs>
          <w:tab w:val="left" w:pos="0"/>
          <w:tab w:val="left" w:pos="1122"/>
        </w:tabs>
        <w:adjustRightInd w:val="0"/>
        <w:snapToGrid w:val="0"/>
        <w:spacing w:line="440" w:lineRule="exact"/>
        <w:ind w:firstLine="462" w:firstLineChars="200"/>
        <w:rPr>
          <w:rFonts w:hint="eastAsia" w:cs="Times New Roman" w:asciiTheme="minorEastAsia" w:hAnsiTheme="minorEastAsia"/>
          <w:b w:val="0"/>
          <w:bCs/>
          <w:color w:val="auto"/>
          <w:kern w:val="0"/>
          <w:sz w:val="24"/>
          <w:szCs w:val="24"/>
        </w:rPr>
      </w:pPr>
      <w:r>
        <w:rPr>
          <w:rFonts w:hint="eastAsia" w:cs="Times New Roman" w:asciiTheme="minorEastAsia" w:hAnsiTheme="minorEastAsia"/>
          <w:b w:val="0"/>
          <w:bCs/>
          <w:color w:val="auto"/>
          <w:kern w:val="0"/>
          <w:sz w:val="24"/>
          <w:szCs w:val="24"/>
        </w:rPr>
        <w:t>（四）提交样品要求：投标人提供虚假样品或者借用、冒用其他供应商样品的，评标委员会按无效投标处理。评审结束后发现此类情况的，招标人有权拒签、取消或废止采购合同。</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六</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文件发售时间、地点、方式及售价</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（一）发售时间：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6</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日至</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13</w:t>
      </w:r>
      <w:r>
        <w:rPr>
          <w:rFonts w:hint="eastAsia" w:cs="Times New Roman" w:asciiTheme="minorEastAsia" w:hAnsiTheme="minorEastAsia"/>
          <w:color w:val="auto"/>
          <w:kern w:val="0"/>
          <w:sz w:val="24"/>
          <w:szCs w:val="24"/>
        </w:rPr>
        <w:t>日（08:00—11:30，15:00—17:00）（北京时间、节假日除外）。</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（二）发售地点：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（三）发售方式：投标人指定专人现场领取，不接受邮寄等其他方式。投标人购买招标文件时需提供以下材料原件或装订成册加盖单位公章的复印件1份。</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kern w:val="0"/>
          <w:sz w:val="24"/>
          <w:szCs w:val="24"/>
        </w:rPr>
        <w:t>12.</w:t>
      </w:r>
      <w:r>
        <w:rPr>
          <w:rFonts w:hint="eastAsia" w:cs="Times New Roman" w:asciiTheme="minorEastAsia" w:hAnsiTheme="minorEastAsia"/>
          <w:kern w:val="0"/>
          <w:sz w:val="24"/>
          <w:szCs w:val="24"/>
          <w:lang w:val="en-US" w:eastAsia="zh-CN"/>
        </w:rPr>
        <w:t xml:space="preserve"> </w:t>
      </w:r>
      <w:r>
        <w:rPr>
          <w:rFonts w:hint="eastAsia" w:cs="Times New Roman" w:asciiTheme="minorEastAsia" w:hAnsiTheme="minorEastAsia"/>
          <w:kern w:val="0"/>
          <w:sz w:val="24"/>
          <w:szCs w:val="24"/>
        </w:rPr>
        <w:t>生产企业对代理公司投标授权书（进口产品需提供原产厂家对中国总代的中英文授权书复印件或同步翻</w:t>
      </w:r>
      <w:r>
        <w:rPr>
          <w:rFonts w:hint="eastAsia" w:cs="Times New Roman" w:asciiTheme="minorEastAsia" w:hAnsiTheme="minorEastAsia"/>
          <w:color w:val="auto"/>
          <w:kern w:val="0"/>
          <w:sz w:val="24"/>
          <w:szCs w:val="24"/>
        </w:rPr>
        <w:t>译件）。</w:t>
      </w:r>
    </w:p>
    <w:p>
      <w:pPr>
        <w:tabs>
          <w:tab w:val="left" w:pos="0"/>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（四）招标文件售价：200元/份，售后不退。</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七</w:t>
      </w:r>
      <w:r>
        <w:rPr>
          <w:rFonts w:hint="eastAsia" w:cs="Times New Roman" w:asciiTheme="minorEastAsia" w:hAnsiTheme="minorEastAsia"/>
          <w:b/>
          <w:color w:val="auto"/>
          <w:kern w:val="0"/>
          <w:sz w:val="24"/>
          <w:szCs w:val="24"/>
        </w:rPr>
        <w:t>、投标开始和截止</w:t>
      </w:r>
      <w:r>
        <w:rPr>
          <w:rFonts w:cs="Times New Roman" w:asciiTheme="minorEastAsia" w:hAnsiTheme="minorEastAsia"/>
          <w:b/>
          <w:color w:val="auto"/>
          <w:kern w:val="0"/>
          <w:sz w:val="24"/>
          <w:szCs w:val="24"/>
        </w:rPr>
        <w:t>时间</w:t>
      </w:r>
      <w:r>
        <w:rPr>
          <w:rFonts w:hint="eastAsia" w:cs="Times New Roman" w:asciiTheme="minorEastAsia" w:hAnsiTheme="minorEastAsia"/>
          <w:b/>
          <w:color w:val="auto"/>
          <w:kern w:val="0"/>
          <w:sz w:val="24"/>
          <w:szCs w:val="24"/>
        </w:rPr>
        <w:t>及</w:t>
      </w:r>
      <w:r>
        <w:rPr>
          <w:rFonts w:cs="Times New Roman" w:asciiTheme="minorEastAsia" w:hAnsiTheme="minorEastAsia"/>
          <w:b/>
          <w:color w:val="auto"/>
          <w:kern w:val="0"/>
          <w:sz w:val="24"/>
          <w:szCs w:val="24"/>
        </w:rPr>
        <w:t>地点</w:t>
      </w:r>
      <w:r>
        <w:rPr>
          <w:rFonts w:hint="eastAsia" w:cs="Times New Roman" w:asciiTheme="minorEastAsia" w:hAnsiTheme="minorEastAsia"/>
          <w:b/>
          <w:color w:val="auto"/>
          <w:kern w:val="0"/>
          <w:sz w:val="24"/>
          <w:szCs w:val="24"/>
        </w:rPr>
        <w:t>、方式</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（一）投标开始时间：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8</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color w:val="auto"/>
          <w:kern w:val="0"/>
          <w:sz w:val="24"/>
          <w:szCs w:val="24"/>
        </w:rPr>
        <w:t>（二）投标截止时间：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（三）投标地点：</w:t>
      </w:r>
      <w:r>
        <w:rPr>
          <w:rFonts w:hint="eastAsia" w:cs="Times New Roman" w:asciiTheme="minorEastAsia" w:hAnsiTheme="minorEastAsia"/>
          <w:kern w:val="0"/>
          <w:sz w:val="24"/>
          <w:szCs w:val="24"/>
          <w:u w:val="single"/>
        </w:rPr>
        <w:t xml:space="preserve">    重庆市      </w:t>
      </w:r>
      <w:r>
        <w:rPr>
          <w:rFonts w:hint="eastAsia" w:cs="Times New Roman" w:asciiTheme="minorEastAsia" w:hAnsiTheme="minorEastAsia"/>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（四）投标方式：指定专人递交投标文件，不接受邮寄等其他方式。</w:t>
      </w:r>
    </w:p>
    <w:p>
      <w:pPr>
        <w:tabs>
          <w:tab w:val="left" w:pos="0"/>
          <w:tab w:val="left" w:pos="1122"/>
        </w:tabs>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lang w:eastAsia="zh-CN"/>
        </w:rPr>
        <w:t>八</w:t>
      </w:r>
      <w:r>
        <w:rPr>
          <w:rFonts w:hint="eastAsia" w:cs="Times New Roman" w:asciiTheme="minorEastAsia" w:hAnsiTheme="minorEastAsia"/>
          <w:b/>
          <w:kern w:val="0"/>
          <w:sz w:val="24"/>
          <w:szCs w:val="24"/>
        </w:rPr>
        <w:t>、</w:t>
      </w:r>
      <w:r>
        <w:rPr>
          <w:rFonts w:hint="eastAsia" w:cs="Times New Roman" w:asciiTheme="minorEastAsia" w:hAnsiTheme="minorEastAsia"/>
          <w:b/>
          <w:kern w:val="0"/>
          <w:sz w:val="24"/>
          <w:szCs w:val="24"/>
        </w:rPr>
        <w:tab/>
      </w:r>
      <w:r>
        <w:rPr>
          <w:rFonts w:hint="eastAsia" w:cs="Times New Roman" w:asciiTheme="minorEastAsia" w:hAnsiTheme="minorEastAsia"/>
          <w:b/>
          <w:kern w:val="0"/>
          <w:sz w:val="24"/>
          <w:szCs w:val="24"/>
        </w:rPr>
        <w:t>开标时间、地点</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（一）</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开标时间：</w:t>
      </w:r>
      <w:r>
        <w:rPr>
          <w:rFonts w:hint="eastAsia" w:cs="Times New Roman" w:asciiTheme="minorEastAsia" w:hAnsiTheme="minorEastAsia"/>
          <w:color w:val="auto"/>
          <w:kern w:val="0"/>
          <w:sz w:val="24"/>
          <w:szCs w:val="24"/>
          <w:u w:val="single"/>
        </w:rPr>
        <w:t xml:space="preserve"> 202</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rPr>
        <w:t>年</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val="en-US" w:eastAsia="zh-CN"/>
        </w:rPr>
        <w:t>1</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月</w:t>
      </w:r>
      <w:r>
        <w:rPr>
          <w:rFonts w:hint="eastAsia" w:cs="Times New Roman" w:asciiTheme="minorEastAsia" w:hAnsiTheme="minorEastAsia"/>
          <w:color w:val="auto"/>
          <w:kern w:val="0"/>
          <w:sz w:val="24"/>
          <w:szCs w:val="24"/>
          <w:u w:val="single"/>
        </w:rPr>
        <w:t xml:space="preserve"> 2</w:t>
      </w:r>
      <w:r>
        <w:rPr>
          <w:rFonts w:hint="eastAsia" w:cs="Times New Roman" w:asciiTheme="minorEastAsia" w:hAnsiTheme="minorEastAsia"/>
          <w:color w:val="auto"/>
          <w:kern w:val="0"/>
          <w:sz w:val="24"/>
          <w:szCs w:val="24"/>
          <w:u w:val="single"/>
          <w:lang w:val="en-US" w:eastAsia="zh-CN"/>
        </w:rPr>
        <w:t>8</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日</w:t>
      </w:r>
      <w:r>
        <w:rPr>
          <w:rFonts w:hint="eastAsia" w:cs="Times New Roman" w:asciiTheme="minorEastAsia" w:hAnsiTheme="minorEastAsia"/>
          <w:color w:val="auto"/>
          <w:kern w:val="0"/>
          <w:sz w:val="24"/>
          <w:szCs w:val="24"/>
          <w:u w:val="single"/>
        </w:rPr>
        <w:t xml:space="preserve"> 9 </w:t>
      </w:r>
      <w:r>
        <w:rPr>
          <w:rFonts w:hint="eastAsia" w:cs="Times New Roman" w:asciiTheme="minorEastAsia" w:hAnsiTheme="minorEastAsia"/>
          <w:color w:val="auto"/>
          <w:kern w:val="0"/>
          <w:sz w:val="24"/>
          <w:szCs w:val="24"/>
        </w:rPr>
        <w:t>时</w:t>
      </w:r>
      <w:r>
        <w:rPr>
          <w:rFonts w:hint="eastAsia" w:cs="Times New Roman" w:asciiTheme="minorEastAsia" w:hAnsiTheme="minorEastAsia"/>
          <w:color w:val="auto"/>
          <w:kern w:val="0"/>
          <w:sz w:val="24"/>
          <w:szCs w:val="24"/>
          <w:u w:val="single"/>
        </w:rPr>
        <w:t xml:space="preserve"> 0 </w:t>
      </w:r>
      <w:r>
        <w:rPr>
          <w:rFonts w:hint="eastAsia" w:cs="Times New Roman" w:asciiTheme="minorEastAsia" w:hAnsiTheme="minorEastAsia"/>
          <w:color w:val="auto"/>
          <w:kern w:val="0"/>
          <w:sz w:val="24"/>
          <w:szCs w:val="24"/>
        </w:rPr>
        <w:t>分（北京时间）。</w:t>
      </w:r>
    </w:p>
    <w:p>
      <w:pPr>
        <w:tabs>
          <w:tab w:val="left" w:pos="0"/>
          <w:tab w:val="left" w:pos="1122"/>
        </w:tabs>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（二）</w:t>
      </w:r>
      <w:r>
        <w:rPr>
          <w:rFonts w:hint="eastAsia" w:cs="Times New Roman" w:asciiTheme="minorEastAsia" w:hAnsiTheme="minorEastAsia"/>
          <w:color w:val="auto"/>
          <w:kern w:val="0"/>
          <w:sz w:val="24"/>
          <w:szCs w:val="24"/>
        </w:rPr>
        <w:tab/>
      </w:r>
      <w:r>
        <w:rPr>
          <w:rFonts w:hint="eastAsia" w:cs="Times New Roman" w:asciiTheme="minorEastAsia" w:hAnsiTheme="minorEastAsia"/>
          <w:color w:val="auto"/>
          <w:kern w:val="0"/>
          <w:sz w:val="24"/>
          <w:szCs w:val="24"/>
        </w:rPr>
        <w:t>开标地点：</w:t>
      </w:r>
      <w:r>
        <w:rPr>
          <w:rFonts w:hint="eastAsia" w:cs="Times New Roman" w:asciiTheme="minorEastAsia" w:hAnsiTheme="minorEastAsia"/>
          <w:color w:val="auto"/>
          <w:kern w:val="0"/>
          <w:sz w:val="24"/>
          <w:szCs w:val="24"/>
          <w:u w:val="single"/>
        </w:rPr>
        <w:t xml:space="preserve">   重庆市   </w:t>
      </w:r>
      <w:r>
        <w:rPr>
          <w:rFonts w:hint="eastAsia" w:cs="Times New Roman" w:asciiTheme="minorEastAsia" w:hAnsiTheme="minorEastAsia"/>
          <w:color w:val="auto"/>
          <w:kern w:val="0"/>
          <w:sz w:val="24"/>
          <w:szCs w:val="24"/>
        </w:rPr>
        <w:t>。</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九</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本</w:t>
      </w:r>
      <w:r>
        <w:rPr>
          <w:rFonts w:hint="eastAsia" w:cs="Times New Roman" w:asciiTheme="minorEastAsia" w:hAnsiTheme="minorEastAsia"/>
          <w:b/>
          <w:color w:val="auto"/>
          <w:kern w:val="0"/>
          <w:sz w:val="24"/>
          <w:szCs w:val="24"/>
        </w:rPr>
        <w:t>采购</w:t>
      </w:r>
      <w:r>
        <w:rPr>
          <w:rFonts w:cs="Times New Roman" w:asciiTheme="minorEastAsia" w:hAnsiTheme="minorEastAsia"/>
          <w:b/>
          <w:color w:val="auto"/>
          <w:kern w:val="0"/>
          <w:sz w:val="24"/>
          <w:szCs w:val="24"/>
        </w:rPr>
        <w:t>项目相关信息在《</w:t>
      </w:r>
      <w:r>
        <w:rPr>
          <w:rFonts w:hint="eastAsia" w:cs="Times New Roman" w:asciiTheme="minorEastAsia" w:hAnsiTheme="minorEastAsia"/>
          <w:b/>
          <w:color w:val="auto"/>
          <w:kern w:val="0"/>
          <w:sz w:val="24"/>
          <w:szCs w:val="24"/>
        </w:rPr>
        <w:t>招标</w:t>
      </w:r>
      <w:r>
        <w:rPr>
          <w:rFonts w:cs="Times New Roman" w:asciiTheme="minorEastAsia" w:hAnsiTheme="minorEastAsia"/>
          <w:b/>
          <w:color w:val="auto"/>
          <w:kern w:val="0"/>
          <w:sz w:val="24"/>
          <w:szCs w:val="24"/>
        </w:rPr>
        <w:t>网》</w:t>
      </w:r>
      <w:r>
        <w:rPr>
          <w:rFonts w:hint="eastAsia" w:cs="Times New Roman" w:asciiTheme="minorEastAsia" w:hAnsiTheme="minorEastAsia"/>
          <w:b/>
          <w:color w:val="auto"/>
          <w:kern w:val="0"/>
          <w:sz w:val="24"/>
          <w:szCs w:val="24"/>
        </w:rPr>
        <w:t>（</w:t>
      </w:r>
      <w:r>
        <w:rPr>
          <w:color w:val="auto"/>
        </w:rPr>
        <w:fldChar w:fldCharType="begin"/>
      </w:r>
      <w:r>
        <w:rPr>
          <w:color w:val="auto"/>
        </w:rPr>
        <w:instrText xml:space="preserve"> HYPERLINK "http://www.zhaobiao.cn" </w:instrText>
      </w:r>
      <w:r>
        <w:rPr>
          <w:color w:val="auto"/>
        </w:rPr>
        <w:fldChar w:fldCharType="separate"/>
      </w:r>
      <w:r>
        <w:rPr>
          <w:rStyle w:val="21"/>
          <w:rFonts w:asciiTheme="minorEastAsia" w:hAnsiTheme="minorEastAsia"/>
          <w:b/>
          <w:color w:val="auto"/>
          <w:kern w:val="0"/>
          <w:sz w:val="24"/>
          <w:szCs w:val="24"/>
          <w:u w:val="none"/>
        </w:rPr>
        <w:t>www.zhaobiao.cn</w:t>
      </w:r>
      <w:r>
        <w:rPr>
          <w:rStyle w:val="21"/>
          <w:rFonts w:asciiTheme="minorEastAsia" w:hAnsiTheme="minorEastAsia"/>
          <w:b/>
          <w:color w:val="auto"/>
          <w:kern w:val="0"/>
          <w:sz w:val="24"/>
          <w:szCs w:val="24"/>
          <w:u w:val="none"/>
        </w:rPr>
        <w:fldChar w:fldCharType="end"/>
      </w:r>
      <w:r>
        <w:rPr>
          <w:rFonts w:hint="eastAsia"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lang w:eastAsia="zh-CN"/>
        </w:rPr>
        <w:t>军队采购网</w:t>
      </w:r>
      <w:r>
        <w:rPr>
          <w:rFonts w:cs="Times New Roman" w:asciiTheme="minorEastAsia" w:hAnsiTheme="minorEastAsia"/>
          <w:b/>
          <w:color w:val="auto"/>
          <w:kern w:val="0"/>
          <w:sz w:val="24"/>
          <w:szCs w:val="24"/>
        </w:rPr>
        <w:t>》</w:t>
      </w:r>
      <w:r>
        <w:rPr>
          <w:rFonts w:hint="eastAsia" w:cs="Times New Roman" w:asciiTheme="minorEastAsia" w:hAnsiTheme="minorEastAsia"/>
          <w:b/>
          <w:color w:val="auto"/>
          <w:kern w:val="0"/>
          <w:sz w:val="24"/>
          <w:szCs w:val="24"/>
        </w:rPr>
        <w:t>（www.plap.cn）及我院官网（</w:t>
      </w:r>
      <w:r>
        <w:rPr>
          <w:rFonts w:cs="Times New Roman" w:asciiTheme="minorEastAsia" w:hAnsiTheme="minorEastAsia"/>
          <w:b/>
          <w:color w:val="auto"/>
          <w:kern w:val="0"/>
          <w:sz w:val="24"/>
          <w:szCs w:val="24"/>
        </w:rPr>
        <w:t>www.xnyy.cn</w:t>
      </w:r>
      <w:r>
        <w:rPr>
          <w:rFonts w:hint="eastAsia" w:cs="Times New Roman" w:asciiTheme="minorEastAsia" w:hAnsiTheme="minorEastAsia"/>
          <w:b/>
          <w:color w:val="auto"/>
          <w:kern w:val="0"/>
          <w:sz w:val="24"/>
          <w:szCs w:val="24"/>
        </w:rPr>
        <w:t>）</w:t>
      </w:r>
      <w:r>
        <w:rPr>
          <w:rFonts w:cs="Times New Roman" w:asciiTheme="minorEastAsia" w:hAnsiTheme="minorEastAsia"/>
          <w:b/>
          <w:color w:val="auto"/>
          <w:kern w:val="0"/>
          <w:sz w:val="24"/>
          <w:szCs w:val="24"/>
        </w:rPr>
        <w:t>上发布。</w:t>
      </w:r>
    </w:p>
    <w:p>
      <w:pPr>
        <w:tabs>
          <w:tab w:val="left" w:pos="0"/>
          <w:tab w:val="left" w:pos="1122"/>
        </w:tabs>
        <w:adjustRightInd w:val="0"/>
        <w:snapToGrid w:val="0"/>
        <w:spacing w:line="440" w:lineRule="exact"/>
        <w:ind w:firstLine="462" w:firstLineChars="200"/>
        <w:rPr>
          <w:rFonts w:cs="Times New Roman" w:asciiTheme="minorEastAsia" w:hAnsiTheme="minorEastAsia"/>
          <w:b/>
          <w:color w:val="auto"/>
          <w:kern w:val="0"/>
          <w:sz w:val="24"/>
          <w:szCs w:val="24"/>
        </w:rPr>
      </w:pPr>
      <w:r>
        <w:rPr>
          <w:rFonts w:hint="eastAsia" w:cs="Times New Roman" w:asciiTheme="minorEastAsia" w:hAnsiTheme="minorEastAsia"/>
          <w:b/>
          <w:color w:val="auto"/>
          <w:kern w:val="0"/>
          <w:sz w:val="24"/>
          <w:szCs w:val="24"/>
          <w:lang w:eastAsia="zh-CN"/>
        </w:rPr>
        <w:t>十</w:t>
      </w:r>
      <w:r>
        <w:rPr>
          <w:rFonts w:hint="eastAsia" w:cs="Times New Roman" w:asciiTheme="minorEastAsia" w:hAnsiTheme="minorEastAsia"/>
          <w:b/>
          <w:color w:val="auto"/>
          <w:kern w:val="0"/>
          <w:sz w:val="24"/>
          <w:szCs w:val="24"/>
        </w:rPr>
        <w:t>、招标人</w:t>
      </w:r>
      <w:r>
        <w:rPr>
          <w:rFonts w:cs="Times New Roman" w:asciiTheme="minorEastAsia" w:hAnsiTheme="minorEastAsia"/>
          <w:b/>
          <w:color w:val="auto"/>
          <w:kern w:val="0"/>
          <w:sz w:val="24"/>
          <w:szCs w:val="24"/>
        </w:rPr>
        <w:t>联系方式</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联 系 人：</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u w:val="single"/>
          <w:lang w:eastAsia="zh-CN"/>
        </w:rPr>
        <w:t>陈</w:t>
      </w:r>
      <w:r>
        <w:rPr>
          <w:rFonts w:hint="eastAsia" w:cs="Times New Roman" w:asciiTheme="minorEastAsia" w:hAnsiTheme="minorEastAsia"/>
          <w:color w:val="auto"/>
          <w:kern w:val="0"/>
          <w:sz w:val="24"/>
          <w:szCs w:val="24"/>
          <w:u w:val="single"/>
        </w:rPr>
        <w:t xml:space="preserve">老师、杨老师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电    话：</w:t>
      </w:r>
      <w:r>
        <w:rPr>
          <w:rFonts w:hint="eastAsia" w:cs="Times New Roman" w:asciiTheme="minorEastAsia" w:hAnsiTheme="minorEastAsia"/>
          <w:color w:val="auto"/>
          <w:kern w:val="0"/>
          <w:sz w:val="24"/>
          <w:szCs w:val="24"/>
          <w:u w:val="single"/>
        </w:rPr>
        <w:t xml:space="preserve">  023-687661</w:t>
      </w:r>
      <w:r>
        <w:rPr>
          <w:rFonts w:hint="eastAsia" w:cs="Times New Roman" w:asciiTheme="minorEastAsia" w:hAnsiTheme="minorEastAsia"/>
          <w:color w:val="auto"/>
          <w:kern w:val="0"/>
          <w:sz w:val="24"/>
          <w:szCs w:val="24"/>
          <w:u w:val="single"/>
          <w:lang w:val="en-US" w:eastAsia="zh-CN"/>
        </w:rPr>
        <w:t>54</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 xml:space="preserve">（08:00—12:00，15:00—18:00）    </w:t>
      </w:r>
    </w:p>
    <w:p>
      <w:pPr>
        <w:adjustRightInd w:val="0"/>
        <w:snapToGrid w:val="0"/>
        <w:spacing w:line="440" w:lineRule="exact"/>
        <w:ind w:firstLine="462" w:firstLineChars="20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监督电话：</w:t>
      </w:r>
      <w:r>
        <w:rPr>
          <w:rFonts w:hint="eastAsia" w:cs="Times New Roman" w:asciiTheme="minorEastAsia" w:hAnsiTheme="minorEastAsia"/>
          <w:color w:val="auto"/>
          <w:kern w:val="0"/>
          <w:sz w:val="24"/>
          <w:szCs w:val="24"/>
          <w:u w:val="single"/>
        </w:rPr>
        <w:t xml:space="preserve">  </w:t>
      </w:r>
      <w:r>
        <w:rPr>
          <w:rFonts w:hint="eastAsia" w:ascii="宋体" w:hAnsi="宋体" w:eastAsia="宋体" w:cs="Times New Roman"/>
          <w:color w:val="auto"/>
          <w:kern w:val="0"/>
          <w:sz w:val="24"/>
          <w:szCs w:val="24"/>
          <w:u w:val="single"/>
        </w:rPr>
        <w:t>023-68766035</w:t>
      </w:r>
      <w:r>
        <w:rPr>
          <w:rFonts w:hint="eastAsia" w:cs="Times New Roman" w:asciiTheme="minorEastAsia" w:hAnsiTheme="minorEastAsia"/>
          <w:color w:val="auto"/>
          <w:kern w:val="0"/>
          <w:sz w:val="24"/>
          <w:szCs w:val="24"/>
          <w:u w:val="single"/>
        </w:rPr>
        <w:t xml:space="preserve">    </w:t>
      </w:r>
      <w:r>
        <w:rPr>
          <w:rFonts w:hint="eastAsia" w:cs="Times New Roman" w:asciiTheme="minorEastAsia" w:hAnsiTheme="minorEastAsia"/>
          <w:color w:val="auto"/>
          <w:kern w:val="0"/>
          <w:sz w:val="24"/>
          <w:szCs w:val="24"/>
        </w:rPr>
        <w:t>（08:00—12:00，15:00—18:00）</w:t>
      </w:r>
    </w:p>
    <w:p>
      <w:pPr>
        <w:adjustRightInd w:val="0"/>
        <w:snapToGrid w:val="0"/>
        <w:spacing w:afterLines="50" w:line="440" w:lineRule="exact"/>
        <w:ind w:left="4167" w:leftChars="432" w:hanging="3299" w:hangingChars="1428"/>
        <w:jc w:val="left"/>
        <w:rPr>
          <w:rFonts w:cs="Times New Roman" w:asciiTheme="minorEastAsia" w:hAnsiTheme="minorEastAsia"/>
          <w:color w:val="auto"/>
          <w:kern w:val="0"/>
          <w:sz w:val="24"/>
          <w:szCs w:val="24"/>
        </w:rPr>
      </w:pPr>
    </w:p>
    <w:p>
      <w:pPr>
        <w:adjustRightInd w:val="0"/>
        <w:snapToGrid w:val="0"/>
        <w:spacing w:line="440" w:lineRule="exact"/>
        <w:ind w:left="4672" w:leftChars="2320" w:hanging="9" w:hangingChars="4"/>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招标人：物资采购中心</w:t>
      </w:r>
    </w:p>
    <w:p>
      <w:pPr>
        <w:adjustRightInd w:val="0"/>
        <w:snapToGrid w:val="0"/>
        <w:spacing w:line="440" w:lineRule="exact"/>
        <w:ind w:left="4723" w:leftChars="2350"/>
        <w:rPr>
          <w:rFonts w:cs="Times New Roman" w:asciiTheme="minorEastAsia" w:hAnsiTheme="minorEastAsia"/>
          <w:color w:val="auto"/>
          <w:kern w:val="0"/>
          <w:sz w:val="24"/>
          <w:szCs w:val="24"/>
        </w:rPr>
      </w:pPr>
      <w:r>
        <w:rPr>
          <w:rFonts w:hint="eastAsia" w:cs="Times New Roman" w:asciiTheme="minorEastAsia" w:hAnsiTheme="minorEastAsia"/>
          <w:color w:val="auto"/>
          <w:kern w:val="0"/>
          <w:sz w:val="24"/>
          <w:szCs w:val="24"/>
        </w:rPr>
        <w:t xml:space="preserve"> 202</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年 </w:t>
      </w:r>
      <w:r>
        <w:rPr>
          <w:rFonts w:hint="eastAsia" w:cs="Times New Roman" w:asciiTheme="minorEastAsia" w:hAnsiTheme="minorEastAsia"/>
          <w:color w:val="auto"/>
          <w:kern w:val="0"/>
          <w:sz w:val="24"/>
          <w:szCs w:val="24"/>
          <w:lang w:val="en-US" w:eastAsia="zh-CN"/>
        </w:rPr>
        <w:t>1</w:t>
      </w:r>
      <w:r>
        <w:rPr>
          <w:rFonts w:hint="eastAsia" w:cs="Times New Roman" w:asciiTheme="minorEastAsia" w:hAnsiTheme="minorEastAsia"/>
          <w:color w:val="auto"/>
          <w:kern w:val="0"/>
          <w:sz w:val="24"/>
          <w:szCs w:val="24"/>
        </w:rPr>
        <w:t xml:space="preserve"> 月 </w:t>
      </w:r>
      <w:r>
        <w:rPr>
          <w:rFonts w:hint="eastAsia" w:cs="Times New Roman" w:asciiTheme="minorEastAsia" w:hAnsiTheme="minorEastAsia"/>
          <w:color w:val="auto"/>
          <w:kern w:val="0"/>
          <w:sz w:val="24"/>
          <w:szCs w:val="24"/>
          <w:lang w:val="en-US" w:eastAsia="zh-CN"/>
        </w:rPr>
        <w:t>6</w:t>
      </w:r>
      <w:r>
        <w:rPr>
          <w:rFonts w:hint="eastAsia" w:cs="Times New Roman" w:asciiTheme="minorEastAsia" w:hAnsiTheme="minorEastAsia"/>
          <w:color w:val="auto"/>
          <w:kern w:val="0"/>
          <w:sz w:val="24"/>
          <w:szCs w:val="24"/>
        </w:rPr>
        <w:t xml:space="preserve"> 日</w:t>
      </w:r>
    </w:p>
    <w:bookmarkEnd w:id="24"/>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cs="Times New Roman" w:asciiTheme="minorEastAsia" w:hAnsiTheme="minorEastAsia"/>
          <w:kern w:val="0"/>
          <w:sz w:val="24"/>
          <w:szCs w:val="24"/>
        </w:rPr>
        <w:sectPr>
          <w:headerReference r:id="rId3" w:type="default"/>
          <w:footerReference r:id="rId4" w:type="default"/>
          <w:pgSz w:w="11906" w:h="16838"/>
          <w:pgMar w:top="2098" w:right="1474" w:bottom="1985" w:left="1588" w:header="851" w:footer="992" w:gutter="0"/>
          <w:pgNumType w:start="1"/>
          <w:cols w:space="425" w:num="1"/>
          <w:docGrid w:type="linesAndChars" w:linePitch="579" w:charSpace="-1844"/>
        </w:sectPr>
      </w:pPr>
    </w:p>
    <w:p>
      <w:pPr>
        <w:pStyle w:val="2"/>
        <w:adjustRightInd w:val="0"/>
        <w:snapToGrid w:val="0"/>
        <w:spacing w:line="440" w:lineRule="exact"/>
        <w:jc w:val="center"/>
        <w:rPr>
          <w:rFonts w:ascii="黑体" w:hAnsi="黑体" w:eastAsia="黑体"/>
          <w:kern w:val="0"/>
          <w:sz w:val="32"/>
          <w:szCs w:val="32"/>
          <w:lang w:val="zh-CN"/>
        </w:rPr>
      </w:pPr>
      <w:bookmarkStart w:id="4" w:name="_Toc37172688"/>
      <w:bookmarkStart w:id="5" w:name="_Toc285612594"/>
      <w:bookmarkStart w:id="6" w:name="_Toc435540979"/>
      <w:bookmarkStart w:id="7" w:name="_Toc390713967"/>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一、</w:t>
      </w:r>
      <w:r>
        <w:rPr>
          <w:rFonts w:cs="Times New Roman" w:asciiTheme="minorEastAsia" w:hAnsiTheme="minorEastAsia"/>
          <w:b/>
          <w:kern w:val="0"/>
          <w:sz w:val="24"/>
          <w:szCs w:val="24"/>
        </w:rPr>
        <w:t>货物一览表</w:t>
      </w:r>
      <w:bookmarkStart w:id="8" w:name="_Toc285612596"/>
      <w:r>
        <w:rPr>
          <w:rFonts w:cs="Times New Roman" w:asciiTheme="minorEastAsia" w:hAnsiTheme="minorEastAsia"/>
          <w:b/>
          <w:kern w:val="0"/>
          <w:sz w:val="24"/>
          <w:szCs w:val="24"/>
        </w:rPr>
        <w:t>及技术</w:t>
      </w:r>
      <w:r>
        <w:rPr>
          <w:rFonts w:hint="eastAsia" w:cs="Times New Roman" w:asciiTheme="minorEastAsia" w:hAnsiTheme="minorEastAsia"/>
          <w:b/>
          <w:kern w:val="0"/>
          <w:sz w:val="24"/>
          <w:szCs w:val="24"/>
        </w:rPr>
        <w:t>要求</w:t>
      </w:r>
    </w:p>
    <w:tbl>
      <w:tblPr>
        <w:tblStyle w:val="17"/>
        <w:tblW w:w="4862" w:type="pct"/>
        <w:jc w:val="center"/>
        <w:tblLayout w:type="fixed"/>
        <w:tblCellMar>
          <w:top w:w="0" w:type="dxa"/>
          <w:left w:w="108" w:type="dxa"/>
          <w:bottom w:w="0" w:type="dxa"/>
          <w:right w:w="108" w:type="dxa"/>
        </w:tblCellMar>
      </w:tblPr>
      <w:tblGrid>
        <w:gridCol w:w="638"/>
        <w:gridCol w:w="2850"/>
        <w:gridCol w:w="906"/>
        <w:gridCol w:w="2421"/>
        <w:gridCol w:w="1059"/>
        <w:gridCol w:w="936"/>
      </w:tblGrid>
      <w:tr>
        <w:tblPrEx>
          <w:tblCellMar>
            <w:top w:w="0" w:type="dxa"/>
            <w:left w:w="108" w:type="dxa"/>
            <w:bottom w:w="0" w:type="dxa"/>
            <w:right w:w="108" w:type="dxa"/>
          </w:tblCellMar>
        </w:tblPrEx>
        <w:trPr>
          <w:trHeight w:val="76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285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物资名称</w:t>
            </w:r>
          </w:p>
        </w:tc>
        <w:tc>
          <w:tcPr>
            <w:tcW w:w="90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规格</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型号</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技术指标参数要求</w:t>
            </w:r>
          </w:p>
        </w:tc>
        <w:tc>
          <w:tcPr>
            <w:tcW w:w="1059"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计量</w:t>
            </w:r>
          </w:p>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936"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r>
      <w:tr>
        <w:tblPrEx>
          <w:tblCellMar>
            <w:top w:w="0" w:type="dxa"/>
            <w:left w:w="108" w:type="dxa"/>
            <w:bottom w:w="0" w:type="dxa"/>
            <w:right w:w="108" w:type="dxa"/>
          </w:tblCellMar>
        </w:tblPrEx>
        <w:trPr>
          <w:trHeight w:val="1225" w:hRule="exac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1</w:t>
            </w:r>
          </w:p>
        </w:tc>
        <w:tc>
          <w:tcPr>
            <w:tcW w:w="2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火线全功能战创伤模拟人</w:t>
            </w:r>
          </w:p>
        </w:tc>
        <w:tc>
          <w:tcPr>
            <w:tcW w:w="9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1095" w:hRule="exact"/>
          <w:jc w:val="center"/>
        </w:trPr>
        <w:tc>
          <w:tcPr>
            <w:tcW w:w="6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2</w:t>
            </w:r>
          </w:p>
        </w:tc>
        <w:tc>
          <w:tcPr>
            <w:tcW w:w="2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90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w:t>
            </w:r>
          </w:p>
        </w:tc>
        <w:tc>
          <w:tcPr>
            <w:tcW w:w="24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jc w:val="center"/>
              <w:rPr>
                <w:rFonts w:hint="eastAsia" w:ascii="宋体" w:hAnsi="宋体" w:eastAsia="宋体" w:cs="宋体"/>
                <w:kern w:val="0"/>
                <w:sz w:val="21"/>
                <w:szCs w:val="21"/>
              </w:rPr>
            </w:pPr>
            <w:r>
              <w:rPr>
                <w:rFonts w:hint="eastAsia" w:ascii="宋体" w:hAnsi="宋体" w:eastAsia="宋体" w:cs="宋体"/>
                <w:kern w:val="0"/>
                <w:sz w:val="21"/>
                <w:szCs w:val="21"/>
              </w:rPr>
              <w:t>详见下表</w:t>
            </w:r>
          </w:p>
        </w:tc>
        <w:tc>
          <w:tcPr>
            <w:tcW w:w="105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kern w:val="0"/>
                <w:sz w:val="21"/>
                <w:szCs w:val="21"/>
              </w:rPr>
            </w:pPr>
            <w:r>
              <w:rPr>
                <w:rFonts w:hint="eastAsia" w:ascii="宋体" w:hAnsi="宋体" w:eastAsia="宋体" w:cs="宋体"/>
                <w:sz w:val="21"/>
                <w:szCs w:val="21"/>
              </w:rPr>
              <w:t>套</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0"/>
                <w:szCs w:val="20"/>
                <w:u w:val="none"/>
                <w:lang w:val="en-US" w:eastAsia="zh-CN" w:bidi="ar"/>
              </w:rPr>
              <w:t>10</w:t>
            </w:r>
          </w:p>
        </w:tc>
      </w:tr>
      <w:bookmarkEnd w:id="8"/>
    </w:tbl>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cs="宋体"/>
          <w:bCs/>
          <w:kern w:val="0"/>
          <w:sz w:val="20"/>
          <w:szCs w:val="20"/>
        </w:rPr>
      </w:pPr>
    </w:p>
    <w:p>
      <w:pPr>
        <w:adjustRightInd w:val="0"/>
        <w:snapToGrid w:val="0"/>
        <w:spacing w:line="440" w:lineRule="exact"/>
        <w:jc w:val="center"/>
        <w:rPr>
          <w:rFonts w:ascii="宋体" w:hAnsi="宋体" w:cs="宋体"/>
          <w:bCs/>
          <w:kern w:val="0"/>
          <w:sz w:val="32"/>
          <w:szCs w:val="32"/>
        </w:rPr>
      </w:pPr>
      <w:r>
        <w:rPr>
          <w:rFonts w:hint="eastAsia" w:ascii="宋体" w:hAnsi="宋体" w:eastAsia="宋体" w:cs="宋体"/>
          <w:bCs/>
          <w:kern w:val="0"/>
          <w:sz w:val="32"/>
          <w:szCs w:val="32"/>
          <w:lang w:eastAsia="zh-CN"/>
        </w:rPr>
        <w:t>战创模型</w:t>
      </w:r>
      <w:r>
        <w:rPr>
          <w:rFonts w:hint="eastAsia" w:ascii="宋体" w:hAnsi="宋体" w:eastAsia="宋体" w:cs="宋体"/>
          <w:bCs/>
          <w:kern w:val="0"/>
          <w:sz w:val="32"/>
          <w:szCs w:val="32"/>
        </w:rPr>
        <w:t>技术要求</w:t>
      </w:r>
    </w:p>
    <w:tbl>
      <w:tblPr>
        <w:tblStyle w:val="17"/>
        <w:tblW w:w="9054" w:type="dxa"/>
        <w:tblInd w:w="209" w:type="dxa"/>
        <w:tblLayout w:type="fixed"/>
        <w:tblCellMar>
          <w:top w:w="0" w:type="dxa"/>
          <w:left w:w="108" w:type="dxa"/>
          <w:bottom w:w="0" w:type="dxa"/>
          <w:right w:w="108" w:type="dxa"/>
        </w:tblCellMar>
      </w:tblPr>
      <w:tblGrid>
        <w:gridCol w:w="434"/>
        <w:gridCol w:w="1490"/>
        <w:gridCol w:w="6270"/>
        <w:gridCol w:w="860"/>
      </w:tblGrid>
      <w:tr>
        <w:tblPrEx>
          <w:tblCellMar>
            <w:top w:w="0" w:type="dxa"/>
            <w:left w:w="108" w:type="dxa"/>
            <w:bottom w:w="0" w:type="dxa"/>
            <w:right w:w="108" w:type="dxa"/>
          </w:tblCellMar>
        </w:tblPrEx>
        <w:trPr>
          <w:trHeight w:val="369" w:hRule="atLeast"/>
        </w:trPr>
        <w:tc>
          <w:tcPr>
            <w:tcW w:w="4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9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i w:val="0"/>
                <w:color w:val="000000"/>
                <w:kern w:val="0"/>
                <w:sz w:val="21"/>
                <w:szCs w:val="21"/>
                <w:u w:val="none"/>
                <w:lang w:val="en-US" w:eastAsia="zh-CN" w:bidi="ar"/>
              </w:rPr>
              <w:t>设备名称</w:t>
            </w:r>
          </w:p>
        </w:tc>
        <w:tc>
          <w:tcPr>
            <w:tcW w:w="62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val="0"/>
                <w:kern w:val="0"/>
                <w:sz w:val="21"/>
                <w:szCs w:val="21"/>
              </w:rPr>
            </w:pPr>
            <w:r>
              <w:rPr>
                <w:rFonts w:hint="eastAsia" w:asciiTheme="minorEastAsia" w:hAnsiTheme="minorEastAsia" w:eastAsiaTheme="minorEastAsia" w:cstheme="minorEastAsia"/>
                <w:b/>
                <w:bCs w:val="0"/>
                <w:kern w:val="0"/>
                <w:sz w:val="21"/>
                <w:szCs w:val="21"/>
              </w:rPr>
              <w:t>技术参数和性能要求</w:t>
            </w:r>
          </w:p>
        </w:tc>
        <w:tc>
          <w:tcPr>
            <w:tcW w:w="8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宋体" w:cs="宋体"/>
                <w:b/>
                <w:bCs/>
                <w:kern w:val="0"/>
                <w:szCs w:val="21"/>
              </w:rPr>
            </w:pPr>
            <w:r>
              <w:rPr>
                <w:rFonts w:hint="eastAsia" w:ascii="宋体" w:hAnsi="宋体" w:eastAsia="宋体" w:cs="宋体"/>
                <w:b/>
                <w:bCs/>
                <w:kern w:val="0"/>
                <w:szCs w:val="21"/>
              </w:rPr>
              <w:t>备注　</w:t>
            </w:r>
          </w:p>
        </w:tc>
      </w:tr>
      <w:tr>
        <w:tblPrEx>
          <w:tblCellMar>
            <w:top w:w="0" w:type="dxa"/>
            <w:left w:w="108" w:type="dxa"/>
            <w:bottom w:w="0" w:type="dxa"/>
            <w:right w:w="108" w:type="dxa"/>
          </w:tblCellMar>
        </w:tblPrEx>
        <w:trPr>
          <w:trHeight w:val="389" w:hRule="atLeast"/>
        </w:trPr>
        <w:tc>
          <w:tcPr>
            <w:tcW w:w="434" w:type="dxa"/>
            <w:tcBorders>
              <w:top w:val="single" w:color="auto" w:sz="4" w:space="0"/>
              <w:left w:val="single" w:color="auto" w:sz="8"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1</w:t>
            </w:r>
          </w:p>
        </w:tc>
        <w:tc>
          <w:tcPr>
            <w:tcW w:w="149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火线全功能战创伤模拟人</w:t>
            </w:r>
          </w:p>
        </w:tc>
        <w:tc>
          <w:tcPr>
            <w:tcW w:w="62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★1.可进行野外拖拽、搬运、翻滚、洗消、开放气道、插管(口咽、鼻咽、气管插管）、通气、吸痰等训练，扪及动脉搏动，正确通气可见胸部起伏，过度通气可致胃胀气，有反馈；</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★2.抗干扰无线触控式平板控制，续航时长≥8小时，可添加学员信息、预设关键批注、根据需求编辑病例，也可以设定和听诊多种呼吸道音；</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★3.可进行止血、包扎训练，内置血槽，自动记录血量，感应到止血压力后自动止血并自动记录（综合伤口模块≥20个）。</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★4.可使用临床真实除颤仪进行电复律及电除颤训练，有反馈；</w:t>
            </w:r>
          </w:p>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配置监护仪，对体温、心电图等多种参数进行实时监护；</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6.进行CPR训练时,可将按压频率、按压深度、胸部回弹、按压中断、通气频率、通气效果以动态图形显示，可设置提示音（音量可调节）；</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b w:val="0"/>
                <w:bCs w:val="0"/>
                <w:kern w:val="0"/>
                <w:szCs w:val="21"/>
                <w:lang w:eastAsia="zh-CN"/>
              </w:rPr>
              <w:t>需提供样品</w:t>
            </w: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181" w:hRule="atLeast"/>
        </w:trPr>
        <w:tc>
          <w:tcPr>
            <w:tcW w:w="434" w:type="dxa"/>
            <w:tcBorders>
              <w:top w:val="single" w:color="auto" w:sz="4" w:space="0"/>
              <w:left w:val="single" w:color="auto" w:sz="8" w:space="0"/>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kern w:val="0"/>
                <w:szCs w:val="21"/>
              </w:rPr>
            </w:pPr>
            <w:r>
              <w:rPr>
                <w:rFonts w:hint="eastAsia" w:ascii="宋体" w:hAnsi="宋体" w:eastAsia="宋体" w:cs="宋体"/>
                <w:i w:val="0"/>
                <w:color w:val="000000"/>
                <w:kern w:val="0"/>
                <w:sz w:val="20"/>
                <w:szCs w:val="20"/>
                <w:u w:val="none"/>
                <w:lang w:val="en-US" w:eastAsia="zh-CN" w:bidi="ar"/>
              </w:rPr>
              <w:t>2</w:t>
            </w:r>
          </w:p>
        </w:tc>
        <w:tc>
          <w:tcPr>
            <w:tcW w:w="149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suppressLineNumbers w:val="0"/>
              <w:jc w:val="center"/>
              <w:textAlignment w:val="center"/>
              <w:rPr>
                <w:rFonts w:ascii="宋体" w:hAnsi="宋体" w:eastAsia="宋体" w:cs="宋体"/>
                <w:color w:val="000000"/>
                <w:kern w:val="0"/>
                <w:szCs w:val="21"/>
              </w:rPr>
            </w:pPr>
            <w:r>
              <w:rPr>
                <w:rFonts w:hint="eastAsia" w:ascii="宋体" w:hAnsi="宋体" w:eastAsia="宋体" w:cs="宋体"/>
                <w:i w:val="0"/>
                <w:color w:val="000000"/>
                <w:kern w:val="0"/>
                <w:sz w:val="20"/>
                <w:szCs w:val="20"/>
                <w:u w:val="none"/>
                <w:lang w:val="en-US" w:eastAsia="zh-CN" w:bidi="ar"/>
              </w:rPr>
              <w:t>战创伤穿戴式环甲膜穿刺训练模型</w:t>
            </w:r>
          </w:p>
        </w:tc>
        <w:tc>
          <w:tcPr>
            <w:tcW w:w="6270" w:type="dxa"/>
            <w:tcBorders>
              <w:top w:val="single" w:color="auto" w:sz="4" w:space="0"/>
              <w:left w:val="nil"/>
              <w:bottom w:val="single" w:color="auto" w:sz="4" w:space="0"/>
              <w:right w:val="single" w:color="auto" w:sz="4" w:space="0"/>
            </w:tcBorders>
            <w:shd w:val="clear" w:color="000000" w:fill="auto"/>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解剖结构准确，穿戴式，包含环甲膜基座、环甲膜、环状软骨及甲状软骨结构，可进行环甲膜外科切开及环甲膜穿刺训练；</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★2.配有≧3个穿戴式皮肤，≧50个模拟环甲膜，具有出血型皮肤，切开组织及置管可有血液流出；</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★3.穿刺有落空感，成功后，可置入气道导管进行通气，含≧5套环甲膜外科组合工具。</w:t>
            </w:r>
          </w:p>
          <w:p>
            <w:pPr>
              <w:keepNext w:val="0"/>
              <w:keepLines w:val="0"/>
              <w:widowControl/>
              <w:numPr>
                <w:ilvl w:val="0"/>
                <w:numId w:val="0"/>
              </w:numPr>
              <w:suppressLineNumbers w:val="0"/>
              <w:jc w:val="left"/>
              <w:textAlignment w:val="center"/>
              <w:rPr>
                <w:rFonts w:ascii="宋体" w:hAnsi="宋体" w:eastAsia="宋体" w:cs="宋体"/>
                <w:szCs w:val="21"/>
              </w:rPr>
            </w:pPr>
            <w:r>
              <w:rPr>
                <w:rFonts w:hint="eastAsia" w:ascii="宋体" w:hAnsi="宋体" w:eastAsia="宋体" w:cs="宋体"/>
                <w:i w:val="0"/>
                <w:color w:val="000000"/>
                <w:kern w:val="0"/>
                <w:sz w:val="22"/>
                <w:szCs w:val="22"/>
                <w:u w:val="none"/>
                <w:lang w:val="en-US" w:eastAsia="zh-CN" w:bidi="ar"/>
              </w:rPr>
              <w:t>4.配有TCCC使用教学视频。</w:t>
            </w:r>
          </w:p>
        </w:tc>
        <w:tc>
          <w:tcPr>
            <w:tcW w:w="860" w:type="dxa"/>
            <w:tcBorders>
              <w:top w:val="single" w:color="auto" w:sz="4" w:space="0"/>
              <w:left w:val="nil"/>
              <w:bottom w:val="single" w:color="auto" w:sz="4" w:space="0"/>
              <w:right w:val="single" w:color="auto" w:sz="8" w:space="0"/>
            </w:tcBorders>
            <w:shd w:val="clear" w:color="000000" w:fill="auto"/>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75" w:hRule="atLeast"/>
        </w:trPr>
        <w:tc>
          <w:tcPr>
            <w:tcW w:w="1924"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center"/>
              <w:rPr>
                <w:rFonts w:hint="eastAsia" w:ascii="宋体" w:hAnsi="宋体" w:eastAsia="宋体" w:cs="宋体"/>
                <w:b/>
                <w:bCs/>
                <w:kern w:val="0"/>
                <w:szCs w:val="21"/>
              </w:rPr>
            </w:pPr>
            <w:r>
              <w:rPr>
                <w:rFonts w:hint="eastAsia" w:ascii="宋体" w:hAnsi="宋体" w:eastAsia="宋体" w:cs="宋体"/>
                <w:b/>
                <w:bCs/>
                <w:kern w:val="0"/>
                <w:szCs w:val="21"/>
              </w:rPr>
              <w:t>售后服务</w:t>
            </w:r>
          </w:p>
        </w:tc>
        <w:tc>
          <w:tcPr>
            <w:tcW w:w="7130" w:type="dxa"/>
            <w:gridSpan w:val="2"/>
            <w:tcBorders>
              <w:top w:val="nil"/>
              <w:left w:val="single" w:color="auto" w:sz="8" w:space="0"/>
              <w:bottom w:val="single" w:color="auto" w:sz="4" w:space="0"/>
              <w:right w:val="single" w:color="auto" w:sz="8" w:space="0"/>
            </w:tcBorders>
            <w:vAlign w:val="center"/>
          </w:tcPr>
          <w:p>
            <w:pPr>
              <w:widowControl/>
              <w:adjustRightInd w:val="0"/>
              <w:snapToGrid w:val="0"/>
              <w:jc w:val="both"/>
              <w:rPr>
                <w:rFonts w:hint="eastAsia" w:ascii="宋体" w:hAnsi="宋体" w:eastAsia="宋体" w:cs="宋体"/>
                <w:b/>
                <w:bCs/>
                <w:kern w:val="0"/>
                <w:szCs w:val="21"/>
                <w:lang w:eastAsia="zh-CN"/>
              </w:rPr>
            </w:pPr>
            <w:r>
              <w:rPr>
                <w:rFonts w:hint="eastAsia" w:ascii="宋体" w:hAnsi="宋体" w:eastAsia="宋体" w:cs="宋体"/>
                <w:b/>
                <w:bCs/>
                <w:kern w:val="0"/>
                <w:szCs w:val="21"/>
                <w:lang w:eastAsia="zh-CN"/>
              </w:rPr>
              <w:t>要求</w:t>
            </w:r>
          </w:p>
        </w:tc>
      </w:tr>
      <w:tr>
        <w:tblPrEx>
          <w:tblCellMar>
            <w:top w:w="0" w:type="dxa"/>
            <w:left w:w="108" w:type="dxa"/>
            <w:bottom w:w="0" w:type="dxa"/>
            <w:right w:w="108" w:type="dxa"/>
          </w:tblCellMar>
        </w:tblPrEx>
        <w:trPr>
          <w:trHeight w:val="69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1</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保修年限</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≥3年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9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出现故障回应时间</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维修到达现场时间≤ 6小时（本地）</w:t>
            </w:r>
            <w:r>
              <w:rPr>
                <w:rFonts w:hint="eastAsia" w:ascii="宋体" w:hAnsi="宋体" w:eastAsia="宋体" w:cs="宋体"/>
                <w:kern w:val="0"/>
                <w:szCs w:val="21"/>
              </w:rPr>
              <w:br w:type="textWrapping"/>
            </w:r>
            <w:r>
              <w:rPr>
                <w:rFonts w:hint="eastAsia" w:ascii="宋体" w:hAnsi="宋体" w:eastAsia="宋体" w:cs="宋体"/>
                <w:kern w:val="0"/>
                <w:szCs w:val="21"/>
              </w:rPr>
              <w:t>维修到达现场时间≤</w:t>
            </w:r>
            <w:r>
              <w:rPr>
                <w:rFonts w:hint="eastAsia" w:ascii="宋体" w:hAnsi="宋体" w:eastAsia="宋体" w:cs="宋体"/>
                <w:kern w:val="0"/>
                <w:szCs w:val="21"/>
                <w:lang w:val="en-US" w:eastAsia="zh-CN"/>
              </w:rPr>
              <w:t>72</w:t>
            </w:r>
            <w:r>
              <w:rPr>
                <w:rFonts w:hint="eastAsia" w:ascii="宋体" w:hAnsi="宋体" w:eastAsia="宋体" w:cs="宋体"/>
                <w:kern w:val="0"/>
                <w:szCs w:val="21"/>
              </w:rPr>
              <w:t>小时（外地）</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62"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3</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配件供应时间≥</w:t>
            </w:r>
            <w:r>
              <w:rPr>
                <w:rFonts w:hint="eastAsia" w:ascii="宋体" w:hAnsi="宋体" w:eastAsia="宋体" w:cs="宋体"/>
                <w:kern w:val="0"/>
                <w:szCs w:val="21"/>
                <w:lang w:val="en-US" w:eastAsia="zh-CN"/>
              </w:rPr>
              <w:t>5</w:t>
            </w:r>
            <w:r>
              <w:rPr>
                <w:rFonts w:hint="eastAsia" w:ascii="宋体" w:hAnsi="宋体" w:eastAsia="宋体" w:cs="宋体"/>
                <w:kern w:val="0"/>
                <w:szCs w:val="21"/>
              </w:rPr>
              <w:t>年</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26" w:hRule="atLeast"/>
        </w:trPr>
        <w:tc>
          <w:tcPr>
            <w:tcW w:w="434"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4</w:t>
            </w:r>
          </w:p>
        </w:tc>
        <w:tc>
          <w:tcPr>
            <w:tcW w:w="1490"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耗材及零配件</w:t>
            </w:r>
          </w:p>
        </w:tc>
        <w:tc>
          <w:tcPr>
            <w:tcW w:w="6270" w:type="dxa"/>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提供耗材及主要零配件目录（含报价）</w:t>
            </w:r>
          </w:p>
        </w:tc>
        <w:tc>
          <w:tcPr>
            <w:tcW w:w="860" w:type="dxa"/>
            <w:tcBorders>
              <w:top w:val="single" w:color="auto" w:sz="4" w:space="0"/>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18"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维修资料</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val="en-US" w:eastAsia="zh-CN"/>
              </w:rPr>
            </w:pPr>
            <w:r>
              <w:rPr>
                <w:rFonts w:hint="eastAsia" w:ascii="宋体" w:hAnsi="宋体" w:eastAsia="宋体" w:cs="宋体"/>
                <w:kern w:val="0"/>
                <w:szCs w:val="21"/>
              </w:rPr>
              <w:t>提供</w:t>
            </w:r>
            <w:r>
              <w:rPr>
                <w:rFonts w:hint="eastAsia" w:ascii="宋体" w:hAnsi="宋体" w:eastAsia="宋体" w:cs="宋体"/>
                <w:kern w:val="0"/>
                <w:szCs w:val="21"/>
                <w:lang w:eastAsia="zh-CN"/>
              </w:rPr>
              <w:t>维修手册或光盘</w:t>
            </w:r>
            <w:r>
              <w:rPr>
                <w:rFonts w:hint="eastAsia" w:ascii="宋体" w:hAnsi="宋体" w:eastAsia="宋体" w:cs="宋体"/>
                <w:kern w:val="0"/>
                <w:szCs w:val="21"/>
              </w:rPr>
              <w:t>≥</w:t>
            </w:r>
            <w:r>
              <w:rPr>
                <w:rFonts w:hint="eastAsia" w:ascii="宋体" w:hAnsi="宋体" w:eastAsia="宋体" w:cs="宋体"/>
                <w:kern w:val="0"/>
                <w:szCs w:val="21"/>
                <w:lang w:val="en-US" w:eastAsia="zh-CN"/>
              </w:rPr>
              <w:t>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56"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维修工具</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提供维修专用工具1套</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835"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7</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预防性维修</w:t>
            </w:r>
            <w:r>
              <w:rPr>
                <w:rFonts w:hint="eastAsia" w:ascii="宋体" w:hAnsi="宋体" w:eastAsia="宋体" w:cs="宋体"/>
                <w:kern w:val="0"/>
                <w:szCs w:val="21"/>
              </w:rPr>
              <w:br w:type="textWrapping"/>
            </w:r>
            <w:r>
              <w:rPr>
                <w:rFonts w:hint="eastAsia" w:ascii="宋体" w:hAnsi="宋体" w:eastAsia="宋体" w:cs="宋体"/>
                <w:kern w:val="0"/>
                <w:szCs w:val="21"/>
              </w:rPr>
              <w:t>/定期维护保养</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保修期内</w:t>
            </w:r>
            <w:r>
              <w:rPr>
                <w:rFonts w:hint="eastAsia" w:ascii="宋体" w:hAnsi="宋体" w:eastAsia="宋体" w:cs="宋体"/>
                <w:kern w:val="0"/>
                <w:szCs w:val="21"/>
                <w:lang w:eastAsia="zh-CN"/>
              </w:rPr>
              <w:t>按维修手册要求</w:t>
            </w:r>
            <w:r>
              <w:rPr>
                <w:rFonts w:hint="eastAsia" w:ascii="宋体" w:hAnsi="宋体" w:eastAsia="宋体" w:cs="宋体"/>
                <w:kern w:val="0"/>
                <w:szCs w:val="21"/>
              </w:rPr>
              <w:t>提供定期维护保养服务</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484"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8</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维修密码支持</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开放</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55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9</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升级</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eastAsia="宋体" w:cs="宋体"/>
                <w:kern w:val="0"/>
                <w:szCs w:val="21"/>
              </w:rPr>
            </w:pPr>
            <w:r>
              <w:rPr>
                <w:rFonts w:hint="eastAsia" w:ascii="宋体" w:hAnsi="宋体" w:eastAsia="宋体" w:cs="宋体"/>
                <w:kern w:val="0"/>
                <w:szCs w:val="21"/>
              </w:rPr>
              <w:t>终身免费软件升级</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630" w:hRule="atLeast"/>
        </w:trPr>
        <w:tc>
          <w:tcPr>
            <w:tcW w:w="434" w:type="dxa"/>
            <w:tcBorders>
              <w:top w:val="nil"/>
              <w:left w:val="single" w:color="auto" w:sz="8" w:space="0"/>
              <w:bottom w:val="single" w:color="auto" w:sz="4" w:space="0"/>
              <w:right w:val="single" w:color="auto" w:sz="4" w:space="0"/>
            </w:tcBorders>
            <w:vAlign w:val="center"/>
          </w:tcPr>
          <w:p>
            <w:pPr>
              <w:widowControl/>
              <w:adjustRightInd w:val="0"/>
              <w:snapToGrid w:val="0"/>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10</w:t>
            </w:r>
          </w:p>
        </w:tc>
        <w:tc>
          <w:tcPr>
            <w:tcW w:w="1490" w:type="dxa"/>
            <w:tcBorders>
              <w:top w:val="nil"/>
              <w:left w:val="nil"/>
              <w:bottom w:val="single" w:color="auto" w:sz="4" w:space="0"/>
              <w:right w:val="single" w:color="auto" w:sz="4"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使用培训</w:t>
            </w:r>
          </w:p>
        </w:tc>
        <w:tc>
          <w:tcPr>
            <w:tcW w:w="6270" w:type="dxa"/>
            <w:tcBorders>
              <w:top w:val="nil"/>
              <w:left w:val="nil"/>
              <w:bottom w:val="single" w:color="auto" w:sz="4" w:space="0"/>
              <w:right w:val="single" w:color="auto" w:sz="4" w:space="0"/>
            </w:tcBorders>
            <w:vAlign w:val="center"/>
          </w:tcPr>
          <w:p>
            <w:pPr>
              <w:widowControl/>
              <w:adjustRightInd w:val="0"/>
              <w:snapToGrid w:val="0"/>
              <w:jc w:val="left"/>
              <w:rPr>
                <w:rFonts w:hint="eastAsia" w:ascii="宋体" w:hAnsi="宋体" w:eastAsia="宋体" w:cs="宋体"/>
                <w:kern w:val="0"/>
                <w:szCs w:val="21"/>
                <w:lang w:eastAsia="zh-CN"/>
              </w:rPr>
            </w:pPr>
            <w:r>
              <w:rPr>
                <w:rFonts w:hint="eastAsia" w:ascii="宋体" w:hAnsi="宋体" w:eastAsia="宋体" w:cs="宋体"/>
                <w:kern w:val="0"/>
                <w:szCs w:val="21"/>
              </w:rPr>
              <w:t>支持</w:t>
            </w:r>
            <w:r>
              <w:rPr>
                <w:rFonts w:hint="eastAsia" w:ascii="宋体" w:hAnsi="宋体" w:eastAsia="宋体" w:cs="宋体"/>
                <w:kern w:val="0"/>
                <w:szCs w:val="21"/>
                <w:lang w:eastAsia="zh-CN"/>
              </w:rPr>
              <w:t>免费培训</w:t>
            </w:r>
          </w:p>
        </w:tc>
        <w:tc>
          <w:tcPr>
            <w:tcW w:w="860" w:type="dxa"/>
            <w:tcBorders>
              <w:top w:val="nil"/>
              <w:left w:val="nil"/>
              <w:bottom w:val="single" w:color="auto" w:sz="4" w:space="0"/>
              <w:right w:val="single" w:color="auto" w:sz="8" w:space="0"/>
            </w:tcBorders>
            <w:vAlign w:val="center"/>
          </w:tcPr>
          <w:p>
            <w:pPr>
              <w:widowControl/>
              <w:adjustRightInd w:val="0"/>
              <w:snapToGrid w:val="0"/>
              <w:jc w:val="center"/>
              <w:rPr>
                <w:rFonts w:ascii="宋体" w:hAnsi="宋体" w:eastAsia="宋体" w:cs="宋体"/>
                <w:kern w:val="0"/>
                <w:szCs w:val="21"/>
              </w:rPr>
            </w:pPr>
            <w:r>
              <w:rPr>
                <w:rFonts w:hint="eastAsia" w:ascii="宋体" w:hAnsi="宋体" w:eastAsia="宋体" w:cs="宋体"/>
                <w:kern w:val="0"/>
                <w:szCs w:val="21"/>
              </w:rPr>
              <w:t>　</w:t>
            </w:r>
          </w:p>
        </w:tc>
      </w:tr>
    </w:tbl>
    <w:p>
      <w:pPr>
        <w:adjustRightInd w:val="0"/>
        <w:snapToGrid w:val="0"/>
        <w:spacing w:line="440" w:lineRule="exact"/>
        <w:ind w:firstLine="339" w:firstLineChars="147"/>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标记（有1项不满足即按无效投标处理），重要指标参数以▲标记，一般技术指标参数不作标记。投标人须提供技术支持资料</w:t>
      </w:r>
      <w:r>
        <w:rPr>
          <w:rFonts w:hint="eastAsia" w:cs="Times New Roman" w:asciiTheme="minorEastAsia" w:hAnsiTheme="minorEastAsia"/>
          <w:kern w:val="0"/>
          <w:sz w:val="24"/>
          <w:szCs w:val="24"/>
        </w:rPr>
        <w:t>，包括制造商公开发布的资料（含制造商出具的产品规格表或检测机构出具的检测报告）。</w:t>
      </w:r>
    </w:p>
    <w:p>
      <w:pPr>
        <w:adjustRightInd w:val="0"/>
        <w:snapToGrid w:val="0"/>
        <w:spacing w:line="440" w:lineRule="exact"/>
        <w:ind w:firstLine="462" w:firstLineChars="200"/>
        <w:rPr>
          <w:rFonts w:cs="Times New Roman" w:asciiTheme="minorEastAsia" w:hAnsiTheme="minorEastAsia"/>
          <w:b/>
          <w:kern w:val="0"/>
          <w:sz w:val="24"/>
          <w:szCs w:val="24"/>
        </w:rPr>
      </w:pPr>
      <w:r>
        <w:rPr>
          <w:rFonts w:hint="eastAsia" w:cs="Times New Roman" w:asciiTheme="minorEastAsia" w:hAnsiTheme="minorEastAsia"/>
          <w:b/>
          <w:kern w:val="0"/>
          <w:sz w:val="24"/>
          <w:szCs w:val="24"/>
        </w:rPr>
        <w:t>二、</w:t>
      </w:r>
      <w:r>
        <w:rPr>
          <w:rFonts w:cs="Times New Roman" w:asciiTheme="minorEastAsia" w:hAnsiTheme="minorEastAsia"/>
          <w:b/>
          <w:kern w:val="0"/>
          <w:sz w:val="24"/>
          <w:szCs w:val="24"/>
        </w:rPr>
        <w:t>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（一）交货时间：</w:t>
      </w:r>
      <w:r>
        <w:rPr>
          <w:rFonts w:hint="eastAsia" w:cs="Times New Roman" w:asciiTheme="minorEastAsia" w:hAnsiTheme="minorEastAsia"/>
          <w:kern w:val="0"/>
          <w:sz w:val="24"/>
          <w:szCs w:val="24"/>
          <w:u w:val="single"/>
        </w:rPr>
        <w:t>中标人应在采购合同签订后90个日历日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（二）</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售后服务</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保修期：自验收合格之日起，整机免费保修期至少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4 </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lang w:val="en-US" w:eastAsia="zh-CN"/>
        </w:rPr>
        <w:t>72</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5.软件升级：终身免费升级</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6.凡涉及与我院HIS、LIS、PACS、电生理系统、病理信息系统等系统连接的设备，要求具有标准数字接口，若投标产品没有匹配的接口，由中标供应商负责改造并承担相应费用。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7.所有设备应在投标/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8.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9.</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10.若此次招标设备需配套使用耗材（试剂），耗材（试剂）需要一并进行报价，视情纳入计算经济分。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★（三）</w:t>
      </w:r>
      <w:r>
        <w:rPr>
          <w:rFonts w:hint="eastAsia" w:cs="Times New Roman" w:asciiTheme="minorEastAsia" w:hAnsiTheme="minorEastAsia"/>
          <w:kern w:val="0"/>
          <w:sz w:val="24"/>
          <w:szCs w:val="24"/>
        </w:rPr>
        <w:t>专利权和保密要求</w:t>
      </w:r>
      <w:r>
        <w:rPr>
          <w:rFonts w:hint="eastAsia" w:asciiTheme="minorEastAsia" w:hAnsiTheme="minorEastAsia"/>
          <w:sz w:val="24"/>
          <w:szCs w:val="24"/>
        </w:rPr>
        <w:t>（招标文件实质性条款，投标文件中需承诺）</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投标人应保证使用方在使用该货物或其任何一部分时，不受第三方侵权指控。同时，投标人不得向第三方泄露招标人提供的技术文件等资料。</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p>
    <w:p>
      <w:pPr>
        <w:adjustRightInd w:val="0"/>
        <w:snapToGrid w:val="0"/>
        <w:spacing w:line="440" w:lineRule="exact"/>
        <w:ind w:firstLine="462" w:firstLineChars="200"/>
        <w:rPr>
          <w:rFonts w:cs="Times New Roman" w:asciiTheme="minorEastAsia" w:hAnsiTheme="minorEastAsia"/>
          <w:b/>
          <w:kern w:val="0"/>
          <w:sz w:val="24"/>
          <w:szCs w:val="24"/>
        </w:rPr>
        <w:sectPr>
          <w:headerReference r:id="rId5" w:type="default"/>
          <w:footerReference r:id="rId6" w:type="default"/>
          <w:pgSz w:w="11906" w:h="16838"/>
          <w:pgMar w:top="2098" w:right="1474" w:bottom="1985" w:left="1588" w:header="851" w:footer="992" w:gutter="0"/>
          <w:cols w:space="425" w:num="1"/>
          <w:docGrid w:type="linesAndChars" w:linePitch="579" w:charSpace="-1844"/>
        </w:sectPr>
      </w:pPr>
    </w:p>
    <w:p>
      <w:pPr>
        <w:autoSpaceDE w:val="0"/>
        <w:autoSpaceDN w:val="0"/>
        <w:adjustRightInd w:val="0"/>
        <w:snapToGrid w:val="0"/>
        <w:spacing w:line="440" w:lineRule="exact"/>
        <w:jc w:val="center"/>
        <w:outlineLvl w:val="0"/>
        <w:rPr>
          <w:rFonts w:ascii="黑体" w:hAnsi="黑体" w:eastAsia="黑体" w:cs="Times New Roman"/>
          <w:kern w:val="0"/>
          <w:sz w:val="32"/>
          <w:szCs w:val="32"/>
        </w:rPr>
      </w:pPr>
      <w:bookmarkStart w:id="9" w:name="_Toc240432230"/>
      <w:bookmarkStart w:id="10" w:name="_Toc435540980"/>
      <w:bookmarkStart w:id="11" w:name="_Toc37172689"/>
      <w:bookmarkStart w:id="12" w:name="_Toc390713968"/>
      <w:bookmarkStart w:id="13" w:name="_Toc285612601"/>
      <w:r>
        <w:rPr>
          <w:rFonts w:hint="eastAsia" w:ascii="黑体" w:hAnsi="黑体" w:eastAsia="黑体" w:cs="Times New Roman"/>
          <w:kern w:val="0"/>
          <w:sz w:val="32"/>
          <w:szCs w:val="32"/>
        </w:rPr>
        <w:t xml:space="preserve">第三部分  </w:t>
      </w:r>
      <w:r>
        <w:rPr>
          <w:rFonts w:hint="eastAsia" w:ascii="黑体" w:hAnsi="黑体" w:eastAsia="黑体" w:cs="Times New Roman"/>
          <w:kern w:val="0"/>
          <w:sz w:val="32"/>
          <w:szCs w:val="32"/>
          <w:lang w:val="zh-CN"/>
        </w:rPr>
        <w:t>投标人</w:t>
      </w:r>
      <w:r>
        <w:rPr>
          <w:rFonts w:hint="eastAsia" w:ascii="黑体" w:hAnsi="黑体" w:eastAsia="黑体" w:cs="Times New Roman"/>
          <w:kern w:val="0"/>
          <w:sz w:val="32"/>
          <w:szCs w:val="32"/>
        </w:rPr>
        <w:t>须知</w:t>
      </w:r>
      <w:bookmarkEnd w:id="9"/>
      <w:bookmarkEnd w:id="10"/>
      <w:bookmarkEnd w:id="11"/>
      <w:bookmarkEnd w:id="12"/>
      <w:bookmarkEnd w:id="13"/>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说</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明</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（一）概述</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snapToGrid w:val="0"/>
          <w:kern w:val="0"/>
          <w:sz w:val="24"/>
          <w:szCs w:val="24"/>
          <w:lang w:val="zh-CN"/>
        </w:rPr>
        <w:t>本招标文件仅适用于《招标公告》中所述的采购项目；</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rPr>
        <w:t>2.</w:t>
      </w:r>
      <w:r>
        <w:rPr>
          <w:rFonts w:hint="eastAsia" w:asciiTheme="minorEastAsia" w:hAnsiTheme="minor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（二）定义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1.“采购项目”系指本招标文件描述的所需采购的货物和相关服务；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2.“招标人”系指组织本次招标的</w:t>
      </w:r>
      <w:r>
        <w:rPr>
          <w:rFonts w:hint="eastAsia" w:cs="Times New Roman" w:asciiTheme="minorEastAsia" w:hAnsiTheme="minorEastAsia"/>
          <w:snapToGrid w:val="0"/>
          <w:kern w:val="0"/>
          <w:sz w:val="24"/>
          <w:szCs w:val="24"/>
          <w:u w:val="single"/>
          <w:lang w:val="zh-CN"/>
        </w:rPr>
        <w:t xml:space="preserve">  物资采购中心  </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3.“投标人”系指从招标人按规定获取招标文件，并提交投标文件的供应商；</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4.“中标人”系指经过招标评审，授予合同的投标人；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5.“货物”系指中标人按招标文件规定，所提供的各种形态和种类的物品，包括设备、产品、备品备件、工具、手册等；</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6.“服务”系指中标人按招标文件规定，必须承担的运输、安装、调试、技术协助、培训、维修、配件供应等义务。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（三）合格的投标人</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1.能够遵守国家和军队的有关法律、法规和本次招标的有关规定；</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2.符合《招标公告》所述投标人的资格要求和特定资格条件；</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3.能够承担投标及履约中应承担的全部责任与义务。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（四）合格的货物和相关服务</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 xml:space="preserve">1.投标人对所提供的货物应当享有合法的所有权，没有侵犯任何第三方的知识产权、技术秘密等权利，而且不存在任何抵押、留置、查封等产权瑕疵； </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2.投标人提供的货物必须是全新的、未使用过的，货物和相关服务应当符合招标文件要求。</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（五）投标委托</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如投标人代表不是法定代表人，须持有《法定代表人授权书》（</w:t>
      </w:r>
      <w:r>
        <w:rPr>
          <w:rFonts w:hint="eastAsia" w:cs="Times New Roman" w:asciiTheme="minorEastAsia" w:hAnsiTheme="minorEastAsia"/>
          <w:kern w:val="0"/>
          <w:sz w:val="24"/>
          <w:szCs w:val="24"/>
          <w:lang w:val="zh-CN"/>
        </w:rPr>
        <w:t>附件17</w:t>
      </w:r>
      <w:r>
        <w:rPr>
          <w:rFonts w:hint="eastAsia" w:cs="Times New Roman" w:asciiTheme="minorEastAsia" w:hAnsiTheme="minorEastAsia"/>
          <w:snapToGrid w:val="0"/>
          <w:kern w:val="0"/>
          <w:sz w:val="24"/>
          <w:szCs w:val="24"/>
          <w:lang w:val="zh-CN"/>
        </w:rPr>
        <w:t>）。</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十二个月 </w:t>
      </w:r>
      <w:r>
        <w:rPr>
          <w:rFonts w:hint="eastAsia" w:cs="Times New Roman" w:asciiTheme="minorEastAsia" w:hAnsiTheme="minorEastAsia"/>
          <w:kern w:val="0"/>
          <w:sz w:val="24"/>
          <w:szCs w:val="24"/>
        </w:rPr>
        <w:t>正常使用且无质量问题时，一次性结清。</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（七）投标费用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不论投标结果如何，投标人均应自行承担与投标有关的全部费用。</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（八）信息发布</w:t>
      </w:r>
    </w:p>
    <w:p>
      <w:pPr>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本采购项目需要公开的有关信息，招标人均通过《招标网》（</w:t>
      </w:r>
      <w:r>
        <w:rPr>
          <w:rFonts w:hint="eastAsia" w:cs="Times New Roman" w:asciiTheme="minorEastAsia" w:hAnsiTheme="minorEastAsia"/>
          <w:snapToGrid w:val="0"/>
          <w:kern w:val="0"/>
          <w:sz w:val="24"/>
          <w:szCs w:val="24"/>
          <w:lang w:val="zh-CN"/>
        </w:rPr>
        <w:fldChar w:fldCharType="begin"/>
      </w:r>
      <w:r>
        <w:rPr>
          <w:rFonts w:hint="eastAsia" w:cs="Times New Roman" w:asciiTheme="minorEastAsia" w:hAnsiTheme="minorEastAsia"/>
          <w:snapToGrid w:val="0"/>
          <w:kern w:val="0"/>
          <w:sz w:val="24"/>
          <w:szCs w:val="24"/>
          <w:lang w:val="zh-CN"/>
        </w:rPr>
        <w:instrText xml:space="preserve"> HYPERLINK "http://www.zhaobiao.cn" </w:instrText>
      </w:r>
      <w:r>
        <w:rPr>
          <w:rFonts w:hint="eastAsia" w:cs="Times New Roman" w:asciiTheme="minorEastAsia" w:hAnsiTheme="minorEastAsia"/>
          <w:snapToGrid w:val="0"/>
          <w:kern w:val="0"/>
          <w:sz w:val="24"/>
          <w:szCs w:val="24"/>
          <w:lang w:val="zh-CN"/>
        </w:rPr>
        <w:fldChar w:fldCharType="separate"/>
      </w:r>
      <w:r>
        <w:rPr>
          <w:rFonts w:hint="eastAsia" w:cs="Times New Roman" w:asciiTheme="minorEastAsia" w:hAnsiTheme="minorEastAsia"/>
          <w:snapToGrid w:val="0"/>
          <w:kern w:val="0"/>
          <w:sz w:val="24"/>
          <w:szCs w:val="24"/>
          <w:lang w:val="zh-CN"/>
        </w:rPr>
        <w:t>www.zhaobiao.cn</w:t>
      </w:r>
      <w:r>
        <w:rPr>
          <w:rFonts w:hint="eastAsia" w:cs="Times New Roman" w:asciiTheme="minorEastAsia" w:hAnsiTheme="minorEastAsia"/>
          <w:snapToGrid w:val="0"/>
          <w:kern w:val="0"/>
          <w:sz w:val="24"/>
          <w:szCs w:val="24"/>
          <w:lang w:val="zh-CN"/>
        </w:rPr>
        <w:fldChar w:fldCharType="end"/>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w:t>
      </w:r>
      <w:r>
        <w:rPr>
          <w:rFonts w:hint="eastAsia" w:cs="Times New Roman" w:asciiTheme="minorEastAsia" w:hAnsiTheme="minorEastAsia"/>
          <w:snapToGrid w:val="0"/>
          <w:kern w:val="0"/>
          <w:sz w:val="24"/>
          <w:szCs w:val="24"/>
          <w:lang w:val="zh-CN"/>
        </w:rPr>
        <w:t>《</w:t>
      </w:r>
      <w:r>
        <w:rPr>
          <w:rFonts w:hint="eastAsia" w:cs="Times New Roman" w:asciiTheme="minorEastAsia" w:hAnsiTheme="minorEastAsia"/>
          <w:snapToGrid w:val="0"/>
          <w:kern w:val="0"/>
          <w:sz w:val="24"/>
          <w:szCs w:val="24"/>
          <w:lang w:val="zh-CN" w:eastAsia="zh-CN"/>
        </w:rPr>
        <w:t>军队采购网</w:t>
      </w:r>
      <w:r>
        <w:rPr>
          <w:rFonts w:hint="eastAsia" w:cs="Times New Roman" w:asciiTheme="minorEastAsia" w:hAnsiTheme="minorEastAsia"/>
          <w:snapToGrid w:val="0"/>
          <w:kern w:val="0"/>
          <w:sz w:val="24"/>
          <w:szCs w:val="24"/>
          <w:lang w:val="zh-CN"/>
        </w:rPr>
        <w:t>》（www.plap.cn）及我院官网（www.xnyy.cn）公开发布。投标人在参与本采购项目招投标活动期间，请及时关注以上媒体上的相关信息，投标人因没有及时关注而未能如期获取相关信息，将会增加投标风险，招标人对此不承担任何责任。</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w:t>
      </w:r>
      <w:r>
        <w:rPr>
          <w:rFonts w:cs="Times New Roman" w:asciiTheme="minorEastAsia" w:hAnsiTheme="minorEastAsia"/>
          <w:kern w:val="0"/>
          <w:sz w:val="24"/>
          <w:szCs w:val="24"/>
        </w:rPr>
        <w:t>文件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（一）招标文件的内容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招标文件由招标公告、采购项目技术和商务要求、投标人须知、合同样本、附件/投标文件格式等内容构成。</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招标文件以中文编写。纸质招标文件与电子版招标文件具有同等法律效力，两者出现不一致时，以纸质招标文件为准。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（二）招标文件的澄清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（三）招标文件的修改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1.投标截止时间前，招标人可对已发出的招标文件进行修改。招标文件修改内容是招标文件的组成部分。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三、投标</w:t>
      </w:r>
      <w:r>
        <w:rPr>
          <w:rFonts w:cs="Times New Roman" w:asciiTheme="minorEastAsia" w:hAnsiTheme="minorEastAsia"/>
          <w:kern w:val="0"/>
          <w:sz w:val="24"/>
          <w:szCs w:val="24"/>
        </w:rPr>
        <w:t>文件编制</w:t>
      </w:r>
    </w:p>
    <w:p>
      <w:pPr>
        <w:adjustRightInd w:val="0"/>
        <w:snapToGrid w:val="0"/>
        <w:spacing w:line="440" w:lineRule="exact"/>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（一）注意事项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（二）投标文件的语言及计量单位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1.投标文件和来往信函均以中文书写。确有需要时，相关内容可以使用其他语言书写，但必须同时提供中文译文，不同语言文本投标文件的解释发生异议的，以中文译文为准。</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2.投标文件中所使用的计量单位，除投标文件中有特殊要求外，均采用国家法定计量单位。</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（三）投标文件组成（包括3部分：价格文件、投标书、资格证明文件）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1.价格文件包括（信封单独封装）：</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(1)开标一览表（附件1）</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(2)分项报价表（附件2）</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2.投标书包括：</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(1)投标函（附件3）</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(2)货物简要说明一览表（附件4）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(3)主要技术性能参数表（附件5）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(4)技术指标参数响应偏离表（附件6）</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(5)主要商务条款响应偏离表（附件7）</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(6)交货清单（附件8）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(7)易损易耗件清单（附件9）</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(8)专机配套耗材（试剂）明细表（附件10）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(9)投标人售后服务承诺（附件11）</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(10)生产厂家售后服务承诺（进口设备由总代提供，附件12）</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(11)近3年中标成交案例及同类项目案例（附件13）</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(12)投标产品相关检测报告</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(13)技术评审表（附件14）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(14)商务评审表（附件15）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投标人可以选择性提供其他材料，包括但不限于投标人的质量管理制度、质量检测机构、质量检测设备（提供设备清单和图片），以及第三方质量检测报告等与质量控制相关的证明材料及投标人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(3)法定代表人授权书（含被授权人身份证复印件）（原件，如法定代表人未到开标现场需提供，附件17）</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(5)保密承诺书（附件19）</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（附件20）</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(7)最近连续6个月缴纳社会保障金的银行转账汇款单或相应证明材料（依法不需要缴纳社会保障资金的投标人，应提供相应文件证明其不需要缴纳社会保障资金）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(8)最近连续6个月纳税的银行转账汇款单或相应证明材料（依法免税的投标人，应提供相应文件证明其依法免税）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 良好的商业信誉和健全的财务会计制度证明材料：会计师事务所出具的近3年（不足3年以成立日期起算）审计报告主要内容或公司财务报表，至少包含资产负债表、利润表、现金流量表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(10)相关声明书（包含但不限于以下内容）：①非外资企业或外资控股企业的书面声明；②参加本次采购活动前3年内在经营活动中没有重大违法记录的书面声明。（附件21）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(11)生产企业营业执照（进口产品需提供国内总代理营业执照）</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(12)生产企业对代理公司投标授权书（进口产品需提供原产厂家对中国总代的中英文授权书复印件或同步翻译件。附件22）</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13</w:t>
      </w:r>
      <w:r>
        <w:rPr>
          <w:rFonts w:hint="eastAsia" w:cs="Times New Roman" w:asciiTheme="minorEastAsia" w:hAnsiTheme="minorEastAsia"/>
          <w:kern w:val="0"/>
          <w:sz w:val="24"/>
          <w:szCs w:val="24"/>
        </w:rPr>
        <w:t>)投标人认为需要加以说明的其他内容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w:t>
      </w:r>
      <w:r>
        <w:rPr>
          <w:rFonts w:hint="eastAsia" w:cs="Times New Roman" w:asciiTheme="minorEastAsia" w:hAnsiTheme="minorEastAsia"/>
          <w:kern w:val="0"/>
          <w:sz w:val="24"/>
          <w:szCs w:val="24"/>
          <w:lang w:val="en-US" w:eastAsia="zh-CN"/>
        </w:rPr>
        <w:t>14</w:t>
      </w:r>
      <w:r>
        <w:rPr>
          <w:rFonts w:hint="eastAsia" w:cs="Times New Roman" w:asciiTheme="minorEastAsia" w:hAnsiTheme="minorEastAsia"/>
          <w:kern w:val="0"/>
          <w:sz w:val="24"/>
          <w:szCs w:val="24"/>
        </w:rPr>
        <w:t>)</w:t>
      </w:r>
      <w:r>
        <w:rPr>
          <w:rFonts w:hint="eastAsia"/>
        </w:rPr>
        <w:t xml:space="preserve"> </w:t>
      </w:r>
      <w:r>
        <w:rPr>
          <w:rFonts w:hint="eastAsia" w:cs="Times New Roman" w:asciiTheme="minorEastAsia" w:hAnsiTheme="minorEastAsia"/>
          <w:kern w:val="0"/>
          <w:sz w:val="24"/>
          <w:szCs w:val="24"/>
        </w:rPr>
        <w:t>投标人可以选择性提供其他资格证明文件，包括但不限于质量管理体系认证证书、环境管理体系认证证书、职业健康管理体系认证证书、3C认证、</w:t>
      </w:r>
      <w:r>
        <w:rPr>
          <w:rFonts w:hint="eastAsia" w:asciiTheme="majorEastAsia" w:hAnsiTheme="majorEastAsia" w:eastAsiaTheme="majorEastAsia"/>
          <w:sz w:val="24"/>
          <w:szCs w:val="24"/>
        </w:rPr>
        <w:t>计量器具许可证、消毒产品生产企业卫生许可和消毒卫生产品安全评价报告</w:t>
      </w:r>
      <w:r>
        <w:rPr>
          <w:rFonts w:hint="eastAsia" w:cs="Times New Roman" w:asciiTheme="minorEastAsia" w:hAnsiTheme="minorEastAsia"/>
          <w:kern w:val="0"/>
          <w:sz w:val="24"/>
          <w:szCs w:val="24"/>
        </w:rPr>
        <w:t>等相关行业资质证明材料，仅作为商务、技术评审依据，不作为资格性和符合性审查要素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投标人必须按上述统一格式及顺序向招标人提供《价格文件》《投标书》和《资格证明文件》，否则可能被视为无效投标。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（四）投标文件的格式规定和签署</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kern w:val="0"/>
          <w:sz w:val="24"/>
          <w:szCs w:val="24"/>
        </w:rPr>
        <w:t>投标文件应当工整、规范、统一、清晰，</w:t>
      </w:r>
      <w:r>
        <w:rPr>
          <w:rFonts w:hint="eastAsia" w:ascii="宋体" w:hAnsi="宋体" w:eastAsia="宋体" w:cs="Times New Roman"/>
          <w:b/>
          <w:kern w:val="0"/>
          <w:sz w:val="24"/>
          <w:szCs w:val="24"/>
        </w:rPr>
        <w:t>采用A4幅面纸胶装成册、标注页码</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2.</w:t>
      </w:r>
      <w:r>
        <w:rPr>
          <w:rFonts w:hint="eastAsia" w:cs="Times New Roman" w:asciiTheme="minorEastAsia" w:hAnsiTheme="minorEastAsia"/>
          <w:kern w:val="0"/>
          <w:sz w:val="24"/>
          <w:szCs w:val="24"/>
        </w:rPr>
        <w:t>投标人应当按照招标文件规定的统一格式填写投标文件，投标文件开始部分应当有目录，以及方便评审委员会评审使用的项目索引。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3.投标人名称应当填写全称，同时加盖单位公章。</w:t>
      </w:r>
    </w:p>
    <w:p>
      <w:pPr>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4.价格文件、投标书、资格证明文件须单独封装。价格文件一式1份，其中正本1份；投标书一式</w:t>
      </w:r>
      <w:r>
        <w:rPr>
          <w:rFonts w:hint="eastAsia" w:cs="Times New Roman" w:asciiTheme="minorEastAsia" w:hAnsiTheme="minorEastAsia"/>
          <w:kern w:val="0"/>
          <w:sz w:val="24"/>
          <w:szCs w:val="24"/>
          <w:u w:val="single"/>
        </w:rPr>
        <w:t xml:space="preserve"> 7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6 </w:t>
      </w:r>
      <w:r>
        <w:rPr>
          <w:rFonts w:hint="eastAsia" w:cs="Times New Roman" w:asciiTheme="minorEastAsia" w:hAnsiTheme="minorEastAsia"/>
          <w:kern w:val="0"/>
          <w:sz w:val="24"/>
          <w:szCs w:val="24"/>
        </w:rPr>
        <w:t>份；资格证明文件一式</w:t>
      </w:r>
      <w:r>
        <w:rPr>
          <w:rFonts w:hint="eastAsia" w:cs="Times New Roman" w:asciiTheme="minorEastAsia" w:hAnsiTheme="minorEastAsia"/>
          <w:kern w:val="0"/>
          <w:sz w:val="24"/>
          <w:szCs w:val="24"/>
          <w:u w:val="single"/>
        </w:rPr>
        <w:t xml:space="preserve"> 3 </w:t>
      </w:r>
      <w:r>
        <w:rPr>
          <w:rFonts w:hint="eastAsia" w:cs="Times New Roman" w:asciiTheme="minorEastAsia" w:hAnsiTheme="minorEastAsia"/>
          <w:kern w:val="0"/>
          <w:sz w:val="24"/>
          <w:szCs w:val="24"/>
        </w:rPr>
        <w:t>份，其中正本1份，副本</w:t>
      </w:r>
      <w:r>
        <w:rPr>
          <w:rFonts w:hint="eastAsia" w:cs="Times New Roman" w:asciiTheme="minorEastAsia" w:hAnsiTheme="minorEastAsia"/>
          <w:kern w:val="0"/>
          <w:sz w:val="24"/>
          <w:szCs w:val="24"/>
          <w:u w:val="single"/>
        </w:rPr>
        <w:t xml:space="preserve"> 2 </w:t>
      </w:r>
      <w:r>
        <w:rPr>
          <w:rFonts w:hint="eastAsia" w:cs="Times New Roman" w:asciiTheme="minorEastAsia" w:hAnsiTheme="minorEastAsia"/>
          <w:kern w:val="0"/>
          <w:sz w:val="24"/>
          <w:szCs w:val="24"/>
        </w:rPr>
        <w:t>份。在每一份文件上要注明“正本”或“副本”字样。如果正本与副本不符，以正本为准。</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5.投标文件必须打印或用黑色、蓝黑色墨水填写。</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6.开标一览表必须按照规定的格式填写，不得自行增减内容。</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7.投标文件必须由法定代表人或授权代表签署。</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8.投标文件不得随意涂改和增删。如有修改错漏之处，必须由法定代表人或授权代表签字、盖章。</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8.投标文件</w:t>
      </w:r>
      <w:r>
        <w:rPr>
          <w:rFonts w:hint="eastAsia" w:cs="Times New Roman" w:asciiTheme="minorEastAsia" w:hAnsiTheme="minorEastAsia"/>
          <w:kern w:val="0"/>
          <w:sz w:val="24"/>
          <w:szCs w:val="24"/>
          <w:lang w:val="zh-CN"/>
        </w:rPr>
        <w:t>因字迹潦草或表述不清以及复印件不清所引起的后果由投标人自行负责</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（五）</w:t>
      </w:r>
      <w:r>
        <w:rPr>
          <w:rFonts w:hint="eastAsia" w:cs="Times New Roman" w:asciiTheme="minorEastAsia" w:hAnsiTheme="minorEastAsia"/>
          <w:snapToGrid w:val="0"/>
          <w:kern w:val="0"/>
          <w:sz w:val="24"/>
          <w:szCs w:val="24"/>
        </w:rPr>
        <w:t>投标文件有效期</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投标文件自投标截止时间起</w:t>
      </w:r>
      <w:r>
        <w:rPr>
          <w:rFonts w:hint="eastAsia" w:cs="宋体" w:asciiTheme="minorEastAsia" w:hAnsiTheme="minorEastAsia"/>
          <w:snapToGrid w:val="0"/>
          <w:kern w:val="0"/>
          <w:sz w:val="24"/>
          <w:szCs w:val="24"/>
          <w:lang w:val="zh-CN"/>
        </w:rPr>
        <w:t>180</w:t>
      </w:r>
      <w:r>
        <w:rPr>
          <w:rFonts w:hint="eastAsia" w:cs="Times New Roman" w:asciiTheme="minorEastAsia" w:hAnsiTheme="minorEastAsia"/>
          <w:kern w:val="0"/>
          <w:sz w:val="24"/>
          <w:szCs w:val="24"/>
          <w:lang w:val="zh-CN"/>
        </w:rPr>
        <w:t>日内保持有效。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2.投标文件有效期需要延长的，招标人可与投标人进行协商，并以书面形式予以确认。同意延长有效期的投标人不能修改投标文件。</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3.在招标过程中</w:t>
      </w:r>
      <w:r>
        <w:rPr>
          <w:rFonts w:hint="eastAsia" w:cs="Times New Roman" w:asciiTheme="minorEastAsia" w:hAnsiTheme="minorEastAsia"/>
          <w:kern w:val="0"/>
          <w:sz w:val="24"/>
          <w:szCs w:val="24"/>
        </w:rPr>
        <w:t>，投标人发生合并、分立、破产等重大变化时，应当及时书面告知招标人。</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rPr>
        <w:t>（六）投标</w:t>
      </w:r>
      <w:r>
        <w:rPr>
          <w:rFonts w:hint="eastAsia" w:cs="Times New Roman" w:asciiTheme="minorEastAsia" w:hAnsiTheme="minorEastAsia"/>
          <w:snapToGrid w:val="0"/>
          <w:kern w:val="0"/>
          <w:sz w:val="24"/>
          <w:szCs w:val="24"/>
        </w:rPr>
        <w:t>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snapToGrid w:val="0"/>
          <w:kern w:val="0"/>
          <w:sz w:val="24"/>
          <w:szCs w:val="24"/>
        </w:rPr>
        <w:t>1.</w:t>
      </w:r>
      <w:r>
        <w:rPr>
          <w:rFonts w:hint="eastAsia" w:cs="Times New Roman" w:asciiTheme="minorEastAsia" w:hAnsiTheme="minorEastAsia"/>
          <w:kern w:val="0"/>
          <w:sz w:val="24"/>
          <w:szCs w:val="24"/>
          <w:lang w:val="zh-CN"/>
        </w:rPr>
        <w:t>所有报价均以人民币为货币单位</w:t>
      </w:r>
      <w:r>
        <w:rPr>
          <w:rFonts w:hint="eastAsia" w:cs="Times New Roman" w:asciiTheme="minorEastAsia" w:hAnsiTheme="minorEastAsia"/>
          <w:kern w:val="0"/>
          <w:sz w:val="24"/>
          <w:szCs w:val="24"/>
        </w:rPr>
        <w:t>。</w:t>
      </w:r>
    </w:p>
    <w:p>
      <w:pPr>
        <w:tabs>
          <w:tab w:val="left" w:pos="-1418"/>
        </w:tabs>
        <w:autoSpaceDE w:val="0"/>
        <w:autoSpaceDN w:val="0"/>
        <w:adjustRightInd w:val="0"/>
        <w:snapToGrid w:val="0"/>
        <w:spacing w:line="440" w:lineRule="exact"/>
        <w:ind w:firstLine="462" w:firstLineChars="200"/>
        <w:rPr>
          <w:rFonts w:cs="宋体" w:asciiTheme="minorEastAsia" w:hAnsiTheme="minorEastAsia"/>
          <w:snapToGrid w:val="0"/>
          <w:kern w:val="0"/>
          <w:sz w:val="24"/>
          <w:szCs w:val="24"/>
          <w:lang w:val="zh-CN"/>
        </w:rPr>
      </w:pPr>
      <w:r>
        <w:rPr>
          <w:rFonts w:hint="eastAsia" w:cs="Times New Roman" w:asciiTheme="minorEastAsia" w:hAnsiTheme="minorEastAsia"/>
          <w:kern w:val="0"/>
          <w:sz w:val="24"/>
          <w:szCs w:val="24"/>
        </w:rPr>
        <w:t>2.</w:t>
      </w:r>
      <w:r>
        <w:rPr>
          <w:rFonts w:hint="eastAsia" w:cs="Times New Roman" w:asciiTheme="minorEastAsia" w:hAnsiTheme="minorEastAsia"/>
          <w:kern w:val="0"/>
          <w:sz w:val="24"/>
          <w:szCs w:val="24"/>
          <w:lang w:val="zh-CN"/>
        </w:rPr>
        <w:t>所有单价和总价按照开标一览表格式要求填报。</w:t>
      </w:r>
      <w:r>
        <w:rPr>
          <w:rFonts w:hint="eastAsia" w:cs="宋体" w:asciiTheme="minorEastAsia" w:hAnsiTheme="minorEastAsia"/>
          <w:snapToGrid w:val="0"/>
          <w:kern w:val="0"/>
          <w:sz w:val="24"/>
          <w:szCs w:val="24"/>
          <w:lang w:val="zh-CN"/>
        </w:rPr>
        <w:t>报价应包括货款、标准附件、备品备件、专用工具、包装、安装、调试、培训、保修等费用和税金。</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宋体" w:asciiTheme="minorEastAsia" w:hAnsiTheme="minorEastAsia"/>
          <w:snapToGrid w:val="0"/>
          <w:kern w:val="0"/>
          <w:sz w:val="24"/>
          <w:szCs w:val="24"/>
          <w:lang w:val="zh-CN"/>
        </w:rPr>
        <w:t>3.</w:t>
      </w:r>
      <w:r>
        <w:rPr>
          <w:rFonts w:hint="eastAsia" w:cs="Times New Roman" w:asciiTheme="minorEastAsia" w:hAnsiTheme="minorEastAsia"/>
          <w:kern w:val="0"/>
          <w:sz w:val="24"/>
          <w:szCs w:val="24"/>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以上修正的视为无效投标。</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4.投标人</w:t>
      </w:r>
      <w:r>
        <w:rPr>
          <w:rFonts w:hint="eastAsia" w:cs="Times New Roman" w:asciiTheme="minorEastAsia" w:hAnsiTheme="minorEastAsia"/>
          <w:kern w:val="0"/>
          <w:sz w:val="24"/>
          <w:szCs w:val="24"/>
        </w:rPr>
        <w:t>对同一种货物只允许有一种报价，招标人不接受任何有选择的报价或者有附加条件的报价。</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人每个项目各品种物资报价进行评定。若五分之四以上评委认定报价或者重要分项报价明显不合理或者低于成本，有可能影响产品质量和不能诚信履约的，评审委员会应当要求其在规定时限内提供书面文件予以解释说明，并提交相关证明材料，否则评审委员会有权视其为低价恶意竞争，其投标报价无效。</w:t>
      </w:r>
    </w:p>
    <w:p>
      <w:pPr>
        <w:tabs>
          <w:tab w:val="left" w:pos="-1418"/>
        </w:tabs>
        <w:autoSpaceDE w:val="0"/>
        <w:autoSpaceDN w:val="0"/>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四、投标</w:t>
      </w:r>
      <w:r>
        <w:rPr>
          <w:rFonts w:cs="Times New Roman" w:asciiTheme="minorEastAsia" w:hAnsiTheme="minorEastAsia"/>
          <w:kern w:val="0"/>
          <w:sz w:val="24"/>
          <w:szCs w:val="24"/>
        </w:rPr>
        <w:t>文件递交</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（一）投标文件密封及标记</w:t>
      </w:r>
    </w:p>
    <w:p>
      <w:pPr>
        <w:adjustRightInd w:val="0"/>
        <w:snapToGrid w:val="0"/>
        <w:spacing w:line="440" w:lineRule="exact"/>
        <w:ind w:firstLine="462" w:firstLineChars="200"/>
        <w:rPr>
          <w:rFonts w:asciiTheme="minorEastAsia" w:hAnsiTheme="minorEastAsia"/>
          <w:sz w:val="24"/>
          <w:szCs w:val="24"/>
        </w:rPr>
      </w:pPr>
      <w:r>
        <w:rPr>
          <w:rFonts w:hint="eastAsia" w:cs="Times New Roman" w:asciiTheme="minorEastAsia" w:hAnsiTheme="minorEastAsia"/>
          <w:snapToGrid w:val="0"/>
          <w:kern w:val="0"/>
          <w:sz w:val="24"/>
          <w:szCs w:val="24"/>
        </w:rPr>
        <w:t>1.</w:t>
      </w:r>
      <w:r>
        <w:rPr>
          <w:rFonts w:hint="eastAsia" w:asciiTheme="minorEastAsia" w:hAnsiTheme="minorEastAsia"/>
          <w:sz w:val="24"/>
          <w:szCs w:val="24"/>
        </w:rPr>
        <w:t>价格文件须单独密封、单独递交，与其他文件合并封装的，视为无效投标。</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2.投标书、资格证明文件的正本和副本统一装入密封袋内，封口处应当有投标人单位公章，封面上注明“项目名称、项目编号、所投包号、投标人名称”和“开标时启封”字样。</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3.投标人应当在招标文件明确的递交投标文件截止时间前，将投标文件送达招标人指定地点。逾期递交的投标文件，招标人将拒收。</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4.电报、电话、电传、邮寄等形式的投标文件概不接受。</w:t>
      </w:r>
    </w:p>
    <w:p>
      <w:pPr>
        <w:adjustRightInd w:val="0"/>
        <w:snapToGrid w:val="0"/>
        <w:spacing w:line="440" w:lineRule="exact"/>
        <w:ind w:firstLine="462" w:firstLineChars="200"/>
        <w:rPr>
          <w:rFonts w:cs="Times New Roman" w:asciiTheme="minorEastAsia" w:hAnsiTheme="minorEastAsia"/>
          <w:bCs/>
          <w:kern w:val="0"/>
          <w:sz w:val="24"/>
          <w:szCs w:val="24"/>
        </w:rPr>
      </w:pPr>
      <w:r>
        <w:rPr>
          <w:rFonts w:hint="eastAsia" w:cs="Times New Roman" w:asciiTheme="minorEastAsia" w:hAnsiTheme="minorEastAsia"/>
          <w:bCs/>
          <w:kern w:val="0"/>
          <w:sz w:val="24"/>
          <w:szCs w:val="24"/>
        </w:rPr>
        <w:t>5.投标文件未按要求密封、标记的，招标人将拒收。</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kern w:val="0"/>
          <w:sz w:val="24"/>
          <w:szCs w:val="24"/>
          <w:lang w:val="zh-CN"/>
        </w:rPr>
        <w:t>（二）</w:t>
      </w:r>
      <w:r>
        <w:rPr>
          <w:rFonts w:hint="eastAsia" w:cs="Times New Roman" w:asciiTheme="minorEastAsia" w:hAnsiTheme="minorEastAsia"/>
          <w:snapToGrid w:val="0"/>
          <w:kern w:val="0"/>
          <w:sz w:val="24"/>
          <w:szCs w:val="24"/>
        </w:rPr>
        <w:t>投标文件的修改和撤回</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2.在投标截止时间之后，招标人将不接受对投标文件内容的实质性修改。</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3.投标人修改投标文件的书面材料，须密封送达投标地点，并在封面上标明“投标修改文件、项目名称、项目编号、投标人名称”和“开标时启封”字样。</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5.开标后，投标人不得撤回投标。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五、开标与评标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（一）开标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w:t>
      </w:r>
      <w:r>
        <w:rPr>
          <w:rFonts w:hint="eastAsia" w:ascii="仿宋_GB2312" w:hAnsi="宋体" w:eastAsia="仿宋_GB2312" w:cs="Times New Roman"/>
          <w:snapToGrid w:val="0"/>
          <w:kern w:val="0"/>
          <w:sz w:val="32"/>
          <w:szCs w:val="32"/>
        </w:rPr>
        <w:t xml:space="preserve"> </w:t>
      </w:r>
      <w:r>
        <w:rPr>
          <w:rFonts w:hint="eastAsia" w:ascii="宋体" w:hAnsi="宋体" w:eastAsia="宋体" w:cs="Times New Roman"/>
          <w:snapToGrid w:val="0"/>
          <w:kern w:val="0"/>
          <w:sz w:val="24"/>
          <w:szCs w:val="24"/>
        </w:rPr>
        <w:t>投标人不足3家的不得开标，除改用比照竞争性谈判或者单一来源方式外，不得拆封供应商投标文件，并当场退还供应商</w:t>
      </w:r>
      <w:r>
        <w:rPr>
          <w:rFonts w:hint="eastAsia" w:cs="Times New Roman" w:asciiTheme="minorEastAsia" w:hAnsiTheme="minorEastAsia"/>
          <w:snapToGrid w:val="0"/>
          <w:kern w:val="0"/>
          <w:sz w:val="24"/>
          <w:szCs w:val="24"/>
        </w:rPr>
        <w:t>。</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2.招标人按招标文件规定的时间、地点开标。开标大会由招标人主持，投标人和有关方面代表参加。评审委员会成员不得参加开标大会。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4.投标人对开标有异议的，应当在开标现场提出，招标人应当场作出答复。招标人同时做开标记录。</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（二）评标</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1.评审委员会</w:t>
      </w:r>
    </w:p>
    <w:p>
      <w:pPr>
        <w:adjustRightInd w:val="0"/>
        <w:snapToGrid w:val="0"/>
        <w:spacing w:line="440" w:lineRule="exact"/>
        <w:ind w:firstLine="462" w:firstLineChars="200"/>
        <w:rPr>
          <w:rFonts w:cs="Times New Roman" w:asciiTheme="minorEastAsia" w:hAnsiTheme="minorEastAsia"/>
          <w:snapToGrid w:val="0"/>
          <w:kern w:val="0"/>
          <w:sz w:val="24"/>
          <w:szCs w:val="24"/>
        </w:rPr>
      </w:pPr>
      <w:r>
        <w:rPr>
          <w:rFonts w:hint="eastAsia" w:cs="Times New Roman" w:asciiTheme="minorEastAsia" w:hAnsiTheme="minorEastAsia"/>
          <w:snapToGrid w:val="0"/>
          <w:kern w:val="0"/>
          <w:sz w:val="24"/>
          <w:szCs w:val="24"/>
        </w:rPr>
        <w:t>招标人根据规定组建评审委员会，其成员由技术、经济等方面的专家和招标人代表组成，分为技术评审组和商务评审组，对投标文件进行评审。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2.评标原则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(1)评标工作严格遵守公平、公正、择优的原则；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(2)对所有响应招标文件实质性要求的投标人一视同仁；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(3)综合比较货物性能、质量、价格、交货期、售后服务等因素，确定评审排序结果；</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(4)报价最低不作为中标的保证。</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3.评标方法</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综合评分法。技术和商务评审总得分由高到低顺序排列，得分最高的投标人作为预中标人；得分相同的，按照投标报价由低到高顺序排列；得分且投标报价相同的，按照技术评审得分由高到低顺序排列。</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评审委员会成员技术、商务（不含价格因素）最终评分偏离评审委员会全体成员评分均值±20%的，该成员的评分将被剔除，以其他评委的评分均值计算，作为该成员的评分计入总分值；评审委员会所有成员评分均超出±20%时，直接以全体成员评分均值计算，不再剔除。</w:t>
      </w:r>
    </w:p>
    <w:p>
      <w:pPr>
        <w:adjustRightInd w:val="0"/>
        <w:snapToGrid w:val="0"/>
        <w:spacing w:line="440" w:lineRule="exact"/>
        <w:ind w:firstLine="462" w:firstLineChars="200"/>
        <w:rPr>
          <w:rFonts w:cs="Times New Roman" w:asciiTheme="minorEastAsia" w:hAnsiTheme="minorEastAsia"/>
          <w:sz w:val="24"/>
          <w:szCs w:val="24"/>
        </w:rPr>
      </w:pPr>
      <w:r>
        <w:rPr>
          <w:rFonts w:hint="eastAsia" w:cs="Times New Roman" w:asciiTheme="minorEastAsia" w:hAnsiTheme="minor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投标人报价高于采购预算的，不得推荐为</w:t>
      </w:r>
      <w:r>
        <w:rPr>
          <w:rFonts w:hint="eastAsia" w:cs="Times New Roman" w:asciiTheme="minorEastAsia" w:hAnsiTheme="minorEastAsia"/>
          <w:sz w:val="24"/>
          <w:szCs w:val="24"/>
        </w:rPr>
        <w:t>预中标人</w:t>
      </w:r>
      <w:r>
        <w:rPr>
          <w:rFonts w:hint="eastAsia" w:ascii="宋体" w:hAnsi="宋体" w:eastAsia="宋体" w:cs="Times New Roman"/>
          <w:kern w:val="0"/>
          <w:sz w:val="24"/>
          <w:szCs w:val="24"/>
        </w:rPr>
        <w:t>（经采购管理部门批准同意的除外）。</w:t>
      </w:r>
    </w:p>
    <w:p>
      <w:pPr>
        <w:adjustRightInd w:val="0"/>
        <w:snapToGrid w:val="0"/>
        <w:spacing w:line="440" w:lineRule="exact"/>
        <w:ind w:firstLine="462" w:firstLineChars="200"/>
        <w:rPr>
          <w:rFonts w:cs="Times New Roman" w:asciiTheme="minorEastAsia" w:hAnsiTheme="minorEastAsia"/>
          <w:sz w:val="24"/>
          <w:szCs w:val="24"/>
        </w:rPr>
      </w:pPr>
    </w:p>
    <w:p>
      <w:pPr>
        <w:adjustRightInd w:val="0"/>
        <w:snapToGrid w:val="0"/>
        <w:spacing w:line="440" w:lineRule="exact"/>
        <w:ind w:firstLine="227" w:firstLineChars="98"/>
        <w:rPr>
          <w:rFonts w:ascii="黑体" w:hAnsi="黑体" w:eastAsia="黑体" w:cs="Times New Roman"/>
          <w:kern w:val="0"/>
          <w:sz w:val="32"/>
          <w:szCs w:val="32"/>
        </w:rPr>
      </w:pPr>
      <w:r>
        <w:rPr>
          <w:rFonts w:cs="Times New Roman" w:asciiTheme="minorEastAsia" w:hAnsiTheme="minorEastAsia"/>
          <w:color w:val="3366FF"/>
          <w:kern w:val="0"/>
          <w:sz w:val="24"/>
          <w:szCs w:val="24"/>
        </w:rPr>
        <w:br w:type="page"/>
      </w:r>
      <w:r>
        <w:rPr>
          <w:rFonts w:hint="eastAsia" w:ascii="黑体" w:hAnsi="黑体" w:eastAsia="黑体" w:cs="Times New Roman"/>
          <w:kern w:val="0"/>
          <w:sz w:val="32"/>
          <w:szCs w:val="32"/>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adjustRightInd w:val="0"/>
        <w:snapToGrid w:val="0"/>
        <w:spacing w:line="440" w:lineRule="exact"/>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项目名称：                   </w:t>
      </w:r>
      <w:r>
        <w:rPr>
          <w:rFonts w:hint="eastAsia" w:ascii="Times New Roman" w:hAnsi="Times New Roman" w:eastAsia="宋体" w:cs="Times New Roman"/>
          <w:kern w:val="0"/>
          <w:sz w:val="24"/>
          <w:szCs w:val="24"/>
        </w:rPr>
        <w:t xml:space="preserve">     </w:t>
      </w:r>
      <w:r>
        <w:rPr>
          <w:rFonts w:ascii="Times New Roman" w:hAnsi="Times New Roman" w:eastAsia="宋体" w:cs="Times New Roman"/>
          <w:kern w:val="0"/>
          <w:sz w:val="24"/>
          <w:szCs w:val="24"/>
        </w:rPr>
        <w:t xml:space="preserve">项目编号：                            </w:t>
      </w:r>
      <w:r>
        <w:rPr>
          <w:rFonts w:hint="eastAsia" w:ascii="Times New Roman" w:hAnsi="Times New Roman" w:eastAsia="宋体" w:cs="Times New Roman"/>
          <w:kern w:val="0"/>
          <w:sz w:val="24"/>
          <w:szCs w:val="24"/>
        </w:rPr>
        <w:t xml:space="preserve"> </w:t>
      </w:r>
    </w:p>
    <w:tbl>
      <w:tblPr>
        <w:tblStyle w:val="17"/>
        <w:tblW w:w="5339" w:type="pct"/>
        <w:jc w:val="center"/>
        <w:tblLayout w:type="fixed"/>
        <w:tblCellMar>
          <w:top w:w="0" w:type="dxa"/>
          <w:left w:w="108" w:type="dxa"/>
          <w:bottom w:w="0" w:type="dxa"/>
          <w:right w:w="108" w:type="dxa"/>
        </w:tblCellMar>
      </w:tblPr>
      <w:tblGrid>
        <w:gridCol w:w="9675"/>
      </w:tblGrid>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审查项目</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2.法定代表人资格证明书和授权书</w:t>
            </w:r>
            <w:r>
              <w:rPr>
                <w:rFonts w:hint="eastAsia" w:cs="Times New Roman" w:asciiTheme="minorEastAsia" w:hAnsiTheme="minorEastAsia"/>
                <w:kern w:val="0"/>
                <w:szCs w:val="21"/>
              </w:rPr>
              <w:t>（含法定代表人身份证复印件）</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3.主要股东或出资人信息</w:t>
            </w:r>
            <w:r>
              <w:rPr>
                <w:rFonts w:hint="eastAsia" w:cs="Times New Roman" w:asciiTheme="minorEastAsia" w:hAnsiTheme="minorEastAsia"/>
                <w:kern w:val="0"/>
                <w:szCs w:val="21"/>
              </w:rPr>
              <w:t>（含被授权人身份证复印件）</w:t>
            </w:r>
          </w:p>
        </w:tc>
      </w:tr>
      <w:tr>
        <w:tblPrEx>
          <w:tblCellMar>
            <w:top w:w="0" w:type="dxa"/>
            <w:left w:w="108" w:type="dxa"/>
            <w:bottom w:w="0" w:type="dxa"/>
            <w:right w:w="108" w:type="dxa"/>
          </w:tblCellMar>
        </w:tblPrEx>
        <w:trPr>
          <w:trHeight w:val="655"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4.最近连续6个月缴纳社会保障金的银行转账汇款单或相应证明材料</w:t>
            </w:r>
            <w:r>
              <w:rPr>
                <w:rFonts w:hint="eastAsia" w:cs="Times New Roman" w:asciiTheme="minorEastAsia" w:hAnsiTheme="minorEastAsia"/>
                <w:kern w:val="0"/>
                <w:szCs w:val="21"/>
              </w:rPr>
              <w:t>（依法不需要缴纳社会保障资金的投标人，应提供相应文件证明其不需要缴纳社会保障资金）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5.最近连续6个月纳税的银行转账汇款单或相应证明材料</w:t>
            </w:r>
            <w:r>
              <w:rPr>
                <w:rFonts w:hint="eastAsia" w:cs="Times New Roman" w:asciiTheme="minorEastAsia" w:hAnsiTheme="minorEastAsia"/>
                <w:kern w:val="0"/>
                <w:szCs w:val="21"/>
              </w:rPr>
              <w:t>（依法免税的投标人，应提供相应文件证明其依法免税）</w:t>
            </w:r>
          </w:p>
        </w:tc>
      </w:tr>
      <w:tr>
        <w:tblPrEx>
          <w:tblCellMar>
            <w:top w:w="0" w:type="dxa"/>
            <w:left w:w="108" w:type="dxa"/>
            <w:bottom w:w="0" w:type="dxa"/>
            <w:right w:w="108" w:type="dxa"/>
          </w:tblCellMar>
        </w:tblPrEx>
        <w:trPr>
          <w:trHeight w:val="992"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6.</w:t>
            </w:r>
            <w:r>
              <w:rPr>
                <w:rFonts w:hint="eastAsia" w:cs="Times New Roman" w:asciiTheme="minorEastAsia" w:hAnsiTheme="minorEastAsia"/>
                <w:kern w:val="0"/>
                <w:szCs w:val="21"/>
              </w:rPr>
              <w:t xml:space="preserve"> 良好的商业信誉和健全的财务会计制度证明材料：会计师事务所出具的近3年（不足3年以成立日期起算）审计报告主要内容或公司财务报表，至少包含资产负债表、利润表、现金流量表</w:t>
            </w:r>
          </w:p>
        </w:tc>
      </w:tr>
      <w:tr>
        <w:tblPrEx>
          <w:tblCellMar>
            <w:top w:w="0" w:type="dxa"/>
            <w:left w:w="108" w:type="dxa"/>
            <w:bottom w:w="0" w:type="dxa"/>
            <w:right w:w="108" w:type="dxa"/>
          </w:tblCellMar>
        </w:tblPrEx>
        <w:trPr>
          <w:trHeight w:val="677"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7.</w:t>
            </w:r>
            <w:r>
              <w:rPr>
                <w:rFonts w:hint="eastAsia" w:asciiTheme="minorEastAsia" w:hAnsiTheme="minorEastAsia"/>
                <w:szCs w:val="21"/>
              </w:rPr>
              <w:t xml:space="preserve"> </w:t>
            </w:r>
            <w:r>
              <w:rPr>
                <w:rFonts w:hint="eastAsia" w:cs="Times New Roman" w:asciiTheme="minorEastAsia" w:hAnsiTheme="minorEastAsia"/>
                <w:kern w:val="0"/>
                <w:szCs w:val="21"/>
              </w:rPr>
              <w:t>相关声明书：</w:t>
            </w:r>
            <w:r>
              <w:rPr>
                <w:rFonts w:hint="eastAsia" w:cs="宋体" w:asciiTheme="minorEastAsia" w:hAnsiTheme="minorEastAsia"/>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44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8</w:t>
            </w:r>
            <w:r>
              <w:rPr>
                <w:rFonts w:hint="eastAsia" w:cs="宋体" w:asciiTheme="minorEastAsia" w:hAnsiTheme="minorEastAsia"/>
                <w:kern w:val="0"/>
                <w:szCs w:val="21"/>
              </w:rPr>
              <w:t>. 生产企业营业执照（进口产品需提供国内总代理营业执照）</w:t>
            </w:r>
          </w:p>
        </w:tc>
      </w:tr>
      <w:tr>
        <w:tblPrEx>
          <w:tblCellMar>
            <w:top w:w="0" w:type="dxa"/>
            <w:left w:w="108" w:type="dxa"/>
            <w:bottom w:w="0" w:type="dxa"/>
            <w:right w:w="108" w:type="dxa"/>
          </w:tblCellMar>
        </w:tblPrEx>
        <w:trPr>
          <w:trHeight w:val="633" w:hRule="exact"/>
          <w:jc w:val="center"/>
        </w:trPr>
        <w:tc>
          <w:tcPr>
            <w:tcW w:w="9675" w:type="dxa"/>
            <w:tcBorders>
              <w:top w:val="nil"/>
              <w:left w:val="single" w:color="auto" w:sz="4" w:space="0"/>
              <w:bottom w:val="single" w:color="auto" w:sz="4" w:space="0"/>
              <w:right w:val="single" w:color="auto" w:sz="4" w:space="0"/>
            </w:tcBorders>
            <w:vAlign w:val="center"/>
          </w:tcPr>
          <w:p>
            <w:pPr>
              <w:adjustRightInd w:val="0"/>
              <w:snapToGrid w:val="0"/>
              <w:spacing w:line="320" w:lineRule="atLeast"/>
              <w:rPr>
                <w:rFonts w:cs="Times New Roman" w:asciiTheme="minorEastAsia" w:hAnsiTheme="minorEastAsia"/>
                <w:kern w:val="0"/>
                <w:szCs w:val="21"/>
              </w:rPr>
            </w:pPr>
            <w:r>
              <w:rPr>
                <w:rFonts w:hint="eastAsia" w:cs="宋体" w:asciiTheme="minorEastAsia" w:hAnsiTheme="minorEastAsia"/>
                <w:kern w:val="0"/>
                <w:szCs w:val="21"/>
                <w:lang w:val="en-US" w:eastAsia="zh-CN"/>
              </w:rPr>
              <w:t>9</w:t>
            </w:r>
            <w:r>
              <w:rPr>
                <w:rFonts w:hint="eastAsia" w:cs="宋体" w:asciiTheme="minorEastAsia" w:hAnsiTheme="minorEastAsia"/>
                <w:kern w:val="0"/>
                <w:szCs w:val="21"/>
              </w:rPr>
              <w:t>.</w:t>
            </w:r>
            <w:r>
              <w:rPr>
                <w:rFonts w:hint="eastAsia" w:asciiTheme="minorEastAsia" w:hAnsiTheme="minorEastAsia"/>
                <w:szCs w:val="21"/>
              </w:rPr>
              <w:t xml:space="preserve"> </w:t>
            </w:r>
            <w:r>
              <w:rPr>
                <w:rFonts w:hint="eastAsia" w:cs="宋体" w:asciiTheme="minorEastAsia" w:hAnsiTheme="minorEastAsia"/>
                <w:kern w:val="0"/>
                <w:szCs w:val="21"/>
              </w:rPr>
              <w:t>生产企业对代理公司投标授权书</w:t>
            </w:r>
            <w:r>
              <w:rPr>
                <w:rFonts w:hint="eastAsia" w:cs="Times New Roman" w:asciiTheme="minorEastAsia" w:hAnsiTheme="minorEastAsia"/>
                <w:kern w:val="0"/>
                <w:szCs w:val="21"/>
              </w:rPr>
              <w:t>（进口产品需提供原产厂家对中国总代的中英文授权书复印件或同步翻译件）</w:t>
            </w:r>
          </w:p>
          <w:p>
            <w:pPr>
              <w:widowControl/>
              <w:adjustRightInd w:val="0"/>
              <w:snapToGrid w:val="0"/>
              <w:spacing w:line="320" w:lineRule="atLeast"/>
              <w:rPr>
                <w:rFonts w:cs="宋体" w:asciiTheme="minorEastAsia" w:hAnsiTheme="minorEastAsia"/>
                <w:kern w:val="0"/>
                <w:szCs w:val="21"/>
              </w:rPr>
            </w:pPr>
          </w:p>
        </w:tc>
      </w:tr>
      <w:tr>
        <w:tblPrEx>
          <w:tblCellMar>
            <w:top w:w="0" w:type="dxa"/>
            <w:left w:w="108" w:type="dxa"/>
            <w:bottom w:w="0" w:type="dxa"/>
            <w:right w:w="108" w:type="dxa"/>
          </w:tblCellMar>
        </w:tblPrEx>
        <w:trPr>
          <w:trHeight w:val="669"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lang w:val="en-US" w:eastAsia="zh-CN"/>
              </w:rPr>
              <w:t>10</w:t>
            </w:r>
            <w:r>
              <w:rPr>
                <w:rFonts w:hint="eastAsia" w:cs="宋体" w:asciiTheme="minorEastAsia" w:hAnsiTheme="minorEastAsia"/>
                <w:kern w:val="0"/>
                <w:szCs w:val="21"/>
              </w:rPr>
              <w:t>.保密承诺书及廉洁诚信承诺书</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二、符合性审查内容</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1.投标书、资格证明文件密封完好</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2.投标文件签署、盖章齐全完整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3.投标文件组成齐全完整</w:t>
            </w:r>
          </w:p>
        </w:tc>
      </w:tr>
      <w:tr>
        <w:tblPrEx>
          <w:tblCellMar>
            <w:top w:w="0" w:type="dxa"/>
            <w:left w:w="108" w:type="dxa"/>
            <w:bottom w:w="0" w:type="dxa"/>
            <w:right w:w="108" w:type="dxa"/>
          </w:tblCellMar>
        </w:tblPrEx>
        <w:trPr>
          <w:trHeight w:val="454" w:hRule="exact"/>
          <w:jc w:val="center"/>
        </w:trPr>
        <w:tc>
          <w:tcPr>
            <w:tcW w:w="9675"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atLeast"/>
              <w:rPr>
                <w:rFonts w:cs="宋体" w:asciiTheme="minorEastAsia" w:hAnsiTheme="minorEastAsia"/>
                <w:kern w:val="0"/>
                <w:szCs w:val="21"/>
              </w:rPr>
            </w:pPr>
            <w:r>
              <w:rPr>
                <w:rFonts w:hint="eastAsia" w:cs="宋体" w:asciiTheme="minorEastAsia" w:hAnsiTheme="minorEastAsia"/>
                <w:kern w:val="0"/>
                <w:szCs w:val="21"/>
              </w:rPr>
              <w:t>4.投标文件有效期满足招标文件要求</w:t>
            </w:r>
          </w:p>
        </w:tc>
      </w:tr>
      <w:tr>
        <w:tblPrEx>
          <w:tblCellMar>
            <w:top w:w="0" w:type="dxa"/>
            <w:left w:w="108" w:type="dxa"/>
            <w:bottom w:w="0" w:type="dxa"/>
            <w:right w:w="108" w:type="dxa"/>
          </w:tblCellMar>
        </w:tblPrEx>
        <w:trPr>
          <w:trHeight w:val="454" w:hRule="exact"/>
          <w:jc w:val="center"/>
        </w:trPr>
        <w:tc>
          <w:tcPr>
            <w:tcW w:w="9675"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320" w:lineRule="atLeast"/>
              <w:rPr>
                <w:rFonts w:cs="宋体" w:asciiTheme="minorEastAsia" w:hAnsiTheme="minorEastAsia"/>
                <w:b/>
                <w:kern w:val="0"/>
                <w:szCs w:val="21"/>
              </w:rPr>
            </w:pPr>
            <w:r>
              <w:rPr>
                <w:rFonts w:hint="eastAsia" w:cs="宋体" w:asciiTheme="minorEastAsia" w:hAnsiTheme="minorEastAsia"/>
                <w:b/>
                <w:kern w:val="0"/>
                <w:szCs w:val="21"/>
              </w:rPr>
              <w:t>说明：以上资格性和符合性要求均需满足，若有一条不满足，则为无效投标。</w:t>
            </w:r>
          </w:p>
        </w:tc>
      </w:tr>
    </w:tbl>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18"/>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序号</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项目</w:t>
            </w:r>
          </w:p>
        </w:tc>
        <w:tc>
          <w:tcPr>
            <w:tcW w:w="7088" w:type="dxa"/>
            <w:gridSpan w:val="2"/>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评审内容及规则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标准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8648" w:type="dxa"/>
            <w:gridSpan w:val="4"/>
          </w:tcPr>
          <w:p>
            <w:pPr>
              <w:spacing w:line="440" w:lineRule="exact"/>
              <w:jc w:val="center"/>
              <w:rPr>
                <w:rFonts w:cs="Times New Roman" w:asciiTheme="minorEastAsia" w:hAnsiTheme="minorEastAsia" w:eastAsiaTheme="minorEastAsia"/>
                <w:b/>
                <w:bCs/>
                <w:kern w:val="0"/>
                <w:sz w:val="21"/>
                <w:szCs w:val="21"/>
              </w:rPr>
            </w:pPr>
            <w:r>
              <w:rPr>
                <w:rFonts w:hint="eastAsia" w:cs="Times New Roman" w:asciiTheme="minorEastAsia" w:hAnsiTheme="minorEastAsia" w:eastAsiaTheme="minorEastAsia"/>
                <w:b/>
                <w:bCs/>
                <w:kern w:val="0"/>
                <w:sz w:val="21"/>
                <w:szCs w:val="21"/>
              </w:rPr>
              <w:t>商务评审</w:t>
            </w:r>
          </w:p>
        </w:tc>
        <w:tc>
          <w:tcPr>
            <w:tcW w:w="708" w:type="dxa"/>
            <w:vAlign w:val="center"/>
          </w:tcPr>
          <w:p>
            <w:pPr>
              <w:spacing w:line="440" w:lineRule="exact"/>
              <w:jc w:val="center"/>
              <w:rPr>
                <w:rFonts w:cs="Times New Roman" w:asciiTheme="minorEastAsia" w:hAnsiTheme="minorEastAsia" w:eastAsiaTheme="minorEastAsia"/>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价  格</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满足招标文件要求且报价最低的为评审基准价</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价格得分=（评审基准价/报价）×标准分值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业绩</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cs="Times New Roman" w:asciiTheme="majorEastAsia" w:hAnsiTheme="majorEastAsia" w:eastAsiaTheme="majorEastAsia"/>
                <w:kern w:val="0"/>
                <w:sz w:val="21"/>
                <w:szCs w:val="21"/>
              </w:rPr>
              <w:t>的销售业绩。以提供的销售合同复印件为准，未盖章或盖章不清晰、总金额或数量不清晰的合同无效。</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业绩得分=（所投产品业绩/基准业绩）×标准分值</w:t>
            </w:r>
            <w:r>
              <w:rPr>
                <w:rFonts w:hint="eastAsia" w:cs="Times New Roman" w:asciiTheme="majorEastAsia" w:hAnsiTheme="majorEastAsia" w:eastAsiaTheme="majorEastAsia"/>
                <w:kern w:val="0"/>
                <w:sz w:val="21"/>
                <w:szCs w:val="21"/>
              </w:rPr>
              <w:br w:type="textWrapping"/>
            </w:r>
            <w:r>
              <w:rPr>
                <w:rFonts w:hint="eastAsia" w:cs="Times New Roman" w:asciiTheme="majorEastAsia" w:hAnsiTheme="majorEastAsia" w:eastAsiaTheme="majorEastAsia"/>
                <w:kern w:val="0"/>
                <w:sz w:val="21"/>
                <w:szCs w:val="21"/>
              </w:rPr>
              <w:t>基准业绩=近三年（截止开标时间）所投产品有效合同累计销售最高数量（以有效合同份数计算）</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4"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三</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企业</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规模</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2.根据报价方近三年缴纳社保</w:t>
            </w:r>
            <w:r>
              <w:rPr>
                <w:rFonts w:hint="eastAsia" w:cs="Times New Roman" w:asciiTheme="majorEastAsia" w:hAnsiTheme="majorEastAsia" w:eastAsiaTheme="majorEastAsia"/>
                <w:b/>
                <w:kern w:val="0"/>
                <w:sz w:val="21"/>
                <w:szCs w:val="21"/>
                <w:u w:val="single"/>
              </w:rPr>
              <w:t>总金额</w:t>
            </w:r>
            <w:r>
              <w:rPr>
                <w:rFonts w:hint="eastAsia" w:cs="Times New Roman" w:asciiTheme="majorEastAsia" w:hAnsiTheme="majorEastAsia" w:eastAsiaTheme="majorEastAsia"/>
                <w:kern w:val="0"/>
                <w:sz w:val="21"/>
                <w:szCs w:val="21"/>
              </w:rPr>
              <w:t>由大至小排名，第一名得1分，依次递减0.2分。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四</w:t>
            </w:r>
          </w:p>
        </w:tc>
        <w:tc>
          <w:tcPr>
            <w:tcW w:w="852"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信  誉</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1.报价方近两年连续获得税务部门颁发的企业纳税信用</w:t>
            </w:r>
            <w:r>
              <w:rPr>
                <w:rFonts w:hint="eastAsia" w:cs="Times New Roman" w:asciiTheme="majorEastAsia" w:hAnsiTheme="majorEastAsia" w:eastAsiaTheme="majorEastAsia"/>
                <w:b/>
                <w:kern w:val="0"/>
                <w:sz w:val="21"/>
                <w:szCs w:val="21"/>
                <w:u w:val="single"/>
              </w:rPr>
              <w:t>A级</w:t>
            </w:r>
            <w:r>
              <w:rPr>
                <w:rFonts w:hint="eastAsia" w:cs="Times New Roman" w:asciiTheme="majorEastAsia" w:hAnsiTheme="majorEastAsia" w:eastAsiaTheme="majorEastAsia"/>
                <w:kern w:val="0"/>
                <w:sz w:val="21"/>
                <w:szCs w:val="21"/>
              </w:rPr>
              <w:t>评价证书的得0.5分，其他得0分。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852"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2.报价方近一年获得银行颁发的资信（信用）</w:t>
            </w:r>
            <w:r>
              <w:rPr>
                <w:rFonts w:hint="eastAsia" w:cs="Times New Roman" w:asciiTheme="majorEastAsia" w:hAnsiTheme="majorEastAsia" w:eastAsiaTheme="majorEastAsia"/>
                <w:b/>
                <w:kern w:val="0"/>
                <w:sz w:val="21"/>
                <w:szCs w:val="21"/>
                <w:u w:val="single"/>
              </w:rPr>
              <w:t>等级</w:t>
            </w:r>
            <w:r>
              <w:rPr>
                <w:rFonts w:hint="eastAsia" w:cs="Times New Roman" w:asciiTheme="majorEastAsia" w:hAnsiTheme="majorEastAsia" w:eastAsiaTheme="majorEastAsia"/>
                <w:kern w:val="0"/>
                <w:sz w:val="21"/>
                <w:szCs w:val="21"/>
              </w:rPr>
              <w:t>证明，级别最高的得0.5分，其他得0分。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五</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财务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状况</w:t>
            </w:r>
          </w:p>
        </w:tc>
        <w:tc>
          <w:tcPr>
            <w:tcW w:w="7088" w:type="dxa"/>
            <w:gridSpan w:val="2"/>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六</w:t>
            </w:r>
          </w:p>
        </w:tc>
        <w:tc>
          <w:tcPr>
            <w:tcW w:w="852"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报价方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性质</w:t>
            </w:r>
          </w:p>
        </w:tc>
        <w:tc>
          <w:tcPr>
            <w:tcW w:w="7088" w:type="dxa"/>
            <w:gridSpan w:val="2"/>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报价方是</w:t>
            </w:r>
            <w:r>
              <w:rPr>
                <w:rFonts w:hint="eastAsia" w:cs="Times New Roman" w:asciiTheme="majorEastAsia" w:hAnsiTheme="majorEastAsia" w:eastAsiaTheme="majorEastAsia"/>
                <w:b/>
                <w:kern w:val="0"/>
                <w:sz w:val="21"/>
                <w:szCs w:val="21"/>
                <w:u w:val="single"/>
              </w:rPr>
              <w:t>生产企业或进口产品全国（大区）总代理</w:t>
            </w:r>
            <w:r>
              <w:rPr>
                <w:rFonts w:hint="eastAsia" w:cs="Times New Roman" w:asciiTheme="majorEastAsia" w:hAnsiTheme="majorEastAsia" w:eastAsiaTheme="majorEastAsia"/>
                <w:kern w:val="0"/>
                <w:sz w:val="21"/>
                <w:szCs w:val="21"/>
              </w:rPr>
              <w:t>的得标准分值，不是的得0分。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spacing w:line="440" w:lineRule="exact"/>
              <w:jc w:val="center"/>
              <w:rPr>
                <w:rFonts w:cs="Times New Roman" w:asciiTheme="majorEastAsia" w:hAnsiTheme="majorEastAsia" w:eastAsiaTheme="majorEastAsia"/>
                <w:b/>
                <w:bCs/>
                <w:kern w:val="0"/>
                <w:sz w:val="21"/>
                <w:szCs w:val="21"/>
              </w:rPr>
            </w:pPr>
            <w:r>
              <w:rPr>
                <w:rFonts w:hint="eastAsia" w:cs="Times New Roman" w:asciiTheme="majorEastAsia" w:hAnsiTheme="majorEastAsia" w:eastAsiaTheme="majorEastAsia"/>
                <w:b/>
                <w:bCs/>
                <w:kern w:val="0"/>
                <w:sz w:val="21"/>
                <w:szCs w:val="21"/>
              </w:rPr>
              <w:t>技术评审</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一</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力量</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（7分）</w:t>
            </w: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1.提供所投产品技术专利证书（不包括外观专利）的1项得0.1分，最多得标准分值。</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2.所投产品具有CE认证的得标准分，没有得0分。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3.所投产品具有FDA认证的得标准分，没有得0分。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4.所投产品的同种产品投放市场时间最早的得标准分值，依次递减0.2分。（以生产企业生产该种产品首次获得的CFDA医疗器械注册证有效期起始时间为准。提供证明材料）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5.所投产品品牌入围最近年度“中国医疗设备行业数据及售后服务调查”三等甲级医院推荐品牌，排名最靠前的得标准分值，依次递减0.2分，最低得0分。（提供证明材料）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6.所投产品入围最近年度“中国医学装备协会发布优秀国产医疗设备产品目录”得标准分值，其他得0分。（提供证明材料）</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7.</w:t>
            </w:r>
            <w:r>
              <w:rPr>
                <w:rFonts w:cs="Times New Roman" w:asciiTheme="majorEastAsia" w:hAnsiTheme="majorEastAsia" w:eastAsiaTheme="majorEastAsia"/>
                <w:kern w:val="0"/>
                <w:sz w:val="21"/>
                <w:szCs w:val="21"/>
              </w:rPr>
              <w:t xml:space="preserve"> 所投产品技术优势特色：最优得标准分，依次递减</w:t>
            </w:r>
            <w:r>
              <w:rPr>
                <w:rFonts w:hint="eastAsia" w:cs="Times New Roman" w:asciiTheme="majorEastAsia" w:hAnsiTheme="majorEastAsia" w:eastAsiaTheme="majorEastAsia"/>
                <w:kern w:val="0"/>
                <w:sz w:val="21"/>
                <w:szCs w:val="21"/>
              </w:rPr>
              <w:t>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二</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产品技术性能指标参数满足偏离情况（</w:t>
            </w:r>
            <w:r>
              <w:rPr>
                <w:rFonts w:hint="eastAsia" w:cs="Times New Roman" w:asciiTheme="minorEastAsia" w:hAnsiTheme="minorEastAsia"/>
                <w:kern w:val="0"/>
                <w:sz w:val="21"/>
                <w:szCs w:val="21"/>
                <w:lang w:val="en-US" w:eastAsia="zh-CN"/>
              </w:rPr>
              <w:t>42</w:t>
            </w:r>
            <w:r>
              <w:rPr>
                <w:rFonts w:hint="eastAsia" w:cs="Times New Roman" w:asciiTheme="minorEastAsia" w:hAnsiTheme="minorEastAsia" w:eastAsiaTheme="minorEastAsia"/>
                <w:kern w:val="0"/>
                <w:sz w:val="21"/>
                <w:szCs w:val="21"/>
              </w:rPr>
              <w:t>分）</w:t>
            </w:r>
          </w:p>
        </w:tc>
        <w:tc>
          <w:tcPr>
            <w:tcW w:w="6946" w:type="dxa"/>
            <w:tcBorders>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1.可以量化排名的</w:t>
            </w:r>
            <w:r>
              <w:rPr>
                <w:rFonts w:hint="eastAsia" w:ascii="宋体" w:hAnsi="宋体" w:eastAsia="宋体" w:cs="宋体"/>
                <w:kern w:val="0"/>
                <w:sz w:val="21"/>
                <w:szCs w:val="21"/>
              </w:rPr>
              <w:t>★</w:t>
            </w:r>
            <w:r>
              <w:rPr>
                <w:rFonts w:hint="eastAsia" w:cs="Times New Roman" w:asciiTheme="majorEastAsia" w:hAnsiTheme="majorEastAsia" w:eastAsiaTheme="majorEastAsia"/>
                <w:kern w:val="0"/>
                <w:sz w:val="21"/>
                <w:szCs w:val="21"/>
              </w:rPr>
              <w:t>号、</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tcPr>
          <w:p>
            <w:pPr>
              <w:spacing w:line="440" w:lineRule="exact"/>
              <w:jc w:val="center"/>
              <w:rPr>
                <w:rFonts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8"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2.可以量化排名的</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2"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bottom w:val="single" w:color="auto" w:sz="4" w:space="0"/>
            </w:tcBorders>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 xml:space="preserve">3. </w:t>
            </w:r>
            <w:r>
              <w:rPr>
                <w:rFonts w:hint="eastAsia" w:cs="Times New Roman" w:asciiTheme="majorEastAsia" w:hAnsiTheme="majorEastAsia" w:eastAsiaTheme="majorEastAsia"/>
                <w:kern w:val="0"/>
                <w:sz w:val="21"/>
                <w:szCs w:val="21"/>
                <w:lang w:val="zh-CN"/>
              </w:rPr>
              <w:t>▲</w:t>
            </w:r>
            <w:r>
              <w:rPr>
                <w:rFonts w:hint="eastAsia" w:cs="Times New Roman" w:asciiTheme="majorEastAsia" w:hAnsiTheme="majorEastAsia" w:eastAsiaTheme="majorEastAsia"/>
                <w:kern w:val="0"/>
                <w:sz w:val="21"/>
                <w:szCs w:val="21"/>
              </w:rPr>
              <w:t>号指标和一般指标中不便量化排名的，满足要求的得标准分值，不满足的得0分。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shd w:val="clear" w:color="auto" w:fill="auto"/>
          </w:tcPr>
          <w:p>
            <w:pPr>
              <w:spacing w:line="440" w:lineRule="exact"/>
              <w:rPr>
                <w:rFonts w:cs="Times New Roman" w:asciiTheme="majorEastAsia" w:hAnsiTheme="majorEastAsia" w:eastAsiaTheme="majorEastAsia"/>
                <w:kern w:val="0"/>
                <w:sz w:val="21"/>
                <w:szCs w:val="21"/>
              </w:rPr>
            </w:pPr>
            <w:r>
              <w:rPr>
                <w:rFonts w:hint="eastAsia" w:cs="Times New Roman" w:asciiTheme="majorEastAsia" w:hAnsiTheme="majorEastAsia" w:eastAsiaTheme="majorEastAsia"/>
                <w:kern w:val="0"/>
                <w:sz w:val="21"/>
                <w:szCs w:val="21"/>
              </w:rPr>
              <w:t>4.产品配置不齐全或性能用途与招标要求不符，“产品技术性能指标参数满足偏离情况”总得分为0分。</w:t>
            </w:r>
          </w:p>
        </w:tc>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火线全功能战创伤模拟人</w:t>
            </w:r>
          </w:p>
        </w:tc>
        <w:tc>
          <w:tcPr>
            <w:tcW w:w="708" w:type="dxa"/>
            <w:noWrap/>
          </w:tcPr>
          <w:p>
            <w:pPr>
              <w:spacing w:line="440" w:lineRule="exact"/>
              <w:jc w:val="left"/>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★1.可进行野外拖拽、搬运、翻滚、洗消、开放气道、插管(口咽、鼻咽、气管插管）、通气、吸痰等训练，扪及动脉搏动，正确通气可见胸部起伏，过度通气可致胃胀气，有反馈；</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★2.抗干扰无线触控式平板控制，续航时长≥8小时，可添加学员信息、预设关键批注、根据需求编辑病例，也可以设定和听诊多种呼吸道音；</w:t>
            </w:r>
          </w:p>
        </w:tc>
        <w:tc>
          <w:tcPr>
            <w:tcW w:w="708" w:type="dxa"/>
            <w:vAlign w:val="center"/>
          </w:tcPr>
          <w:p>
            <w:pPr>
              <w:spacing w:line="44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★3.可进行止血、包扎训练，内置血槽，自动记录血量，感应到止血压力后自动止血并自动记录（综合伤口模块≥20个）。</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★4.可使用临床真实除颤仪进行电复律及电除颤训练，有反馈；</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5.配置监护仪，对体温、心电图等多种参数进行实时监护；</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6.进行CPR训练时,可将按压频率、按压深度、胸部回弹、按压中断、通气频率、通气效果以动态图形显示，可设置提示音（音量可调节）；</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jc w:val="lef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b/>
                <w:bCs/>
                <w:kern w:val="0"/>
                <w:sz w:val="21"/>
                <w:szCs w:val="21"/>
              </w:rPr>
              <w:t>战创伤穿戴式环甲膜穿刺训练模型</w:t>
            </w:r>
          </w:p>
        </w:tc>
        <w:tc>
          <w:tcPr>
            <w:tcW w:w="708" w:type="dxa"/>
            <w:noWrap/>
            <w:vAlign w:val="center"/>
          </w:tcPr>
          <w:p>
            <w:pPr>
              <w:spacing w:line="440" w:lineRule="exact"/>
              <w:jc w:val="center"/>
              <w:rPr>
                <w:rFonts w:hint="eastAsia" w:cs="Times New Roman" w:asciiTheme="minorEastAsia" w:hAnsiTheme="minorEastAsia" w:eastAsiaTheme="minorEastAsia"/>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1.解剖结构准确，穿戴式，包含环甲膜基座、环甲膜、环状软骨及甲状软骨结构，可进行环甲膜外科切开及环甲膜穿刺训练；</w:t>
            </w:r>
          </w:p>
        </w:tc>
        <w:tc>
          <w:tcPr>
            <w:tcW w:w="708" w:type="dxa"/>
            <w:vAlign w:val="center"/>
          </w:tcPr>
          <w:p>
            <w:pPr>
              <w:spacing w:line="440" w:lineRule="exact"/>
              <w:jc w:val="center"/>
              <w:rPr>
                <w:rFonts w:hint="eastAsia"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ascii="宋体" w:hAnsi="宋体" w:eastAsia="宋体" w:cs="宋体"/>
                <w:kern w:val="0"/>
                <w:sz w:val="20"/>
                <w:szCs w:val="21"/>
              </w:rPr>
            </w:pPr>
            <w:r>
              <w:rPr>
                <w:rFonts w:hint="eastAsia" w:ascii="宋体" w:hAnsi="宋体" w:eastAsia="宋体" w:cs="宋体"/>
                <w:kern w:val="0"/>
                <w:sz w:val="20"/>
                <w:szCs w:val="21"/>
              </w:rPr>
              <w:t>★2.配有≧3个穿戴式皮肤，≧50个模拟环甲膜，具有出血型皮肤，切开组织及置管可有血液流出；</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★3.穿刺有落空感，成功后，可置入气道导管进行通气，含≧5套环甲膜外科组合工具。</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noWrap/>
          </w:tcPr>
          <w:p>
            <w:pPr>
              <w:spacing w:line="440" w:lineRule="exact"/>
              <w:rPr>
                <w:rFonts w:hint="eastAsia" w:ascii="宋体" w:hAnsi="宋体" w:eastAsia="宋体" w:cs="宋体"/>
                <w:kern w:val="0"/>
                <w:sz w:val="20"/>
                <w:szCs w:val="21"/>
              </w:rPr>
            </w:pPr>
            <w:r>
              <w:rPr>
                <w:rFonts w:hint="eastAsia" w:ascii="宋体" w:hAnsi="宋体" w:eastAsia="宋体" w:cs="宋体"/>
                <w:kern w:val="0"/>
                <w:sz w:val="20"/>
                <w:szCs w:val="21"/>
              </w:rPr>
              <w:t>4.配有TCCC使用教学视频。</w:t>
            </w:r>
          </w:p>
        </w:tc>
        <w:tc>
          <w:tcPr>
            <w:tcW w:w="708" w:type="dxa"/>
            <w:vAlign w:val="center"/>
          </w:tcPr>
          <w:p>
            <w:pPr>
              <w:spacing w:line="440" w:lineRule="exact"/>
              <w:jc w:val="center"/>
              <w:rPr>
                <w:rFonts w:hint="default" w:eastAsia="宋体" w:cs="Times New Roman" w:asciiTheme="minorEastAsia" w:hAnsiTheme="minorEastAsia"/>
                <w:kern w:val="0"/>
                <w:sz w:val="20"/>
                <w:szCs w:val="21"/>
                <w:lang w:val="en-US" w:eastAsia="zh-CN"/>
              </w:rPr>
            </w:pPr>
            <w:r>
              <w:rPr>
                <w:rFonts w:hint="eastAsia" w:eastAsia="宋体" w:cs="Times New Roman" w:asciiTheme="minorEastAsia" w:hAnsiTheme="minorEastAsia"/>
                <w:kern w:val="0"/>
                <w:sz w:val="20"/>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三</w:t>
            </w:r>
          </w:p>
        </w:tc>
        <w:tc>
          <w:tcPr>
            <w:tcW w:w="994" w:type="dxa"/>
            <w:gridSpan w:val="2"/>
            <w:vAlign w:val="center"/>
          </w:tcPr>
          <w:p>
            <w:pPr>
              <w:widowControl/>
              <w:snapToGrid w:val="0"/>
              <w:spacing w:line="2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样品</w:t>
            </w:r>
          </w:p>
        </w:tc>
        <w:tc>
          <w:tcPr>
            <w:tcW w:w="6946" w:type="dxa"/>
            <w:noWrap/>
            <w:vAlign w:val="center"/>
          </w:tcPr>
          <w:p>
            <w:pPr>
              <w:widowControl/>
              <w:snapToGrid w:val="0"/>
              <w:spacing w:line="240" w:lineRule="exact"/>
              <w:jc w:val="left"/>
              <w:rPr>
                <w:rFonts w:hint="eastAsia" w:ascii="宋体" w:hAnsi="宋体" w:eastAsia="宋体" w:cs="宋体"/>
                <w:kern w:val="0"/>
                <w:sz w:val="21"/>
                <w:szCs w:val="21"/>
              </w:rPr>
            </w:pPr>
            <w:r>
              <w:rPr>
                <w:rFonts w:hint="eastAsia" w:ascii="宋体" w:hAnsi="宋体" w:eastAsia="宋体" w:cs="宋体"/>
                <w:color w:val="auto"/>
                <w:szCs w:val="21"/>
                <w:highlight w:val="none"/>
              </w:rPr>
              <w:t>根据样品的外观、现场测试数据等指标评分</w:t>
            </w:r>
          </w:p>
        </w:tc>
        <w:tc>
          <w:tcPr>
            <w:tcW w:w="708" w:type="dxa"/>
            <w:vAlign w:val="center"/>
          </w:tcPr>
          <w:p>
            <w:pPr>
              <w:spacing w:line="440" w:lineRule="exact"/>
              <w:jc w:val="center"/>
              <w:rPr>
                <w:rFonts w:hint="default" w:cs="Times New Roman" w:asciiTheme="minorEastAsia" w:hAnsiTheme="minorEastAsia" w:eastAsiaTheme="minorEastAsia"/>
                <w:kern w:val="0"/>
                <w:sz w:val="21"/>
                <w:szCs w:val="21"/>
                <w:lang w:val="en-US" w:eastAsia="zh-CN"/>
              </w:rPr>
            </w:pPr>
            <w:r>
              <w:rPr>
                <w:rFonts w:hint="eastAsia" w:cs="Times New Roman" w:asciiTheme="minorEastAsia" w:hAnsiTheme="minorEastAsia"/>
                <w:kern w:val="0"/>
                <w:sz w:val="2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spacing w:line="440" w:lineRule="exact"/>
              <w:jc w:val="center"/>
              <w:rPr>
                <w:rFonts w:hint="eastAsia" w:cs="Times New Roman" w:asciiTheme="minorEastAsia" w:hAnsiTheme="minorEastAsia" w:eastAsiaTheme="minorEastAsia"/>
                <w:kern w:val="0"/>
                <w:sz w:val="21"/>
                <w:szCs w:val="21"/>
                <w:lang w:eastAsia="zh-CN"/>
              </w:rPr>
            </w:pPr>
            <w:r>
              <w:rPr>
                <w:rFonts w:hint="eastAsia" w:cs="Times New Roman" w:asciiTheme="minorEastAsia" w:hAnsiTheme="minorEastAsia"/>
                <w:kern w:val="0"/>
                <w:sz w:val="21"/>
                <w:szCs w:val="21"/>
                <w:lang w:eastAsia="zh-CN"/>
              </w:rPr>
              <w:t>四</w:t>
            </w:r>
          </w:p>
        </w:tc>
        <w:tc>
          <w:tcPr>
            <w:tcW w:w="994" w:type="dxa"/>
            <w:gridSpan w:val="2"/>
            <w:vMerge w:val="restart"/>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售后</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服务</w:t>
            </w:r>
          </w:p>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（8分）</w:t>
            </w: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零配件支持：提供零配件全国统一报价，更换配件价格不超过统一报价的70%。在满足招标文件要求的基础上，根据</w:t>
            </w:r>
            <w:r>
              <w:rPr>
                <w:rFonts w:hint="eastAsia" w:cs="Times New Roman" w:asciiTheme="minorEastAsia" w:hAnsiTheme="minorEastAsia" w:eastAsiaTheme="minorEastAsia"/>
                <w:b/>
                <w:kern w:val="0"/>
                <w:sz w:val="21"/>
                <w:szCs w:val="21"/>
                <w:u w:val="single"/>
              </w:rPr>
              <w:t>主要零配件价格</w:t>
            </w:r>
            <w:r>
              <w:rPr>
                <w:rFonts w:hint="eastAsia" w:cs="Times New Roman" w:asciiTheme="minorEastAsia" w:hAnsiTheme="minorEastAsia" w:eastAsiaTheme="minorEastAsia"/>
                <w:kern w:val="0"/>
                <w:sz w:val="21"/>
                <w:szCs w:val="21"/>
              </w:rPr>
              <w:t>排名，报价最低的得标准分值，其余排名依次按标准分值的25%减分，最低得0分。三分之二以上技术专家认为报价不合理的得0分。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按照报价方承诺的零配件保证供应时间长短排名，时间最长的得标准分值，依次递减0.2分，最低得0分。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8" w:hRule="atLeast"/>
        </w:trPr>
        <w:tc>
          <w:tcPr>
            <w:tcW w:w="708" w:type="dxa"/>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994" w:type="dxa"/>
            <w:gridSpan w:val="2"/>
            <w:vMerge w:val="continue"/>
            <w:vAlign w:val="center"/>
          </w:tcPr>
          <w:p>
            <w:pPr>
              <w:spacing w:line="440" w:lineRule="exact"/>
              <w:jc w:val="center"/>
              <w:rPr>
                <w:rFonts w:cs="Times New Roman" w:asciiTheme="minorEastAsia" w:hAnsiTheme="minorEastAsia" w:eastAsiaTheme="minorEastAsia"/>
                <w:kern w:val="0"/>
                <w:sz w:val="21"/>
                <w:szCs w:val="21"/>
              </w:rPr>
            </w:pPr>
          </w:p>
        </w:tc>
        <w:tc>
          <w:tcPr>
            <w:tcW w:w="6946" w:type="dxa"/>
            <w:tcBorders>
              <w:bottom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技术支持和服务网点：</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1.产品和品牌具有较高知名度及广泛普及度，提供指定地点的现场服务支持，具备全国各主要省份的售后服务网络和对应的24小时服务支持热线且技术力量能满足部队维修服务需求的得1分，不满足得0分；</w:t>
            </w:r>
            <w:r>
              <w:rPr>
                <w:rFonts w:hint="eastAsia" w:cs="Times New Roman" w:asciiTheme="minorEastAsia" w:hAnsiTheme="minorEastAsia" w:eastAsiaTheme="minorEastAsia"/>
                <w:kern w:val="0"/>
                <w:sz w:val="21"/>
                <w:szCs w:val="21"/>
              </w:rPr>
              <w:br w:type="textWrapping"/>
            </w:r>
            <w:r>
              <w:rPr>
                <w:rFonts w:hint="eastAsia" w:cs="Times New Roman" w:asciiTheme="minorEastAsia" w:hAnsiTheme="minorEastAsia" w:eastAsiaTheme="minorEastAsia"/>
                <w:kern w:val="0"/>
                <w:sz w:val="21"/>
                <w:szCs w:val="21"/>
              </w:rPr>
              <w:t>2.根据指定地点的服务网点数量排名，第一名得1分，依次按标准分值25%递减，最低得0分。</w:t>
            </w:r>
          </w:p>
        </w:tc>
        <w:tc>
          <w:tcPr>
            <w:tcW w:w="708" w:type="dxa"/>
            <w:tcBorders>
              <w:bottom w:val="single" w:color="auto" w:sz="4" w:space="0"/>
            </w:tcBorders>
            <w:vAlign w:val="center"/>
          </w:tcPr>
          <w:p>
            <w:pPr>
              <w:spacing w:line="44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708" w:type="dxa"/>
            <w:vMerge w:val="continue"/>
            <w:vAlign w:val="center"/>
          </w:tcPr>
          <w:p>
            <w:pPr>
              <w:spacing w:line="440" w:lineRule="exact"/>
              <w:jc w:val="center"/>
              <w:rPr>
                <w:rFonts w:eastAsia="宋体" w:cs="Times New Roman" w:asciiTheme="minorEastAsia" w:hAnsiTheme="minorEastAsia"/>
                <w:kern w:val="0"/>
                <w:sz w:val="20"/>
                <w:szCs w:val="21"/>
              </w:rPr>
            </w:pPr>
          </w:p>
        </w:tc>
        <w:tc>
          <w:tcPr>
            <w:tcW w:w="994" w:type="dxa"/>
            <w:gridSpan w:val="2"/>
            <w:vMerge w:val="continue"/>
            <w:vAlign w:val="center"/>
          </w:tcPr>
          <w:p>
            <w:pPr>
              <w:spacing w:line="440" w:lineRule="exact"/>
              <w:jc w:val="center"/>
              <w:rPr>
                <w:rFonts w:eastAsia="宋体" w:cs="Times New Roman" w:asciiTheme="minorEastAsia" w:hAnsiTheme="minorEastAsia"/>
                <w:kern w:val="0"/>
                <w:sz w:val="20"/>
                <w:szCs w:val="21"/>
              </w:rPr>
            </w:pPr>
          </w:p>
        </w:tc>
        <w:tc>
          <w:tcPr>
            <w:tcW w:w="6946" w:type="dxa"/>
            <w:tcBorders>
              <w:top w:val="single" w:color="auto" w:sz="4" w:space="0"/>
            </w:tcBorders>
          </w:tcPr>
          <w:p>
            <w:pPr>
              <w:spacing w:line="440" w:lineRule="exact"/>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1.近三年企业售后服务未满足用户要求、未按承诺履行义务、被投诉的，每次得-1分。</w:t>
            </w:r>
          </w:p>
        </w:tc>
        <w:tc>
          <w:tcPr>
            <w:tcW w:w="708" w:type="dxa"/>
            <w:tcBorders>
              <w:top w:val="single" w:color="auto" w:sz="4" w:space="0"/>
            </w:tcBorders>
            <w:vAlign w:val="center"/>
          </w:tcPr>
          <w:p>
            <w:pPr>
              <w:spacing w:line="440" w:lineRule="exact"/>
              <w:jc w:val="center"/>
              <w:rPr>
                <w:rFonts w:eastAsia="宋体" w:cs="Times New Roman" w:asciiTheme="minorEastAsia" w:hAnsiTheme="minorEastAsia"/>
                <w:kern w:val="0"/>
                <w:sz w:val="20"/>
                <w:szCs w:val="21"/>
              </w:rPr>
            </w:pPr>
          </w:p>
        </w:tc>
      </w:tr>
    </w:tbl>
    <w:p>
      <w:pPr>
        <w:adjustRightInd w:val="0"/>
        <w:snapToGrid w:val="0"/>
        <w:spacing w:line="440" w:lineRule="exact"/>
        <w:rPr>
          <w:rFonts w:ascii="宋体" w:hAnsi="宋体" w:eastAsia="宋体" w:cs="Times New Roman"/>
          <w:kern w:val="0"/>
          <w:sz w:val="28"/>
          <w:szCs w:val="28"/>
        </w:rPr>
      </w:pPr>
    </w:p>
    <w:p>
      <w:pPr>
        <w:widowControl/>
        <w:adjustRightInd w:val="0"/>
        <w:snapToGrid w:val="0"/>
        <w:spacing w:line="440" w:lineRule="exact"/>
        <w:ind w:firstLine="566" w:firstLineChars="245"/>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4.评审委员会评审程序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(2)资格性审查。依据法律、法规和招标文件的规定，对投标文件中的资格证明、投标保证金等进行审查，以确定投标人是否具备投标资格，具体审查项目见表1。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(3)符合性审查。依据招标文件的规定，从投标文件的有效性、完整性和对招标文件的响应程度进行审查，以确定投标人是否对招标文件做出实质性响应，具体审查项目见表1。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解释与澄清。对投标文件中含义不明确、同类问题表述不一致或者有明显文字和计算错误的内容，评审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①开标时未宣读的投标价格、价格折扣和招标文件允许提供的备选投标方案等实质内容；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②投标文件中不响应招标文件规定的技术参数指标和商务应答；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③投标文件中未提供的证明其是否符合招标文件资格性、符合性规定要求的相关材料。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评审过程中，评审委员会认为招标文件有关事项表述不明确或者需要说明的，可以要求招标人书面解释。招标人应当给予书面解释，但不得改变招标文件的原义或者影响公平、公正评审。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(6)商务、技术评审。按照招标文件中规定的评标方法和标准，对资格性审查和符合性审查合格的投标文件（不含价格文件）进行商务和技术评审。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技术、商务评委应当独立评审。其中，技术评委只能按照技术评审标准进行技术评分，商务评委只能按照商务评审标准进行商务评分。独立评审前，评审委员会成员不得集体商议、沟通、协调，技术、商务评审方面存有歧义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价格评审。待商务、技术评审结束后，工作人员再将价格文件交评审委员会评审。存在低价恶意竞争的，由评审委员会全体成员按前款（六）投标报价有关要求认定；不存在低价恶意竞争的，由商务评委依据评审方法和评审标准对价格文件进行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复核评审情况。评审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(9)评审委员会依据经过复核的评审结果，对投标人进行排序并推荐预中标人。本项目只确认一家中标供应商。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出具评标报告。评审委员会根据全体成员签字的原始评标记录和评审结果编写评标报告。评标报告主要内容由评审委员会全体成员逐页签字确认。评审委员会成员对需要共同认定的事项存在争议的，按照少数服从多数的原则做出结论。持不同意见的评审委员会成员应当在评标报告上签署不同意见并说明理由；只签字未写明不同意见或者只写明不同意见未说明理由的，视为无意见；不签字的，不影响评标报告的有效性。评标报告应当包括下列主要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①开标日期和地点；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②获取招标文件供应商名单、投标人名单和评审委员会成员名单；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③评标方法；</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④开标记录和评标情况及说明，包括无效投标人名单及原因；</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⑤评标结果和候选中标人排序、报价汇总表，以及推荐候选中标人的理由，尤其是报价最高且预中标的、报价最低未预中标的情形，超预算以及投标文件被认定为无效的、废标的和终止评审等情形，评审委员会应当进行重点复核、分析原因，并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⑥评审委员会授标建议。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宣布评标结果。评标结果由评审委员会主任在评标现场向参与采购活动的投标人当场公布，且不得更改。公布的内容至少应包含预中标人名称、排序和投标报价，以及无效投标人名称和无效投标理由。投标人对评标结果有疑义的，评审委员会应当现场予以解答。</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5.评审委员会对投标文件密封、签署、盖章等进行审查过程中，有下列情形，但其他方面符合要求，应当评定为不影响整个投标文件有效性和采购活动公平竞争，并通过投标文件的符合性审查：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(1)密封时未加盖、少加盖单位公章或者密封章，但是密封完好、完整标明了投标供应商名称且得到投标供应商（法定代表人或者授权代表）现场认可的；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hint="eastAsia" w:ascii="仿宋_GB2312" w:hAnsi="宋体" w:eastAsia="仿宋_GB2312" w:cs="Times New Roman"/>
          <w:kern w:val="0"/>
          <w:sz w:val="32"/>
          <w:szCs w:val="32"/>
        </w:rPr>
        <w:t xml:space="preserve"> </w:t>
      </w:r>
      <w:r>
        <w:rPr>
          <w:rFonts w:hint="eastAsia" w:ascii="宋体" w:hAnsi="宋体" w:eastAsia="宋体" w:cs="Times New Roman"/>
          <w:kern w:val="0"/>
          <w:sz w:val="24"/>
          <w:szCs w:val="24"/>
        </w:rPr>
        <w:t>投标书、资格证明文件正副本数量齐全、密封完好，只是未按照招标文件要求进行分装、统装的；价格文件内容完整、单独密封，只是未按招标文件要求胶装成册的</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(3)存在个别地方（总数不超过2个且占应签字地方的比例不超过20%）没有法定代表人签字，但有法定代表人的私人印章或者授权代表有效签字的；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(4)除招标文件明确要求加盖供应商（法人）公章的以外，其他地方以相关专用章加盖的。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6.在商务评审过程中，有下列情形之一者，其投标将被否决：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(1)投标人或其制造商与招标人有利害关系可能影响招标公正性的；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(2)投标人参与项目前期咨询或招标文件编制的；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(3)不同投标人单位负责人为同一人或者存在控股、管理关系的；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(4)投标文件未按招标文件的要求签署的；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(5)投标人的投标书、资格证明材料未提供，或不符合国家规定或者招标文件要求的；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(6)同一投标人提交两个以上不同的投标方案或者投标报价的，但招标文件要求提交备选方案的除外；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(7)投标文件不满足招标文件加注星号（“★”）的关键商务条款要求的；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(8)投标人有串通投标、弄虚作假、行贿等违法行为的；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(9)存在招标文件中规定的否决投标的其他商务条款的。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7.技术评审过程中，有下列情形之一者，其投标将被否决：</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(1)投标文件不满足招标文件技术要求中加注星号（“★”）的关键条款（参数）要求，或加注星号（“★”）的关键条款（参数）无符合招标文件要求的技术资料支持的；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(2)投标文件技术规格中一般参数超出允许偏离的最大范围或最多项数的；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(3)投标文件技术规格中的响应与事实不符或虚假投标的；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(4)投标人复制招标文件的技术规格相关部分内容作为其投标文件中一部分的；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(5)存在招标文件中规定的否决投标的其他技术条款的。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8.投标人及其投标文件有下列情形之一的，在符合性审查时按照无效投标处理：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(1)未按照招标文件规定要求密封、签署、盖章的（前述第5条情形除外）；</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(2)投标文件组成明显不符合招标文件的规定要求，影响评审委员会评判的；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(3)投标有效期不符合招标文件要求的；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(4)其他未满足对投标文件有效性、完整性和对招标文件响应程度要求的情形。</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9.投标人及其投标文件有下列情形之一的，在资格性审查时按照无效投标处理：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(1)不具备招标文件中规定的资格性要求的；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(2)法定代表人授权不符合要求的；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(3)属于禁止参加投标的供应商的；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(4)不符合法律、法规、规章规定的资格性要求的；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(5)供应商授权代理人参加我院采购活动，致使该供应商受到处罚期间，该代理人代理其他供应商参加我院采购活动的；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(6)代理人同期（180天以内）代理2家以上供应商参加我院采购活动的。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10.有下列情形之一的，属于投标人相互串通投标，评审委员会应当对串标人按照无效投标处理：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(1)投标人之间协商投标报价等投标文件的实质性内容的；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(2)投标人之间约定中标人的；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(3)投标人之间约定部分投标人放弃投标或者中标的；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(4)属于同一集团、协会、商会等组织成员的投标人按照该组织要求协同投标的；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(5)投标人之间为谋取中标或者排斥特定投标人而采取其他联合行动的。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11.有下列情形之一的，视为投标人相互串通投标，评审委员会应当对串标人按照无效投标处理：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(1)不同投标人的投标文件由同一单位或者个人编制的；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(2)不同投标人委托同一单位或者个人办理投标事宜的；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(3)不同投标人的投标文件载明的项目管理成员为同一人的；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(4)不同投标人的投标文件异常一致或者投标报价呈规律性差异的；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(5)不同投标人的投标文件相互混装的；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12.有下列情形之一的，属于招标人与投标人串通投标，评审委员会应当对串标投标人按照无效投标处理：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(1)招标人在开标前开启投标文件并将有关信息泄露给其他投标人的；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(2)招标人直接或者间接向投标人泄露采购预算、评审委员会成员等信息的；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(3)招标人明示或者暗示投标人压低或者抬高投标报价的；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(4)招标人授意投标人撤换、修改投标文件的；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(5)招标人明示或者暗示投标人为特定投标人中标提供方便的；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(6)招标人与投标人为谋求特定投标人中标而采取其他串通行为的。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13.有下列情形之一的，属于虚假投标，评审委员会应当对投标人按照无效投标处理：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(1)使用通过受让或者租借等方式获取资格、资质证书投标的；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(2)使用伪造、变造的许可证件的；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(3)提供虚假的财务状况或者业绩的；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(4)提供虚假的项目负责人或者主要技术人员简历、劳动关系证明的；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(5)提供虚假信用状况的；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(6)提供虚假样品或借用、冒用其他供应商样品的；</w:t>
      </w: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其他弄虚作假行为的。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14.有下列情形之一的，按照废标处理：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(1)出现影响采购公平公正的违法、违规行为的；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(2)因重大变故，取消采购任务的。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15.开标后对下列情况，招标人以及评审委员会按照《军队物资采购评审管理办法》相关规定处理。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(1)经评审满足招标文件要求的投标供应商只有2家的，评审委员会应当分析原因。评审委员会（五分之四以上评委）认定投标人报价客观合理的，应当在评标报告中注明，</w:t>
      </w:r>
      <w:r>
        <w:rPr>
          <w:rFonts w:hint="eastAsia" w:ascii="宋体" w:hAnsi="宋体" w:eastAsia="宋体" w:cs="Times New Roman"/>
          <w:kern w:val="0"/>
          <w:sz w:val="24"/>
          <w:szCs w:val="24"/>
        </w:rPr>
        <w:t>采购机构报采购管理部门审批同意后，可直接比照竞争性谈判方式</w:t>
      </w:r>
      <w:r>
        <w:rPr>
          <w:rFonts w:hint="eastAsia" w:cs="Times New Roman" w:asciiTheme="minorEastAsia" w:hAnsiTheme="minorEastAsia"/>
          <w:kern w:val="0"/>
          <w:sz w:val="24"/>
          <w:szCs w:val="24"/>
        </w:rPr>
        <w:t>，按照至少2轮谈判、供应商3次报价程序，采用原评审方法及评审标准组织评审。</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经评审满足招标文件要求的投标人只有1家时，评审委员会（五分之四以上评委）认定投标人满足单一来源条件的，应当在评标报告中注明；招标人应当将该项目在网上公示1周（涉密项目除外），无其他供应商响应时，报采购管理部门申请变更采购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评审委员会（五分之四以上评委）认定采购项目技术指标参数、采购预算编制等方面存在问题，或者认定采购竞争不够充分的，应当予以废标，并在评标报告中注明；招标人应当报采购管理部门处理或者重新组织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投标人报价均超采购预算的，评审委员会应当分析原因；一般情况下视为需求部门（单位）不能支付，应当予以废标。评审委员会（五分之四以上评委）认定投标人报价客观合理的，可以继续评审，并出具评标报告。</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(6)同一需求部门（单位）同一经费来源的同类物资，部分产品单价或者金额超采购预算，但中标总金额未超采购预算的，不视为需求部门（单位）不能支付。</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16.经评审委员会评审，认为所有投标都不符合招标文件要求的，评审委员会将否决所有投标，招标人有权重新组织招标。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质疑与投诉</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（二）质疑由我院物资采购中心受理，投诉由我院采购领导小组办公室受理。供应商投诉事项应当是经过质疑的事项，未质疑的事项，投诉不予受理。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（三）招标人</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处理</w:t>
      </w:r>
      <w:r>
        <w:rPr>
          <w:rFonts w:cs="Times New Roman" w:asciiTheme="minorEastAsia" w:hAnsiTheme="minorEastAsia"/>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甘老师、杨老师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023-68766148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（四）供应商认为招标文件存在限制性、倾向性、排他性条款，使自己权益受到损害的，可以在投标截止时间10日前向物资采购中心提出书面质疑和相关证明材料。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（五）供应商</w:t>
      </w:r>
      <w:r>
        <w:rPr>
          <w:rFonts w:cs="Times New Roman" w:asciiTheme="minorEastAsia" w:hAnsiTheme="minorEastAsia"/>
          <w:kern w:val="0"/>
          <w:sz w:val="24"/>
          <w:szCs w:val="24"/>
        </w:rPr>
        <w:t>认为下列事项使自己权益受到损害的，</w:t>
      </w:r>
      <w:r>
        <w:rPr>
          <w:rFonts w:hint="eastAsia" w:cs="Times New Roman" w:asciiTheme="minorEastAsia" w:hAnsiTheme="minorEastAsia"/>
          <w:kern w:val="0"/>
          <w:sz w:val="24"/>
          <w:szCs w:val="24"/>
        </w:rPr>
        <w:t>可以</w:t>
      </w:r>
      <w:r>
        <w:rPr>
          <w:rFonts w:cs="Times New Roman" w:asciiTheme="minorEastAsia" w:hAnsiTheme="minorEastAsia"/>
          <w:kern w:val="0"/>
          <w:sz w:val="24"/>
          <w:szCs w:val="24"/>
        </w:rPr>
        <w:t>在评审结果公示期内，向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提出书面质疑</w:t>
      </w:r>
      <w:r>
        <w:rPr>
          <w:rFonts w:hint="eastAsia" w:cs="Times New Roman" w:asciiTheme="minorEastAsia" w:hAnsiTheme="minorEastAsia"/>
          <w:kern w:val="0"/>
          <w:sz w:val="24"/>
          <w:szCs w:val="24"/>
        </w:rPr>
        <w:t>和相关证明材料：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w:t>
      </w:r>
      <w:r>
        <w:rPr>
          <w:rFonts w:cs="Times New Roman" w:asciiTheme="minorEastAsia" w:hAnsiTheme="minorEastAsia"/>
          <w:kern w:val="0"/>
          <w:sz w:val="24"/>
          <w:szCs w:val="24"/>
        </w:rPr>
        <w:t>或者相关人员与供应商有利害关系，应当回避而没有回避的；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采购程序违反军队采购相关规定的；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3.投标人</w:t>
      </w:r>
      <w:r>
        <w:rPr>
          <w:rFonts w:cs="Times New Roman" w:asciiTheme="minorEastAsia" w:hAnsiTheme="minorEastAsia"/>
          <w:kern w:val="0"/>
          <w:sz w:val="24"/>
          <w:szCs w:val="24"/>
        </w:rPr>
        <w:t>之间</w:t>
      </w:r>
      <w:r>
        <w:rPr>
          <w:rFonts w:hint="eastAsia" w:cs="Times New Roman" w:asciiTheme="minorEastAsia" w:hAnsiTheme="minorEastAsia"/>
          <w:kern w:val="0"/>
          <w:sz w:val="24"/>
          <w:szCs w:val="24"/>
        </w:rPr>
        <w:t>或者招标人与投标人之间</w:t>
      </w:r>
      <w:r>
        <w:rPr>
          <w:rFonts w:cs="Times New Roman" w:asciiTheme="minorEastAsia" w:hAnsiTheme="minorEastAsia"/>
          <w:kern w:val="0"/>
          <w:sz w:val="24"/>
          <w:szCs w:val="24"/>
        </w:rPr>
        <w:t>存在串通行为的；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提供虚假资料</w:t>
      </w:r>
      <w:r>
        <w:rPr>
          <w:rFonts w:hint="eastAsia" w:cs="Times New Roman" w:asciiTheme="minorEastAsia" w:hAnsiTheme="minorEastAsia"/>
          <w:kern w:val="0"/>
          <w:sz w:val="24"/>
          <w:szCs w:val="24"/>
        </w:rPr>
        <w:t>骗取中标</w:t>
      </w:r>
      <w:r>
        <w:rPr>
          <w:rFonts w:cs="Times New Roman" w:asciiTheme="minorEastAsia" w:hAnsiTheme="minorEastAsia"/>
          <w:kern w:val="0"/>
          <w:sz w:val="24"/>
          <w:szCs w:val="24"/>
        </w:rPr>
        <w:t>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违反采购相关法律法规使自己权益受到损害的其他事项。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（六）</w:t>
      </w:r>
      <w:r>
        <w:rPr>
          <w:rFonts w:cs="Times New Roman" w:asciiTheme="minorEastAsia" w:hAnsiTheme="minorEastAsia"/>
          <w:kern w:val="0"/>
          <w:sz w:val="24"/>
          <w:szCs w:val="24"/>
        </w:rPr>
        <w:t>书面质疑</w:t>
      </w:r>
      <w:r>
        <w:rPr>
          <w:rFonts w:hint="eastAsia" w:cs="Times New Roman" w:asciiTheme="minorEastAsia" w:hAnsiTheme="minorEastAsia"/>
          <w:kern w:val="0"/>
          <w:sz w:val="24"/>
          <w:szCs w:val="24"/>
        </w:rPr>
        <w:t>应</w:t>
      </w:r>
      <w:r>
        <w:rPr>
          <w:rFonts w:cs="Times New Roman" w:asciiTheme="minorEastAsia" w:hAnsiTheme="minorEastAsia"/>
          <w:kern w:val="0"/>
          <w:sz w:val="24"/>
          <w:szCs w:val="24"/>
        </w:rPr>
        <w:t>由法定代表人签字</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加盖单位公章，同时出具法定代表人资格证明书</w:t>
      </w:r>
      <w:r>
        <w:rPr>
          <w:rFonts w:hint="eastAsia" w:cs="Times New Roman" w:asciiTheme="minorEastAsia" w:hAnsiTheme="minorEastAsia"/>
          <w:kern w:val="0"/>
          <w:sz w:val="24"/>
          <w:szCs w:val="24"/>
        </w:rPr>
        <w:t>。</w:t>
      </w:r>
      <w:r>
        <w:rPr>
          <w:rFonts w:cs="Times New Roman" w:asciiTheme="minorEastAsia" w:hAnsiTheme="minorEastAsia"/>
          <w:kern w:val="0"/>
          <w:sz w:val="24"/>
          <w:szCs w:val="24"/>
        </w:rPr>
        <w:t>由</w:t>
      </w:r>
      <w:r>
        <w:rPr>
          <w:rFonts w:hint="eastAsia" w:cs="Times New Roman" w:asciiTheme="minorEastAsia" w:hAnsiTheme="minorEastAsia"/>
          <w:kern w:val="0"/>
          <w:sz w:val="24"/>
          <w:szCs w:val="24"/>
        </w:rPr>
        <w:t>全权代表</w:t>
      </w:r>
      <w:r>
        <w:rPr>
          <w:rFonts w:cs="Times New Roman" w:asciiTheme="minorEastAsia" w:hAnsiTheme="minorEastAsia"/>
          <w:kern w:val="0"/>
          <w:sz w:val="24"/>
          <w:szCs w:val="24"/>
        </w:rPr>
        <w:t>签字的，必须有法定代表人授权</w:t>
      </w:r>
      <w:r>
        <w:rPr>
          <w:rFonts w:hint="eastAsia" w:cs="Times New Roman" w:asciiTheme="minorEastAsia" w:hAnsiTheme="minorEastAsia"/>
          <w:kern w:val="0"/>
          <w:sz w:val="24"/>
          <w:szCs w:val="24"/>
        </w:rPr>
        <w:t>书和</w:t>
      </w:r>
      <w:r>
        <w:rPr>
          <w:rFonts w:cs="Times New Roman" w:asciiTheme="minorEastAsia" w:hAnsiTheme="minorEastAsia"/>
          <w:kern w:val="0"/>
          <w:sz w:val="24"/>
          <w:szCs w:val="24"/>
        </w:rPr>
        <w:t>法定代表人资格证明书</w:t>
      </w:r>
      <w:r>
        <w:rPr>
          <w:rFonts w:hint="eastAsia" w:cs="Times New Roman" w:asciiTheme="minorEastAsia" w:hAnsiTheme="minorEastAsia"/>
          <w:kern w:val="0"/>
          <w:sz w:val="24"/>
          <w:szCs w:val="24"/>
        </w:rPr>
        <w:t>，并</w:t>
      </w:r>
      <w:r>
        <w:rPr>
          <w:rFonts w:cs="Times New Roman" w:asciiTheme="minorEastAsia" w:hAnsiTheme="minorEastAsia"/>
          <w:kern w:val="0"/>
          <w:sz w:val="24"/>
          <w:szCs w:val="24"/>
        </w:rPr>
        <w:t>加盖单位公章</w:t>
      </w:r>
      <w:r>
        <w:rPr>
          <w:rFonts w:hint="eastAsia" w:cs="Times New Roman" w:asciiTheme="minorEastAsia" w:hAnsiTheme="minorEastAsia"/>
          <w:kern w:val="0"/>
          <w:sz w:val="24"/>
          <w:szCs w:val="24"/>
        </w:rPr>
        <w:t>。书面</w:t>
      </w:r>
      <w:r>
        <w:rPr>
          <w:rFonts w:cs="Times New Roman" w:asciiTheme="minorEastAsia" w:hAnsiTheme="minorEastAsia"/>
          <w:kern w:val="0"/>
          <w:sz w:val="24"/>
          <w:szCs w:val="24"/>
        </w:rPr>
        <w:t>质疑主要包括下列内容：</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1.质疑的采购项目名称和项目编号；</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w:t>
      </w:r>
      <w:r>
        <w:rPr>
          <w:rFonts w:hint="eastAsia" w:cs="Times New Roman" w:asciiTheme="minorEastAsia" w:hAnsiTheme="minorEastAsia"/>
          <w:kern w:val="0"/>
          <w:sz w:val="24"/>
          <w:szCs w:val="24"/>
        </w:rPr>
        <w:t>人</w:t>
      </w:r>
      <w:r>
        <w:rPr>
          <w:rFonts w:cs="Times New Roman" w:asciiTheme="minorEastAsia" w:hAnsiTheme="minorEastAsia"/>
          <w:kern w:val="0"/>
          <w:sz w:val="24"/>
          <w:szCs w:val="24"/>
        </w:rPr>
        <w:t>和被质疑人的名称，质疑人的地址、联系方式等；</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具体的质疑事项、事实依据及相关证明材料；</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提起质疑的日期。</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（七）</w:t>
      </w:r>
      <w:r>
        <w:rPr>
          <w:rFonts w:cs="Times New Roman" w:asciiTheme="minorEastAsia" w:hAnsiTheme="minorEastAsia"/>
          <w:kern w:val="0"/>
          <w:sz w:val="24"/>
          <w:szCs w:val="24"/>
        </w:rPr>
        <w:t>质疑有以下情形之一的，不予受理：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1.未按规定程序和渠道提出质疑的；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超</w:t>
      </w:r>
      <w:r>
        <w:rPr>
          <w:rFonts w:hint="eastAsia" w:cs="Times New Roman" w:asciiTheme="minorEastAsia" w:hAnsiTheme="minorEastAsia"/>
          <w:kern w:val="0"/>
          <w:sz w:val="24"/>
          <w:szCs w:val="24"/>
        </w:rPr>
        <w:t>过</w:t>
      </w:r>
      <w:r>
        <w:rPr>
          <w:rFonts w:cs="Times New Roman" w:asciiTheme="minorEastAsia" w:hAnsiTheme="minorEastAsia"/>
          <w:kern w:val="0"/>
          <w:sz w:val="24"/>
          <w:szCs w:val="24"/>
        </w:rPr>
        <w:t>质疑限期</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3.书面</w:t>
      </w:r>
      <w:r>
        <w:rPr>
          <w:rFonts w:cs="Times New Roman" w:asciiTheme="minorEastAsia" w:hAnsiTheme="minorEastAsia"/>
          <w:kern w:val="0"/>
          <w:sz w:val="24"/>
          <w:szCs w:val="24"/>
        </w:rPr>
        <w:t>质疑的形式和内容不符合</w:t>
      </w:r>
      <w:r>
        <w:rPr>
          <w:rFonts w:hint="eastAsia" w:cs="Times New Roman" w:asciiTheme="minorEastAsia" w:hAnsiTheme="minorEastAsia"/>
          <w:kern w:val="0"/>
          <w:sz w:val="24"/>
          <w:szCs w:val="24"/>
        </w:rPr>
        <w:t>上述要求的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提出的质疑事项已经明确答复的；</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w:t>
      </w:r>
      <w:r>
        <w:rPr>
          <w:rFonts w:cs="Times New Roman" w:asciiTheme="minorEastAsia" w:hAnsiTheme="minorEastAsia"/>
          <w:kern w:val="0"/>
          <w:sz w:val="24"/>
          <w:szCs w:val="24"/>
        </w:rPr>
        <w:t>法律法规规定的其他不予受理的条件。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（八）物资采购中心</w:t>
      </w:r>
      <w:r>
        <w:rPr>
          <w:rFonts w:cs="Times New Roman" w:asciiTheme="minorEastAsia" w:hAnsiTheme="minorEastAsia"/>
          <w:kern w:val="0"/>
          <w:sz w:val="24"/>
          <w:szCs w:val="24"/>
        </w:rPr>
        <w:t>应当自质疑签收之日起</w:t>
      </w:r>
      <w:r>
        <w:rPr>
          <w:rFonts w:hint="eastAsia" w:cs="Times New Roman" w:asciiTheme="minorEastAsia" w:hAnsiTheme="minorEastAsia"/>
          <w:kern w:val="0"/>
          <w:sz w:val="24"/>
          <w:szCs w:val="24"/>
        </w:rPr>
        <w:t>7</w:t>
      </w:r>
      <w:r>
        <w:rPr>
          <w:rFonts w:cs="Times New Roman" w:asciiTheme="minorEastAsia" w:hAnsiTheme="minorEastAsia"/>
          <w:kern w:val="0"/>
          <w:sz w:val="24"/>
          <w:szCs w:val="24"/>
        </w:rPr>
        <w:t>个工作日内做出书面答复。答复内容同时通知与处理结果有关的供应商，但答复内容不得涉及供应商的商业秘密。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在作出书面答复之前，可以采取现场解答的方式向</w:t>
      </w:r>
      <w:r>
        <w:rPr>
          <w:rFonts w:hint="eastAsia" w:cs="Times New Roman" w:asciiTheme="minorEastAsia" w:hAnsiTheme="minorEastAsia"/>
          <w:kern w:val="0"/>
          <w:sz w:val="24"/>
          <w:szCs w:val="24"/>
        </w:rPr>
        <w:t>质疑人</w:t>
      </w:r>
      <w:r>
        <w:rPr>
          <w:rFonts w:cs="Times New Roman" w:asciiTheme="minorEastAsia" w:hAnsiTheme="minorEastAsia"/>
          <w:kern w:val="0"/>
          <w:sz w:val="24"/>
          <w:szCs w:val="24"/>
        </w:rPr>
        <w:t>通报初步处理结果。供应商认可处理结果的，可在出具书面申请后撤回质疑或者放弃质疑，</w:t>
      </w:r>
      <w:r>
        <w:rPr>
          <w:rFonts w:hint="eastAsia" w:cs="Times New Roman" w:asciiTheme="minorEastAsia" w:hAnsiTheme="minorEastAsia"/>
          <w:kern w:val="0"/>
          <w:sz w:val="24"/>
          <w:szCs w:val="24"/>
        </w:rPr>
        <w:t>质疑处理机构</w:t>
      </w:r>
      <w:r>
        <w:rPr>
          <w:rFonts w:cs="Times New Roman" w:asciiTheme="minorEastAsia" w:hAnsiTheme="minorEastAsia"/>
          <w:kern w:val="0"/>
          <w:sz w:val="24"/>
          <w:szCs w:val="24"/>
        </w:rPr>
        <w:t>不再进行书面答复。</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（九）供应商</w:t>
      </w:r>
      <w:r>
        <w:rPr>
          <w:rFonts w:cs="Times New Roman" w:asciiTheme="minorEastAsia" w:hAnsiTheme="minorEastAsia"/>
          <w:kern w:val="0"/>
          <w:sz w:val="24"/>
          <w:szCs w:val="24"/>
        </w:rPr>
        <w:t>质疑有下列情形之一的，视为无效质疑，</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应当驳回质疑：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w:t>
      </w:r>
      <w:r>
        <w:rPr>
          <w:rFonts w:cs="Times New Roman" w:asciiTheme="minorEastAsia" w:hAnsiTheme="minorEastAsia"/>
          <w:kern w:val="0"/>
          <w:sz w:val="24"/>
          <w:szCs w:val="24"/>
        </w:rPr>
        <w:t>无具体的质疑事项，或者质疑事项缺乏事实和法律依据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质疑内容涉及评审工作细节、其他供应商</w:t>
      </w:r>
      <w:r>
        <w:rPr>
          <w:rFonts w:hint="eastAsia" w:cs="Times New Roman" w:asciiTheme="minorEastAsia" w:hAnsiTheme="minorEastAsia"/>
          <w:kern w:val="0"/>
          <w:sz w:val="24"/>
          <w:szCs w:val="24"/>
        </w:rPr>
        <w:t>投标</w:t>
      </w:r>
      <w:r>
        <w:rPr>
          <w:rFonts w:cs="Times New Roman" w:asciiTheme="minorEastAsia" w:hAnsiTheme="minorEastAsia"/>
          <w:kern w:val="0"/>
          <w:sz w:val="24"/>
          <w:szCs w:val="24"/>
        </w:rPr>
        <w:t>资料等保密事项且无法提供信息的合法来源</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质疑已经处理并明确答复后，质疑人就同一事项再次提起质疑且未提供新的有效证据</w:t>
      </w:r>
      <w:r>
        <w:rPr>
          <w:rFonts w:hint="eastAsia" w:cs="Times New Roman" w:asciiTheme="minorEastAsia" w:hAnsiTheme="minorEastAsia"/>
          <w:kern w:val="0"/>
          <w:sz w:val="24"/>
          <w:szCs w:val="24"/>
        </w:rPr>
        <w:t>的</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应当对供应商无效质疑情况记录存档</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（十）供应商</w:t>
      </w:r>
      <w:r>
        <w:rPr>
          <w:rFonts w:cs="Times New Roman" w:asciiTheme="minorEastAsia" w:hAnsiTheme="minorEastAsia"/>
          <w:kern w:val="0"/>
          <w:sz w:val="24"/>
          <w:szCs w:val="24"/>
        </w:rPr>
        <w:t>进行虚假和恶意质疑，干扰</w:t>
      </w:r>
      <w:r>
        <w:rPr>
          <w:rFonts w:hint="eastAsia" w:cs="Times New Roman" w:asciiTheme="minorEastAsia" w:hAnsiTheme="minorEastAsia"/>
          <w:kern w:val="0"/>
          <w:sz w:val="24"/>
          <w:szCs w:val="24"/>
        </w:rPr>
        <w:t>我院</w:t>
      </w:r>
      <w:r>
        <w:rPr>
          <w:rFonts w:cs="Times New Roman" w:asciiTheme="minorEastAsia" w:hAnsiTheme="minorEastAsia"/>
          <w:kern w:val="0"/>
          <w:sz w:val="24"/>
          <w:szCs w:val="24"/>
        </w:rPr>
        <w:t>采购活动的，</w:t>
      </w:r>
      <w:r>
        <w:rPr>
          <w:rFonts w:hint="eastAsia" w:cs="Times New Roman" w:asciiTheme="minorEastAsia" w:hAnsiTheme="minorEastAsia"/>
          <w:kern w:val="0"/>
          <w:sz w:val="24"/>
          <w:szCs w:val="24"/>
        </w:rPr>
        <w:t>物资采购中心可以申请上级采购管理部门作出处罚。</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p>
    <w:p>
      <w:pPr>
        <w:adjustRightInd w:val="0"/>
        <w:snapToGrid w:val="0"/>
        <w:spacing w:line="440" w:lineRule="exact"/>
        <w:ind w:firstLine="462" w:firstLineChars="200"/>
        <w:rPr>
          <w:rFonts w:cs="Times New Roman" w:asciiTheme="minorEastAsia" w:hAnsiTheme="minorEastAsia"/>
          <w:snapToGrid w:val="0"/>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七、定标</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（一）</w:t>
      </w:r>
      <w:r>
        <w:rPr>
          <w:rFonts w:cs="Times New Roman" w:asciiTheme="minorEastAsia" w:hAnsiTheme="minorEastAsia"/>
          <w:kern w:val="0"/>
          <w:sz w:val="24"/>
          <w:szCs w:val="24"/>
        </w:rPr>
        <w:t>确定</w:t>
      </w:r>
      <w:r>
        <w:rPr>
          <w:rFonts w:hint="eastAsia" w:cs="Times New Roman" w:asciiTheme="minorEastAsia" w:hAnsiTheme="minorEastAsia"/>
          <w:kern w:val="0"/>
          <w:sz w:val="24"/>
          <w:szCs w:val="24"/>
        </w:rPr>
        <w:t>中标人</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1.评审结束后3个工作日内，招标人根据评审委员会提出的书面评标报告，在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上公示评审结果，公示期为3个工作日。在公示期内无异议的，且通过医院价格审核，确定该项目排名第一的投标人为招标项目中标人。公示期内有异议的，按照本须知“质疑与投诉”规定的程序处理。</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2.招标人有权根据采购任务变更等实际情况调整中标数量。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（二）中标</w:t>
      </w:r>
      <w:r>
        <w:rPr>
          <w:rFonts w:cs="Times New Roman" w:asciiTheme="minorEastAsia" w:hAnsiTheme="minorEastAsia"/>
          <w:kern w:val="0"/>
          <w:sz w:val="24"/>
          <w:szCs w:val="24"/>
        </w:rPr>
        <w:t>通知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1.招标人在确定中标人后3个工作日内，以书面形式向中标人发出《中标通知书》。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2.《中标通知书》是签订合同草案的依据。若合同草案未获批准，招标人有权取消合同草案。</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中标</w:t>
      </w:r>
      <w:r>
        <w:rPr>
          <w:rFonts w:cs="Times New Roman" w:asciiTheme="minorEastAsia" w:hAnsiTheme="minorEastAsia"/>
          <w:kern w:val="0"/>
          <w:sz w:val="24"/>
          <w:szCs w:val="24"/>
        </w:rPr>
        <w:t>通知书》</w:t>
      </w:r>
      <w:r>
        <w:rPr>
          <w:rFonts w:hint="eastAsia" w:cs="Times New Roman" w:asciiTheme="minorEastAsia" w:hAnsiTheme="minorEastAsia"/>
          <w:kern w:val="0"/>
          <w:sz w:val="24"/>
          <w:szCs w:val="24"/>
        </w:rPr>
        <w:t>及签订的合同草案不能作为中标人启动生产或备货的依据，应待正式合同签订后再启动生产备货，否则，由此造成的后果由中标人自行承担。</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八、签订</w:t>
      </w:r>
      <w:r>
        <w:rPr>
          <w:rFonts w:cs="Times New Roman" w:asciiTheme="minorEastAsia" w:hAnsiTheme="minorEastAsia"/>
          <w:kern w:val="0"/>
          <w:sz w:val="24"/>
          <w:szCs w:val="24"/>
        </w:rPr>
        <w:t>合同</w:t>
      </w:r>
    </w:p>
    <w:p>
      <w:pPr>
        <w:adjustRightInd w:val="0"/>
        <w:snapToGrid w:val="0"/>
        <w:spacing w:line="440" w:lineRule="exact"/>
        <w:jc w:val="center"/>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中标人在招标人发出《中标通知书》之日起，按照招标人规定的时间、地点签订合同。未经招标人同意逾期不签订合同的，将取消中标人中标资格。</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（二）招标文件、中标人的投标文件、补充投标文件、澄清承诺、说明、补正和《中标通知书》等，均为签订合同的依据。</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（三）中标人应当按照合同约定履行义务，完成中标项目。中标人不得向他人转让中标项目，也不得将中标项目分包向他人转让或委托加工。</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受到禁止参加军队、大学、医院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九、</w:t>
      </w:r>
      <w:r>
        <w:rPr>
          <w:rFonts w:cs="Times New Roman" w:asciiTheme="minorEastAsia" w:hAnsiTheme="minorEastAsia"/>
          <w:kern w:val="0"/>
          <w:sz w:val="24"/>
          <w:szCs w:val="24"/>
        </w:rPr>
        <w:t>产品</w:t>
      </w:r>
      <w:r>
        <w:rPr>
          <w:rFonts w:hint="eastAsia" w:cs="Times New Roman" w:asciiTheme="minorEastAsia" w:hAnsiTheme="minorEastAsia"/>
          <w:kern w:val="0"/>
          <w:sz w:val="24"/>
          <w:szCs w:val="24"/>
        </w:rPr>
        <w:t>质量</w:t>
      </w:r>
      <w:r>
        <w:rPr>
          <w:rFonts w:cs="Times New Roman" w:asciiTheme="minorEastAsia" w:hAnsiTheme="minorEastAsia"/>
          <w:kern w:val="0"/>
          <w:sz w:val="24"/>
          <w:szCs w:val="24"/>
        </w:rPr>
        <w:t>检验验收</w:t>
      </w:r>
    </w:p>
    <w:p>
      <w:pPr>
        <w:adjustRightInd w:val="0"/>
        <w:snapToGrid w:val="0"/>
        <w:spacing w:line="440" w:lineRule="exact"/>
        <w:ind w:firstLine="462" w:firstLineChars="200"/>
        <w:rPr>
          <w:rFonts w:cs="宋体" w:asciiTheme="minorEastAsia" w:hAnsiTheme="minorEastAsia"/>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产品质量验收由合同甲方或者其指定（委托）的质检机构组织实施，中标人应予以积极配合。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w:t>
      </w:r>
      <w:r>
        <w:rPr>
          <w:rFonts w:hint="eastAsia" w:ascii="方正仿宋_GBK" w:hAnsi="宋体" w:eastAsia="方正仿宋_GBK" w:cs="Times New Roman"/>
          <w:sz w:val="24"/>
          <w:szCs w:val="24"/>
        </w:rPr>
        <w:t xml:space="preserve"> </w:t>
      </w:r>
      <w:r>
        <w:rPr>
          <w:rFonts w:hint="eastAsia" w:cs="Times New Roman" w:asciiTheme="minorEastAsia" w:hAnsiTheme="minorEastAsia"/>
          <w:kern w:val="0"/>
          <w:sz w:val="24"/>
          <w:szCs w:val="24"/>
        </w:rPr>
        <w:t>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招标文件、投标文件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中标人应将所提供货物的装箱清单、配件、随机工具、用户使用手册、维修手册、原厂保修卡等资料交付给合同甲方。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（四）如货物经验收不能达到招标约定的技术要求或质量标准，合同甲方有权退换货，并视作中标人不能交付货物而须支付违约赔偿金给合同甲方，合同甲方还可依法追究中标人的违约责任。</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十、</w:t>
      </w:r>
      <w:r>
        <w:rPr>
          <w:rFonts w:cs="Times New Roman" w:asciiTheme="minorEastAsia" w:hAnsiTheme="minorEastAsia"/>
          <w:kern w:val="0"/>
          <w:sz w:val="24"/>
          <w:szCs w:val="24"/>
        </w:rPr>
        <w:t>解释权限</w:t>
      </w:r>
    </w:p>
    <w:p>
      <w:pPr>
        <w:adjustRightInd w:val="0"/>
        <w:snapToGrid w:val="0"/>
        <w:spacing w:line="440" w:lineRule="exact"/>
        <w:ind w:firstLine="462" w:firstLineChars="200"/>
        <w:rPr>
          <w:rFonts w:cs="Times New Roman" w:asciiTheme="minorEastAsia" w:hAnsiTheme="minorEastAsia"/>
          <w:kern w:val="0"/>
          <w:sz w:val="24"/>
          <w:szCs w:val="24"/>
        </w:rPr>
      </w:pPr>
    </w:p>
    <w:p>
      <w:pPr>
        <w:adjustRightInd w:val="0"/>
        <w:snapToGrid w:val="0"/>
        <w:spacing w:line="440" w:lineRule="exact"/>
        <w:ind w:firstLine="462" w:firstLineChars="200"/>
        <w:rPr>
          <w:rFonts w:cs="Times New Roman" w:asciiTheme="minorEastAsia" w:hAnsiTheme="minorEastAsia"/>
          <w:kern w:val="0"/>
          <w:sz w:val="24"/>
          <w:szCs w:val="24"/>
        </w:rPr>
        <w:sectPr>
          <w:headerReference r:id="rId7" w:type="default"/>
          <w:pgSz w:w="11906" w:h="16838"/>
          <w:pgMar w:top="2098" w:right="1474" w:bottom="1985" w:left="1588" w:header="851" w:footer="992" w:gutter="0"/>
          <w:cols w:space="425" w:num="1"/>
          <w:docGrid w:type="linesAndChars" w:linePitch="579" w:charSpace="-1844"/>
        </w:sectPr>
      </w:pPr>
      <w:r>
        <w:rPr>
          <w:rFonts w:cs="Times New Roman" w:asciiTheme="minorEastAsia" w:hAnsiTheme="minorEastAsia"/>
          <w:kern w:val="0"/>
          <w:sz w:val="24"/>
          <w:szCs w:val="24"/>
        </w:rPr>
        <w:t>本</w:t>
      </w:r>
      <w:r>
        <w:rPr>
          <w:rFonts w:hint="eastAsia" w:cs="Times New Roman" w:asciiTheme="minorEastAsia" w:hAnsiTheme="minorEastAsia"/>
          <w:kern w:val="0"/>
          <w:sz w:val="24"/>
          <w:szCs w:val="24"/>
        </w:rPr>
        <w:t>招标</w:t>
      </w:r>
      <w:r>
        <w:rPr>
          <w:rFonts w:cs="Times New Roman" w:asciiTheme="minorEastAsia" w:hAnsiTheme="minorEastAsia"/>
          <w:kern w:val="0"/>
          <w:sz w:val="24"/>
          <w:szCs w:val="24"/>
        </w:rPr>
        <w:t>文件由</w:t>
      </w:r>
      <w:r>
        <w:rPr>
          <w:rFonts w:hint="eastAsia" w:cs="Times New Roman" w:asciiTheme="minorEastAsia" w:hAnsiTheme="minorEastAsia"/>
          <w:kern w:val="0"/>
          <w:sz w:val="24"/>
          <w:szCs w:val="24"/>
        </w:rPr>
        <w:t>招标人</w:t>
      </w:r>
      <w:r>
        <w:rPr>
          <w:rFonts w:cs="Times New Roman" w:asciiTheme="minorEastAsia" w:hAnsiTheme="minorEastAsia"/>
          <w:kern w:val="0"/>
          <w:sz w:val="24"/>
          <w:szCs w:val="24"/>
        </w:rPr>
        <w:t>负责解释。</w:t>
      </w:r>
    </w:p>
    <w:p>
      <w:pPr>
        <w:jc w:val="center"/>
        <w:outlineLvl w:val="0"/>
        <w:rPr>
          <w:rFonts w:ascii="黑体" w:hAnsi="黑体" w:eastAsia="黑体" w:cs="Times New Roman"/>
          <w:bCs/>
          <w:kern w:val="0"/>
          <w:sz w:val="32"/>
          <w:szCs w:val="32"/>
        </w:rPr>
      </w:pPr>
      <w:bookmarkStart w:id="14" w:name="_Toc390713969"/>
      <w:bookmarkStart w:id="15" w:name="_Toc285612603"/>
      <w:bookmarkStart w:id="16" w:name="_Toc435540981"/>
      <w:bookmarkStart w:id="17" w:name="_Toc37172690"/>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p>
    <w:p>
      <w:pPr>
        <w:adjustRightInd w:val="0"/>
        <w:snapToGrid w:val="0"/>
        <w:jc w:val="center"/>
        <w:rPr>
          <w:rFonts w:ascii="黑体" w:hAnsi="黑体" w:eastAsia="黑体" w:cs="Times New Roman"/>
          <w:bCs/>
          <w:sz w:val="32"/>
          <w:szCs w:val="32"/>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ascii="黑体" w:hAnsi="黑体" w:eastAsia="黑体" w:cs="Times New Roman"/>
          <w:b/>
          <w:bCs/>
          <w:sz w:val="32"/>
          <w:szCs w:val="32"/>
          <w:u w:val="single"/>
        </w:rPr>
        <w:t xml:space="preserve">              </w:t>
      </w:r>
      <w:r>
        <w:rPr>
          <w:rFonts w:hint="eastAsia" w:ascii="黑体" w:hAnsi="黑体" w:eastAsia="黑体" w:cs="Times New Roman"/>
          <w:bCs/>
          <w:sz w:val="32"/>
          <w:szCs w:val="32"/>
        </w:rPr>
        <w:t>采</w:t>
      </w:r>
      <w:r>
        <w:rPr>
          <w:rFonts w:ascii="黑体" w:hAnsi="黑体" w:eastAsia="黑体" w:cs="Times New Roman"/>
          <w:bCs/>
          <w:sz w:val="32"/>
          <w:szCs w:val="32"/>
        </w:rPr>
        <w:t xml:space="preserve"> </w:t>
      </w:r>
      <w:r>
        <w:rPr>
          <w:rFonts w:hint="eastAsia" w:ascii="黑体" w:hAnsi="黑体" w:eastAsia="黑体" w:cs="Times New Roman"/>
          <w:bCs/>
          <w:sz w:val="32"/>
          <w:szCs w:val="32"/>
        </w:rPr>
        <w:t>购</w:t>
      </w:r>
      <w:r>
        <w:rPr>
          <w:rFonts w:ascii="黑体" w:hAnsi="黑体" w:eastAsia="黑体" w:cs="Times New Roman"/>
          <w:bCs/>
          <w:sz w:val="32"/>
          <w:szCs w:val="32"/>
        </w:rPr>
        <w:t xml:space="preserve"> </w:t>
      </w:r>
      <w:r>
        <w:rPr>
          <w:rFonts w:hint="eastAsia" w:ascii="黑体" w:hAnsi="黑体" w:eastAsia="黑体" w:cs="Times New Roman"/>
          <w:bCs/>
          <w:sz w:val="32"/>
          <w:szCs w:val="32"/>
        </w:rPr>
        <w:t>合</w:t>
      </w:r>
      <w:r>
        <w:rPr>
          <w:rFonts w:ascii="黑体" w:hAnsi="黑体" w:eastAsia="黑体" w:cs="Times New Roman"/>
          <w:bCs/>
          <w:sz w:val="32"/>
          <w:szCs w:val="32"/>
        </w:rPr>
        <w:t xml:space="preserve"> </w:t>
      </w:r>
      <w:r>
        <w:rPr>
          <w:rFonts w:hint="eastAsia" w:ascii="黑体" w:hAnsi="黑体" w:eastAsia="黑体" w:cs="Times New Roman"/>
          <w:bCs/>
          <w:sz w:val="32"/>
          <w:szCs w:val="32"/>
        </w:rPr>
        <w:t>同</w:t>
      </w:r>
      <w:r>
        <w:rPr>
          <w:rFonts w:ascii="Times New Roman" w:hAnsi="Times New Roman" w:eastAsia="方正小标宋简体" w:cs="Times New Roman"/>
          <w:bCs/>
          <w:sz w:val="48"/>
        </w:rPr>
        <w:t xml:space="preserve">             </w:t>
      </w:r>
      <w:r>
        <w:rPr>
          <w:rFonts w:hint="eastAsia" w:ascii="黑体" w:hAnsi="黑体" w:eastAsia="黑体" w:cs="Times New Roman"/>
          <w:bCs/>
          <w:sz w:val="32"/>
          <w:szCs w:val="32"/>
        </w:rPr>
        <w:t xml:space="preserve"> </w:t>
      </w:r>
    </w:p>
    <w:p>
      <w:pPr>
        <w:adjustRightInd w:val="0"/>
        <w:snapToGrid w:val="0"/>
        <w:jc w:val="center"/>
        <w:rPr>
          <w:rFonts w:ascii="Times New Roman" w:hAnsi="Times New Roman" w:eastAsia="方正小标宋简体" w:cs="Times New Roman"/>
          <w:bCs/>
          <w:sz w:val="48"/>
        </w:rPr>
      </w:pPr>
    </w:p>
    <w:p>
      <w:pPr>
        <w:adjustRightInd w:val="0"/>
        <w:snapToGrid w:val="0"/>
        <w:rPr>
          <w:rFonts w:ascii="Times New Roman" w:hAnsi="Times New Roman" w:eastAsia="华文中宋" w:cs="Times New Roman"/>
          <w:bCs/>
          <w:szCs w:val="21"/>
        </w:rPr>
      </w:pPr>
      <w:r>
        <w:rPr>
          <w:rFonts w:hint="eastAsia" w:ascii="Times New Roman" w:hAnsi="Times New Roman" w:eastAsia="宋体" w:cs="Times New Roman"/>
          <w:bCs/>
        </w:rPr>
        <w:t>合同编号</w:t>
      </w:r>
      <w:r>
        <w:rPr>
          <w:rFonts w:hint="eastAsia" w:ascii="Times New Roman" w:hAnsi="Times New Roman" w:eastAsia="宋体" w:cs="Times New Roman"/>
        </w:rPr>
        <w:t>：</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签订日期</w:t>
      </w:r>
      <w:r>
        <w:rPr>
          <w:rFonts w:hint="eastAsia" w:ascii="Times New Roman" w:hAnsi="Times New Roman" w:eastAsia="宋体" w:cs="Times New Roman"/>
        </w:rPr>
        <w:t>：</w:t>
      </w:r>
      <w:r>
        <w:rPr>
          <w:rFonts w:ascii="Times New Roman" w:hAnsi="Times New Roman" w:eastAsia="宋体" w:cs="Times New Roman"/>
          <w:bCs/>
        </w:rPr>
        <w:t xml:space="preserve">      </w:t>
      </w:r>
      <w:r>
        <w:rPr>
          <w:rFonts w:hint="eastAsia" w:ascii="Times New Roman" w:hAnsi="Times New Roman" w:eastAsia="宋体" w:cs="Times New Roman"/>
          <w:bCs/>
        </w:rPr>
        <w:t>年</w:t>
      </w:r>
      <w:r>
        <w:rPr>
          <w:rFonts w:ascii="Times New Roman" w:hAnsi="Times New Roman" w:eastAsia="宋体" w:cs="Times New Roman"/>
          <w:bCs/>
        </w:rPr>
        <w:t xml:space="preserve">   </w:t>
      </w:r>
      <w:r>
        <w:rPr>
          <w:rFonts w:hint="eastAsia" w:ascii="Times New Roman" w:hAnsi="Times New Roman" w:eastAsia="宋体" w:cs="Times New Roman"/>
          <w:bCs/>
        </w:rPr>
        <w:t>月</w:t>
      </w:r>
      <w:r>
        <w:rPr>
          <w:rFonts w:ascii="Times New Roman" w:hAnsi="Times New Roman" w:eastAsia="宋体" w:cs="Times New Roman"/>
          <w:bCs/>
        </w:rPr>
        <w:t xml:space="preserve">   </w:t>
      </w:r>
      <w:r>
        <w:rPr>
          <w:rFonts w:hint="eastAsia" w:ascii="Times New Roman" w:hAnsi="Times New Roman" w:eastAsia="宋体" w:cs="Times New Roman"/>
          <w:bCs/>
        </w:rPr>
        <w:t>日</w:t>
      </w:r>
      <w:r>
        <w:rPr>
          <w:rFonts w:ascii="Times New Roman" w:hAnsi="Times New Roman" w:eastAsia="宋体" w:cs="Times New Roman"/>
        </w:rPr>
        <w:t xml:space="preserve">       </w:t>
      </w:r>
      <w:r>
        <w:rPr>
          <w:rFonts w:hint="eastAsia" w:ascii="Times New Roman" w:hAnsi="Times New Roman" w:eastAsia="宋体" w:cs="Times New Roman"/>
        </w:rPr>
        <w:t>　　　</w:t>
      </w:r>
      <w:r>
        <w:rPr>
          <w:rFonts w:ascii="Times New Roman" w:hAnsi="Times New Roman" w:eastAsia="宋体" w:cs="Times New Roman"/>
        </w:rPr>
        <w:t xml:space="preserve">                                </w:t>
      </w:r>
      <w:r>
        <w:rPr>
          <w:rFonts w:hint="eastAsia" w:ascii="Times New Roman" w:hAnsi="Times New Roman" w:eastAsia="宋体" w:cs="Times New Roman"/>
          <w:bCs/>
        </w:rPr>
        <w:t>签订地点：重庆市</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83"/>
        <w:gridCol w:w="659"/>
        <w:gridCol w:w="148"/>
        <w:gridCol w:w="1272"/>
        <w:gridCol w:w="1558"/>
        <w:gridCol w:w="3182"/>
        <w:gridCol w:w="364"/>
        <w:gridCol w:w="707"/>
        <w:gridCol w:w="417"/>
        <w:gridCol w:w="574"/>
        <w:gridCol w:w="1561"/>
        <w:gridCol w:w="1558"/>
        <w:gridCol w:w="1700"/>
        <w:gridCol w:w="50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503" w:type="pct"/>
            <w:gridSpan w:val="6"/>
            <w:tcBorders>
              <w:top w:val="single" w:color="auto" w:sz="1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甲　　方</w:t>
            </w:r>
          </w:p>
        </w:tc>
        <w:tc>
          <w:tcPr>
            <w:tcW w:w="2497" w:type="pct"/>
            <w:gridSpan w:val="8"/>
            <w:tcBorders>
              <w:top w:val="single" w:color="auto" w:sz="12" w:space="0"/>
              <w:left w:val="single" w:color="auto" w:sz="2" w:space="0"/>
              <w:bottom w:val="single" w:color="auto" w:sz="2" w:space="0"/>
              <w:right w:val="single" w:color="auto" w:sz="1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20"/>
                <w:szCs w:val="21"/>
              </w:rPr>
              <w:t>乙　　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zCs w:val="21"/>
              </w:rPr>
            </w:pPr>
            <w:r>
              <w:rPr>
                <w:rFonts w:hint="eastAsia" w:ascii="宋体" w:hAnsi="宋体" w:eastAsia="宋体" w:cs="Times New Roman"/>
                <w:bCs/>
                <w:spacing w:val="48"/>
                <w:kern w:val="0"/>
                <w:szCs w:val="21"/>
                <w:fitText w:val="1170" w:id="0"/>
              </w:rPr>
              <w:t>单位名</w:t>
            </w:r>
            <w:r>
              <w:rPr>
                <w:rFonts w:hint="eastAsia" w:ascii="宋体" w:hAnsi="宋体" w:eastAsia="宋体" w:cs="Times New Roman"/>
                <w:bCs/>
                <w:spacing w:val="6"/>
                <w:kern w:val="0"/>
                <w:szCs w:val="21"/>
                <w:fitText w:val="1170" w:id="0"/>
              </w:rPr>
              <w:t>称</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pacing w:val="20"/>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
              </w:rPr>
              <w:t>单位名</w:t>
            </w:r>
            <w:r>
              <w:rPr>
                <w:rFonts w:hint="eastAsia" w:ascii="宋体" w:hAnsi="宋体" w:eastAsia="宋体" w:cs="Times New Roman"/>
                <w:bCs/>
                <w:spacing w:val="6"/>
                <w:kern w:val="0"/>
                <w:szCs w:val="21"/>
                <w:fitText w:val="1170" w:id="1"/>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2"/>
              </w:rPr>
              <w:t>法定代表</w:t>
            </w:r>
            <w:r>
              <w:rPr>
                <w:rFonts w:hint="eastAsia" w:ascii="宋体" w:hAnsi="宋体" w:eastAsia="宋体" w:cs="Times New Roman"/>
                <w:bCs/>
                <w:spacing w:val="-6"/>
                <w:kern w:val="0"/>
                <w:szCs w:val="21"/>
                <w:fitText w:val="1170" w:id="2"/>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3"/>
              </w:rPr>
              <w:t>法定代表</w:t>
            </w:r>
            <w:r>
              <w:rPr>
                <w:rFonts w:hint="eastAsia" w:ascii="宋体" w:hAnsi="宋体" w:eastAsia="宋体" w:cs="Times New Roman"/>
                <w:bCs/>
                <w:spacing w:val="-6"/>
                <w:kern w:val="0"/>
                <w:szCs w:val="21"/>
                <w:fitText w:val="1170" w:id="3"/>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4"/>
              </w:rPr>
              <w:t>委托代理</w:t>
            </w:r>
            <w:r>
              <w:rPr>
                <w:rFonts w:hint="eastAsia" w:ascii="宋体" w:hAnsi="宋体" w:eastAsia="宋体" w:cs="Times New Roman"/>
                <w:bCs/>
                <w:spacing w:val="-6"/>
                <w:kern w:val="0"/>
                <w:szCs w:val="21"/>
                <w:fitText w:val="1170" w:id="4"/>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
                <w:kern w:val="0"/>
                <w:szCs w:val="21"/>
                <w:fitText w:val="1170" w:id="5"/>
              </w:rPr>
              <w:t>委托代理</w:t>
            </w:r>
            <w:r>
              <w:rPr>
                <w:rFonts w:hint="eastAsia" w:ascii="宋体" w:hAnsi="宋体" w:eastAsia="宋体" w:cs="Times New Roman"/>
                <w:bCs/>
                <w:spacing w:val="-6"/>
                <w:kern w:val="0"/>
                <w:szCs w:val="21"/>
                <w:fitText w:val="1170" w:id="5"/>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6"/>
              </w:rPr>
              <w:t>联系</w:t>
            </w:r>
            <w:r>
              <w:rPr>
                <w:rFonts w:hint="eastAsia" w:ascii="宋体" w:hAnsi="宋体" w:eastAsia="宋体" w:cs="Times New Roman"/>
                <w:bCs/>
                <w:spacing w:val="18"/>
                <w:kern w:val="0"/>
                <w:szCs w:val="21"/>
                <w:fitText w:val="1170" w:id="6"/>
              </w:rPr>
              <w:t>人</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120"/>
                <w:kern w:val="0"/>
                <w:szCs w:val="21"/>
                <w:fitText w:val="1170" w:id="7"/>
              </w:rPr>
              <w:t>联系</w:t>
            </w:r>
            <w:r>
              <w:rPr>
                <w:rFonts w:hint="eastAsia" w:ascii="宋体" w:hAnsi="宋体" w:eastAsia="宋体" w:cs="Times New Roman"/>
                <w:bCs/>
                <w:spacing w:val="18"/>
                <w:kern w:val="0"/>
                <w:szCs w:val="21"/>
                <w:fitText w:val="1170" w:id="7"/>
              </w:rPr>
              <w:t>人</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8"/>
              </w:rPr>
              <w:t>联系电</w:t>
            </w:r>
            <w:r>
              <w:rPr>
                <w:rFonts w:hint="eastAsia" w:ascii="宋体" w:hAnsi="宋体" w:eastAsia="宋体" w:cs="Times New Roman"/>
                <w:bCs/>
                <w:spacing w:val="6"/>
                <w:kern w:val="0"/>
                <w:szCs w:val="21"/>
                <w:fitText w:val="1170" w:id="8"/>
              </w:rPr>
              <w:t>话</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200" w:right="-99" w:rightChars="-51"/>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9"/>
              </w:rPr>
              <w:t>联系电</w:t>
            </w:r>
            <w:r>
              <w:rPr>
                <w:rFonts w:hint="eastAsia" w:ascii="宋体" w:hAnsi="宋体" w:eastAsia="宋体" w:cs="Times New Roman"/>
                <w:bCs/>
                <w:spacing w:val="6"/>
                <w:kern w:val="0"/>
                <w:szCs w:val="21"/>
                <w:fitText w:val="1170" w:id="9"/>
              </w:rPr>
              <w:t>话</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0"/>
              </w:rPr>
              <w:t>通讯地</w:t>
            </w:r>
            <w:r>
              <w:rPr>
                <w:rFonts w:hint="eastAsia" w:ascii="宋体" w:hAnsi="宋体" w:eastAsia="宋体" w:cs="Times New Roman"/>
                <w:bCs/>
                <w:spacing w:val="6"/>
                <w:kern w:val="0"/>
                <w:szCs w:val="21"/>
                <w:fitText w:val="1170" w:id="10"/>
              </w:rPr>
              <w:t>址</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1"/>
              </w:rPr>
              <w:t>通讯地</w:t>
            </w:r>
            <w:r>
              <w:rPr>
                <w:rFonts w:hint="eastAsia" w:ascii="宋体" w:hAnsi="宋体" w:eastAsia="宋体" w:cs="Times New Roman"/>
                <w:bCs/>
                <w:spacing w:val="6"/>
                <w:kern w:val="0"/>
                <w:szCs w:val="21"/>
                <w:fitText w:val="1170" w:id="11"/>
              </w:rPr>
              <w:t>址</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2"/>
              </w:rPr>
              <w:t>邮政编</w:t>
            </w:r>
            <w:r>
              <w:rPr>
                <w:rFonts w:hint="eastAsia" w:ascii="宋体" w:hAnsi="宋体" w:eastAsia="宋体" w:cs="Times New Roman"/>
                <w:bCs/>
                <w:spacing w:val="6"/>
                <w:kern w:val="0"/>
                <w:szCs w:val="21"/>
                <w:fitText w:val="1170" w:id="12"/>
              </w:rPr>
              <w:t>码</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3"/>
              </w:rPr>
              <w:t>邮政编</w:t>
            </w:r>
            <w:r>
              <w:rPr>
                <w:rFonts w:hint="eastAsia" w:ascii="宋体" w:hAnsi="宋体" w:eastAsia="宋体" w:cs="Times New Roman"/>
                <w:bCs/>
                <w:spacing w:val="6"/>
                <w:kern w:val="0"/>
                <w:szCs w:val="21"/>
                <w:fitText w:val="1170" w:id="13"/>
              </w:rPr>
              <w:t>码</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4"/>
              </w:rPr>
              <w:t>付款单</w:t>
            </w:r>
            <w:r>
              <w:rPr>
                <w:rFonts w:hint="eastAsia" w:ascii="宋体" w:hAnsi="宋体" w:eastAsia="宋体" w:cs="Times New Roman"/>
                <w:bCs/>
                <w:spacing w:val="6"/>
                <w:kern w:val="0"/>
                <w:szCs w:val="21"/>
                <w:fitText w:val="1170" w:id="14"/>
              </w:rPr>
              <w:t>位</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5"/>
              </w:rPr>
              <w:t>开户名</w:t>
            </w:r>
            <w:r>
              <w:rPr>
                <w:rFonts w:hint="eastAsia" w:ascii="宋体" w:hAnsi="宋体" w:eastAsia="宋体" w:cs="Times New Roman"/>
                <w:bCs/>
                <w:spacing w:val="6"/>
                <w:kern w:val="0"/>
                <w:szCs w:val="21"/>
                <w:fitText w:val="1170" w:id="15"/>
              </w:rPr>
              <w:t>称</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6"/>
              </w:rPr>
              <w:t>开户银</w:t>
            </w:r>
            <w:r>
              <w:rPr>
                <w:rFonts w:hint="eastAsia" w:ascii="宋体" w:hAnsi="宋体" w:eastAsia="宋体" w:cs="Times New Roman"/>
                <w:bCs/>
                <w:spacing w:val="6"/>
                <w:kern w:val="0"/>
                <w:szCs w:val="21"/>
                <w:fitText w:val="1170" w:id="16"/>
              </w:rPr>
              <w:t>行</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7"/>
              </w:rPr>
              <w:t>开户银</w:t>
            </w:r>
            <w:r>
              <w:rPr>
                <w:rFonts w:hint="eastAsia" w:ascii="宋体" w:hAnsi="宋体" w:eastAsia="宋体" w:cs="Times New Roman"/>
                <w:bCs/>
                <w:spacing w:val="6"/>
                <w:kern w:val="0"/>
                <w:szCs w:val="21"/>
                <w:fitText w:val="1170" w:id="17"/>
              </w:rPr>
              <w:t>行</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470" w:type="pct"/>
            <w:gridSpan w:val="3"/>
            <w:tcBorders>
              <w:top w:val="single" w:color="auto" w:sz="2" w:space="0"/>
              <w:left w:val="single" w:color="auto" w:sz="1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8"/>
              </w:rPr>
              <w:t>银行账</w:t>
            </w:r>
            <w:r>
              <w:rPr>
                <w:rFonts w:hint="eastAsia" w:ascii="宋体" w:hAnsi="宋体" w:eastAsia="宋体" w:cs="Times New Roman"/>
                <w:bCs/>
                <w:spacing w:val="6"/>
                <w:kern w:val="0"/>
                <w:szCs w:val="21"/>
                <w:fitText w:val="1170" w:id="18"/>
              </w:rPr>
              <w:t>号</w:t>
            </w:r>
          </w:p>
        </w:tc>
        <w:tc>
          <w:tcPr>
            <w:tcW w:w="203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宋体" w:hAnsi="宋体" w:eastAsia="宋体" w:cs="Times New Roman"/>
                <w:bCs/>
                <w:szCs w:val="21"/>
              </w:rPr>
            </w:pPr>
          </w:p>
        </w:tc>
        <w:tc>
          <w:tcPr>
            <w:tcW w:w="503" w:type="pct"/>
            <w:gridSpan w:val="3"/>
            <w:tcBorders>
              <w:top w:val="single" w:color="auto" w:sz="2" w:space="0"/>
              <w:left w:val="single" w:color="auto" w:sz="2" w:space="0"/>
              <w:bottom w:val="single" w:color="auto" w:sz="2" w:space="0"/>
              <w:right w:val="single" w:color="auto" w:sz="2" w:space="0"/>
            </w:tcBorders>
            <w:vAlign w:val="center"/>
          </w:tcPr>
          <w:p>
            <w:pPr>
              <w:adjustRightInd w:val="0"/>
              <w:snapToGrid w:val="0"/>
              <w:jc w:val="center"/>
              <w:rPr>
                <w:rFonts w:ascii="宋体" w:hAnsi="宋体" w:eastAsia="宋体" w:cs="Times New Roman"/>
                <w:bCs/>
                <w:spacing w:val="55"/>
                <w:kern w:val="0"/>
                <w:szCs w:val="21"/>
              </w:rPr>
            </w:pPr>
            <w:r>
              <w:rPr>
                <w:rFonts w:hint="eastAsia" w:ascii="宋体" w:hAnsi="宋体" w:eastAsia="宋体" w:cs="Times New Roman"/>
                <w:bCs/>
                <w:spacing w:val="48"/>
                <w:kern w:val="0"/>
                <w:szCs w:val="21"/>
                <w:fitText w:val="1170" w:id="19"/>
              </w:rPr>
              <w:t>银行账</w:t>
            </w:r>
            <w:r>
              <w:rPr>
                <w:rFonts w:hint="eastAsia" w:ascii="宋体" w:hAnsi="宋体" w:eastAsia="宋体" w:cs="Times New Roman"/>
                <w:bCs/>
                <w:spacing w:val="6"/>
                <w:kern w:val="0"/>
                <w:szCs w:val="21"/>
                <w:fitText w:val="1170" w:id="19"/>
              </w:rPr>
              <w:t>号</w:t>
            </w:r>
          </w:p>
        </w:tc>
        <w:tc>
          <w:tcPr>
            <w:tcW w:w="1994" w:type="pct"/>
            <w:gridSpan w:val="5"/>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宋体" w:hAnsi="宋体" w:eastAsia="宋体" w:cs="Times New Roman"/>
                <w:bCs/>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80" w:hRule="exact"/>
          <w:jc w:val="center"/>
        </w:trPr>
        <w:tc>
          <w:tcPr>
            <w:tcW w:w="5000" w:type="pct"/>
            <w:gridSpan w:val="14"/>
            <w:tcBorders>
              <w:top w:val="single" w:color="auto" w:sz="2" w:space="0"/>
              <w:left w:val="single" w:color="auto" w:sz="12" w:space="0"/>
              <w:bottom w:val="single" w:color="auto" w:sz="2" w:space="0"/>
              <w:right w:val="single" w:color="auto" w:sz="12" w:space="0"/>
            </w:tcBorders>
            <w:vAlign w:val="center"/>
          </w:tcPr>
          <w:p>
            <w:pPr>
              <w:adjustRightInd w:val="0"/>
              <w:snapToGrid w:val="0"/>
              <w:rPr>
                <w:rFonts w:ascii="Times New Roman" w:hAnsi="Times New Roman" w:eastAsia="宋体" w:cs="Times New Roman"/>
                <w:bCs/>
                <w:snapToGrid w:val="0"/>
                <w:spacing w:val="-10"/>
                <w:szCs w:val="21"/>
              </w:rPr>
            </w:pPr>
            <w:r>
              <w:rPr>
                <w:rFonts w:hint="eastAsia" w:ascii="Times New Roman" w:hAnsi="Times New Roman" w:eastAsia="宋体" w:cs="Times New Roman"/>
                <w:bCs/>
                <w:snapToGrid w:val="0"/>
                <w:spacing w:val="-10"/>
                <w:szCs w:val="21"/>
              </w:rPr>
              <w:t>一、项目编号：</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项目名称：</w:t>
            </w:r>
            <w:r>
              <w:rPr>
                <w:rFonts w:hint="eastAsia" w:ascii="Times New Roman" w:hAnsi="Times New Roman" w:eastAsia="宋体" w:cs="Times New Roman"/>
                <w:bCs/>
                <w:snapToGrid w:val="0"/>
                <w:spacing w:val="-10"/>
                <w:szCs w:val="21"/>
                <w:u w:val="single"/>
              </w:rPr>
              <w:t xml:space="preserve">                      </w:t>
            </w:r>
            <w:r>
              <w:rPr>
                <w:rFonts w:hint="eastAsia" w:ascii="Times New Roman" w:hAnsi="Times New Roman" w:eastAsia="宋体" w:cs="Times New Roman"/>
                <w:bCs/>
                <w:snapToGrid w:val="0"/>
                <w:spacing w:val="-10"/>
                <w:szCs w:val="21"/>
              </w:rPr>
              <w:t xml:space="preserve"> </w:t>
            </w:r>
            <w:r>
              <w:rPr>
                <w:rFonts w:ascii="Times New Roman" w:hAnsi="Times New Roman" w:eastAsia="宋体" w:cs="Times New Roman"/>
                <w:bCs/>
                <w:snapToGrid w:val="0"/>
                <w:spacing w:val="-10"/>
                <w:szCs w:val="21"/>
              </w:rPr>
              <w:t xml:space="preserve"> </w:t>
            </w:r>
            <w:r>
              <w:rPr>
                <w:rFonts w:hint="eastAsia" w:ascii="Times New Roman" w:hAnsi="Times New Roman" w:eastAsia="宋体" w:cs="Times New Roman"/>
                <w:bCs/>
                <w:snapToGrid w:val="0"/>
                <w:spacing w:val="-10"/>
                <w:szCs w:val="21"/>
              </w:rPr>
              <w:t xml:space="preserve"> </w:t>
            </w:r>
          </w:p>
          <w:p>
            <w:pPr>
              <w:adjustRightInd w:val="0"/>
              <w:snapToGrid w:val="0"/>
              <w:rPr>
                <w:rFonts w:ascii="Times New Roman" w:hAnsi="Times New Roman" w:eastAsia="宋体" w:cs="Times New Roman"/>
                <w:bCs/>
                <w:snapToGrid w:val="0"/>
                <w:spacing w:val="-10"/>
                <w:sz w:val="18"/>
              </w:rPr>
            </w:pPr>
            <w:r>
              <w:rPr>
                <w:rFonts w:hint="eastAsia" w:ascii="Times New Roman" w:hAnsi="Times New Roman" w:eastAsia="宋体" w:cs="Times New Roman"/>
                <w:bCs/>
                <w:snapToGrid w:val="0"/>
                <w:spacing w:val="-10"/>
                <w:szCs w:val="21"/>
              </w:rPr>
              <w:t>二、合同标的</w:t>
            </w:r>
            <w:r>
              <w:rPr>
                <w:rFonts w:ascii="Times New Roman" w:hAnsi="Times New Roman" w:eastAsia="宋体" w:cs="Times New Roman"/>
                <w:bCs/>
                <w:snapToGrid w:val="0"/>
                <w:spacing w:val="-1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bCs/>
                <w:sz w:val="18"/>
              </w:rPr>
            </w:pPr>
            <w:r>
              <w:rPr>
                <w:rFonts w:hint="eastAsia" w:ascii="Times New Roman" w:hAnsi="Times New Roman" w:eastAsia="宋体" w:cs="Times New Roman"/>
                <w:bCs/>
                <w:sz w:val="18"/>
              </w:rPr>
              <w:t>序号</w:t>
            </w: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1" w:leftChars="-52"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编码</w:t>
            </w: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物资名称</w:t>
            </w: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生产厂家</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（品牌）</w:t>
            </w: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规格型号</w:t>
            </w: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计量</w:t>
            </w:r>
          </w:p>
          <w:p>
            <w:pPr>
              <w:adjustRightInd w:val="0"/>
              <w:snapToGrid w:val="0"/>
              <w:ind w:left="-108" w:right="-99" w:rightChars="-51"/>
              <w:jc w:val="center"/>
              <w:rPr>
                <w:rFonts w:ascii="Times New Roman" w:hAnsi="Times New Roman" w:eastAsia="宋体" w:cs="Times New Roman"/>
                <w:bCs/>
                <w:sz w:val="18"/>
              </w:rPr>
            </w:pPr>
            <w:r>
              <w:rPr>
                <w:rFonts w:hint="eastAsia" w:ascii="Times New Roman" w:hAnsi="Times New Roman" w:eastAsia="宋体" w:cs="Times New Roman"/>
                <w:bCs/>
                <w:sz w:val="18"/>
              </w:rPr>
              <w:t>单位</w:t>
            </w: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数量</w:t>
            </w: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单价</w:t>
            </w:r>
          </w:p>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27" w:type="pct"/>
            <w:tcBorders>
              <w:top w:val="single" w:color="auto" w:sz="2" w:space="0"/>
              <w:left w:val="single" w:color="auto" w:sz="2" w:space="0"/>
              <w:bottom w:val="single" w:color="auto" w:sz="2" w:space="0"/>
              <w:right w:val="single" w:color="auto" w:sz="2" w:space="0"/>
            </w:tcBorders>
            <w:vAlign w:val="center"/>
          </w:tcPr>
          <w:p>
            <w:pPr>
              <w:widowControl/>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合计金额</w:t>
            </w:r>
          </w:p>
          <w:p>
            <w:pPr>
              <w:adjustRightInd w:val="0"/>
              <w:snapToGrid w:val="0"/>
              <w:ind w:left="-99" w:leftChars="-51"/>
              <w:jc w:val="center"/>
              <w:rPr>
                <w:rFonts w:ascii="Times New Roman" w:hAnsi="Times New Roman" w:eastAsia="宋体" w:cs="Times New Roman"/>
                <w:bCs/>
                <w:sz w:val="18"/>
              </w:rPr>
            </w:pPr>
            <w:r>
              <w:rPr>
                <w:rFonts w:hint="eastAsia" w:ascii="Times New Roman" w:hAnsi="Times New Roman" w:eastAsia="宋体" w:cs="Times New Roman"/>
                <w:bCs/>
                <w:sz w:val="18"/>
              </w:rPr>
              <w:t>（元）</w:t>
            </w: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交付时间</w:t>
            </w:r>
          </w:p>
        </w:tc>
        <w:tc>
          <w:tcPr>
            <w:tcW w:w="170" w:type="pct"/>
            <w:tcBorders>
              <w:top w:val="single" w:color="auto" w:sz="2" w:space="0"/>
              <w:left w:val="single" w:color="auto" w:sz="2" w:space="0"/>
              <w:bottom w:val="single" w:color="auto" w:sz="2" w:space="0"/>
              <w:right w:val="single" w:color="auto" w:sz="12" w:space="0"/>
            </w:tcBorders>
            <w:vAlign w:val="center"/>
          </w:tcPr>
          <w:p>
            <w:pPr>
              <w:adjustRightInd w:val="0"/>
              <w:snapToGrid w:val="0"/>
              <w:ind w:left="-108"/>
              <w:jc w:val="center"/>
              <w:rPr>
                <w:rFonts w:ascii="Times New Roman" w:hAnsi="Times New Roman" w:eastAsia="宋体" w:cs="Times New Roman"/>
                <w:bCs/>
                <w:sz w:val="18"/>
              </w:rPr>
            </w:pPr>
            <w:r>
              <w:rPr>
                <w:rFonts w:hint="eastAsia" w:ascii="Times New Roman" w:hAnsi="Times New Roman" w:eastAsia="宋体" w:cs="Times New Roman"/>
                <w:bCs/>
                <w:sz w:val="18"/>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right="-113" w:rightChars="-58"/>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restart"/>
            <w:tcBorders>
              <w:top w:val="single" w:color="auto" w:sz="2" w:space="0"/>
              <w:left w:val="single" w:color="auto" w:sz="2" w:space="0"/>
              <w:bottom w:val="single" w:color="auto" w:sz="2" w:space="0"/>
              <w:right w:val="single" w:color="auto" w:sz="12" w:space="0"/>
            </w:tcBorders>
            <w:vAlign w:val="center"/>
          </w:tcPr>
          <w:p>
            <w:pPr>
              <w:adjustRightInd w:val="0"/>
              <w:snapToGrid w:val="0"/>
              <w:ind w:left="100"/>
              <w:jc w:val="center"/>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197" w:type="pct"/>
            <w:tcBorders>
              <w:top w:val="single" w:color="auto" w:sz="2" w:space="0"/>
              <w:left w:val="single" w:color="auto" w:sz="12" w:space="0"/>
              <w:bottom w:val="single" w:color="auto" w:sz="2" w:space="0"/>
              <w:right w:val="single" w:color="auto" w:sz="2" w:space="0"/>
            </w:tcBorders>
            <w:vAlign w:val="center"/>
          </w:tcPr>
          <w:p>
            <w:pPr>
              <w:adjustRightInd w:val="0"/>
              <w:snapToGrid w:val="0"/>
              <w:ind w:left="-105" w:right="-113" w:rightChars="-58"/>
              <w:jc w:val="center"/>
              <w:rPr>
                <w:rFonts w:ascii="Times New Roman" w:hAnsi="Times New Roman" w:eastAsia="宋体" w:cs="Times New Roman"/>
                <w:sz w:val="18"/>
              </w:rPr>
            </w:pPr>
          </w:p>
        </w:tc>
        <w:tc>
          <w:tcPr>
            <w:tcW w:w="223"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480"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199"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239"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8" w:right="-99" w:rightChars="-51"/>
              <w:jc w:val="center"/>
              <w:rPr>
                <w:rFonts w:ascii="Times New Roman" w:hAnsi="Times New Roman" w:eastAsia="宋体" w:cs="Times New Roman"/>
                <w:sz w:val="18"/>
              </w:rPr>
            </w:pPr>
          </w:p>
        </w:tc>
        <w:tc>
          <w:tcPr>
            <w:tcW w:w="335" w:type="pct"/>
            <w:gridSpan w:val="2"/>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8"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27"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575" w:type="pct"/>
            <w:tcBorders>
              <w:top w:val="single" w:color="auto" w:sz="2" w:space="0"/>
              <w:left w:val="single" w:color="auto" w:sz="2" w:space="0"/>
              <w:bottom w:val="single" w:color="auto" w:sz="2" w:space="0"/>
              <w:right w:val="single" w:color="auto" w:sz="2" w:space="0"/>
            </w:tcBorders>
            <w:vAlign w:val="center"/>
          </w:tcPr>
          <w:p>
            <w:pPr>
              <w:adjustRightInd w:val="0"/>
              <w:snapToGrid w:val="0"/>
              <w:ind w:left="100"/>
              <w:jc w:val="center"/>
              <w:rPr>
                <w:rFonts w:ascii="Times New Roman" w:hAnsi="Times New Roman" w:eastAsia="宋体" w:cs="Times New Roman"/>
                <w:sz w:val="18"/>
              </w:rPr>
            </w:pPr>
          </w:p>
        </w:tc>
        <w:tc>
          <w:tcPr>
            <w:tcW w:w="170" w:type="pct"/>
            <w:vMerge w:val="continue"/>
            <w:tcBorders>
              <w:top w:val="single" w:color="auto" w:sz="2" w:space="0"/>
              <w:left w:val="single" w:color="auto" w:sz="2" w:space="0"/>
              <w:bottom w:val="single" w:color="auto" w:sz="2" w:space="0"/>
              <w:right w:val="single" w:color="auto" w:sz="12" w:space="0"/>
            </w:tcBorders>
            <w:vAlign w:val="center"/>
          </w:tcPr>
          <w:p>
            <w:pPr>
              <w:widowControl/>
              <w:jc w:val="left"/>
              <w:rPr>
                <w:rFonts w:ascii="Times New Roman" w:hAnsi="Times New Roman" w:eastAsia="宋体" w:cs="Times New Roman"/>
                <w:sz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000" w:type="pct"/>
            <w:gridSpan w:val="14"/>
            <w:tcBorders>
              <w:top w:val="nil"/>
              <w:left w:val="single" w:color="auto" w:sz="12" w:space="0"/>
              <w:bottom w:val="single" w:color="auto" w:sz="12" w:space="0"/>
              <w:right w:val="single" w:color="auto" w:sz="12" w:space="0"/>
            </w:tcBorders>
            <w:vAlign w:val="center"/>
          </w:tcPr>
          <w:p>
            <w:pPr>
              <w:adjustRightInd w:val="0"/>
              <w:snapToGrid w:val="0"/>
              <w:ind w:firstLine="98" w:firstLineChars="50"/>
              <w:rPr>
                <w:rFonts w:ascii="Times New Roman" w:hAnsi="Times New Roman" w:eastAsia="宋体" w:cs="Times New Roman"/>
                <w:bCs/>
              </w:rPr>
            </w:pPr>
            <w:r>
              <w:rPr>
                <w:rFonts w:hint="eastAsia" w:ascii="Times New Roman" w:hAnsi="Times New Roman" w:eastAsia="宋体" w:cs="Times New Roman"/>
                <w:bCs/>
              </w:rPr>
              <w:t>合计：人民币（</w:t>
            </w:r>
            <w:r>
              <w:rPr>
                <w:rFonts w:ascii="Times New Roman" w:hAnsi="Times New Roman" w:eastAsia="宋体" w:cs="Times New Roman"/>
                <w:bCs/>
              </w:rPr>
              <w:t xml:space="preserve">      </w:t>
            </w:r>
            <w:r>
              <w:rPr>
                <w:rFonts w:hint="eastAsia" w:ascii="Times New Roman" w:hAnsi="Times New Roman" w:eastAsia="宋体" w:cs="Times New Roman"/>
                <w:bCs/>
              </w:rPr>
              <w:t>）金额（大写）</w:t>
            </w:r>
            <w:r>
              <w:rPr>
                <w:rFonts w:ascii="Times New Roman" w:hAnsi="Times New Roman" w:eastAsia="宋体" w:cs="Times New Roman"/>
                <w:bCs/>
              </w:rPr>
              <w:t xml:space="preserve">    </w:t>
            </w:r>
            <w:r>
              <w:rPr>
                <w:rFonts w:hint="eastAsia" w:ascii="Times New Roman" w:hAnsi="Times New Roman" w:eastAsia="宋体" w:cs="Times New Roman"/>
                <w:bCs/>
              </w:rPr>
              <w:t>亿</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万</w:t>
            </w:r>
            <w:r>
              <w:rPr>
                <w:rFonts w:ascii="Times New Roman" w:hAnsi="Times New Roman" w:eastAsia="宋体" w:cs="Times New Roman"/>
                <w:bCs/>
              </w:rPr>
              <w:t xml:space="preserve">    </w:t>
            </w:r>
            <w:r>
              <w:rPr>
                <w:rFonts w:hint="eastAsia" w:ascii="Times New Roman" w:hAnsi="Times New Roman" w:eastAsia="宋体" w:cs="Times New Roman"/>
                <w:bCs/>
              </w:rPr>
              <w:t>仟</w:t>
            </w:r>
            <w:r>
              <w:rPr>
                <w:rFonts w:ascii="Times New Roman" w:hAnsi="Times New Roman" w:eastAsia="宋体" w:cs="Times New Roman"/>
                <w:bCs/>
              </w:rPr>
              <w:t xml:space="preserve">    </w:t>
            </w:r>
            <w:r>
              <w:rPr>
                <w:rFonts w:hint="eastAsia" w:ascii="Times New Roman" w:hAnsi="Times New Roman" w:eastAsia="宋体" w:cs="Times New Roman"/>
                <w:bCs/>
              </w:rPr>
              <w:t>佰</w:t>
            </w:r>
            <w:r>
              <w:rPr>
                <w:rFonts w:ascii="Times New Roman" w:hAnsi="Times New Roman" w:eastAsia="宋体" w:cs="Times New Roman"/>
                <w:bCs/>
              </w:rPr>
              <w:t xml:space="preserve">    </w:t>
            </w:r>
            <w:r>
              <w:rPr>
                <w:rFonts w:hint="eastAsia" w:ascii="Times New Roman" w:hAnsi="Times New Roman" w:eastAsia="宋体" w:cs="Times New Roman"/>
                <w:bCs/>
              </w:rPr>
              <w:t>拾</w:t>
            </w:r>
            <w:r>
              <w:rPr>
                <w:rFonts w:ascii="Times New Roman" w:hAnsi="Times New Roman" w:eastAsia="宋体" w:cs="Times New Roman"/>
                <w:bCs/>
              </w:rPr>
              <w:t xml:space="preserve">    </w:t>
            </w:r>
            <w:r>
              <w:rPr>
                <w:rFonts w:hint="eastAsia" w:ascii="Times New Roman" w:hAnsi="Times New Roman" w:eastAsia="宋体" w:cs="Times New Roman"/>
                <w:bCs/>
              </w:rPr>
              <w:t>元</w:t>
            </w:r>
            <w:r>
              <w:rPr>
                <w:rFonts w:ascii="Times New Roman" w:hAnsi="Times New Roman" w:eastAsia="宋体" w:cs="Times New Roman"/>
                <w:bCs/>
              </w:rPr>
              <w:t xml:space="preserve">    </w:t>
            </w:r>
            <w:r>
              <w:rPr>
                <w:rFonts w:hint="eastAsia" w:ascii="Times New Roman" w:hAnsi="Times New Roman" w:eastAsia="宋体" w:cs="Times New Roman"/>
                <w:bCs/>
              </w:rPr>
              <w:t>角</w:t>
            </w:r>
            <w:r>
              <w:rPr>
                <w:rFonts w:ascii="Times New Roman" w:hAnsi="Times New Roman" w:eastAsia="宋体" w:cs="Times New Roman"/>
                <w:bCs/>
              </w:rPr>
              <w:t xml:space="preserve">    </w:t>
            </w:r>
            <w:r>
              <w:rPr>
                <w:rFonts w:hint="eastAsia" w:ascii="Times New Roman" w:hAnsi="Times New Roman" w:eastAsia="宋体" w:cs="Times New Roman"/>
                <w:bCs/>
              </w:rPr>
              <w:t>分</w:t>
            </w:r>
            <w:r>
              <w:rPr>
                <w:rFonts w:ascii="Times New Roman" w:hAnsi="Times New Roman" w:eastAsia="宋体" w:cs="Times New Roman"/>
                <w:bCs/>
              </w:rPr>
              <w:t xml:space="preserve">   </w:t>
            </w:r>
            <w:r>
              <w:rPr>
                <w:rFonts w:hint="eastAsia" w:ascii="Times New Roman" w:hAnsi="Times New Roman" w:eastAsia="宋体" w:cs="Times New Roman"/>
                <w:bCs/>
              </w:rPr>
              <w:t>（小写）</w:t>
            </w:r>
            <w:r>
              <w:rPr>
                <w:rFonts w:ascii="Times New Roman" w:hAnsi="Times New Roman" w:eastAsia="宋体" w:cs="Times New Roman"/>
                <w:bCs/>
              </w:rPr>
              <w:t>¥</w:t>
            </w:r>
            <w:r>
              <w:rPr>
                <w:rFonts w:hint="eastAsia" w:ascii="Times New Roman" w:hAnsi="Times New Roman" w:eastAsia="宋体" w:cs="Times New Roman"/>
                <w:bCs/>
              </w:rPr>
              <w:t>：</w:t>
            </w:r>
          </w:p>
        </w:tc>
      </w:tr>
    </w:tbl>
    <w:p>
      <w:pPr>
        <w:adjustRightInd w:val="0"/>
        <w:snapToGrid w:val="0"/>
        <w:rPr>
          <w:rFonts w:ascii="Times New Roman" w:hAnsi="Times New Roman" w:eastAsia="华文中宋" w:cs="Times New Roman"/>
          <w:bCs/>
          <w:szCs w:val="21"/>
        </w:rPr>
      </w:pP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1478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20" w:hRule="atLeast"/>
          <w:jc w:val="center"/>
        </w:trPr>
        <w:tc>
          <w:tcPr>
            <w:tcW w:w="0" w:type="auto"/>
            <w:tcBorders>
              <w:top w:val="single" w:color="auto" w:sz="12" w:space="0"/>
              <w:left w:val="single" w:color="auto" w:sz="12" w:space="0"/>
              <w:bottom w:val="single" w:color="auto" w:sz="4" w:space="0"/>
              <w:right w:val="single" w:color="auto" w:sz="12" w:space="0"/>
            </w:tcBorders>
            <w:vAlign w:val="center"/>
          </w:tcPr>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三、质量标准</w:t>
            </w:r>
            <w:r>
              <w:rPr>
                <w:rFonts w:hint="eastAsia" w:ascii="宋体" w:hAnsi="宋体" w:eastAsia="宋体" w:cs="Times New Roman"/>
                <w:snapToGrid w:val="0"/>
                <w:sz w:val="18"/>
              </w:rPr>
              <w:t xml:space="preserve">  乙方提供的货物必须是全新的、未使用过的，物资质量应符合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投标书或投标文件承</w:t>
            </w:r>
          </w:p>
          <w:p>
            <w:pPr>
              <w:adjustRightInd w:val="0"/>
              <w:snapToGrid w:val="0"/>
              <w:ind w:firstLine="1239" w:firstLineChars="751"/>
              <w:rPr>
                <w:rFonts w:ascii="宋体" w:hAnsi="宋体" w:eastAsia="宋体" w:cs="Times New Roman"/>
                <w:snapToGrid w:val="0"/>
                <w:sz w:val="18"/>
                <w:u w:val="single"/>
              </w:rPr>
            </w:pPr>
            <w:r>
              <w:rPr>
                <w:rFonts w:hint="eastAsia" w:ascii="宋体" w:hAnsi="宋体" w:eastAsia="宋体" w:cs="Times New Roman"/>
                <w:snapToGrid w:val="0"/>
                <w:sz w:val="18"/>
              </w:rPr>
              <w:t xml:space="preserve">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b/>
                <w:bCs/>
                <w:snapToGrid w:val="0"/>
                <w:sz w:val="18"/>
              </w:rPr>
            </w:pPr>
            <w:r>
              <w:rPr>
                <w:rFonts w:hint="eastAsia" w:ascii="黑体" w:hAnsi="黑体" w:eastAsia="黑体" w:cs="Times New Roman"/>
                <w:bCs/>
                <w:snapToGrid w:val="0"/>
                <w:sz w:val="18"/>
              </w:rPr>
              <w:t>四、包装及资料</w:t>
            </w:r>
            <w:r>
              <w:rPr>
                <w:rFonts w:hint="eastAsia" w:ascii="宋体" w:hAnsi="宋体" w:eastAsia="宋体" w:cs="Times New Roman"/>
                <w:snapToGrid w:val="0"/>
                <w:sz w:val="18"/>
              </w:rPr>
              <w:t xml:space="preserve">  物资包装应符合  </w:t>
            </w:r>
            <w:r>
              <w:rPr>
                <w:rFonts w:ascii="宋体" w:hAnsi="宋体" w:eastAsia="宋体" w:cs="Times New Roman"/>
                <w:snapToGrid w:val="0"/>
                <w:sz w:val="18"/>
              </w:rPr>
              <w:t>□</w:t>
            </w:r>
            <w:r>
              <w:rPr>
                <w:rFonts w:hint="eastAsia" w:ascii="宋体" w:hAnsi="宋体" w:eastAsia="宋体" w:cs="Times New Roman"/>
                <w:snapToGrid w:val="0"/>
                <w:sz w:val="18"/>
              </w:rPr>
              <w:t xml:space="preserve">国际标准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国家标准  </w:t>
            </w:r>
            <w:r>
              <w:rPr>
                <w:rFonts w:ascii="宋体" w:hAnsi="宋体" w:eastAsia="宋体" w:cs="Times New Roman"/>
                <w:snapToGrid w:val="0"/>
                <w:sz w:val="18"/>
              </w:rPr>
              <w:t>□</w:t>
            </w:r>
            <w:r>
              <w:rPr>
                <w:rFonts w:hint="eastAsia" w:ascii="宋体" w:hAnsi="宋体" w:eastAsia="宋体" w:cs="Times New Roman"/>
                <w:snapToGrid w:val="0"/>
                <w:sz w:val="18"/>
              </w:rPr>
              <w:t xml:space="preserve">国军标  </w:t>
            </w:r>
            <w:r>
              <w:rPr>
                <w:rFonts w:ascii="宋体" w:hAnsi="宋体" w:eastAsia="宋体" w:cs="Times New Roman"/>
                <w:snapToGrid w:val="0"/>
                <w:sz w:val="18"/>
              </w:rPr>
              <w:t>□</w:t>
            </w:r>
            <w:r>
              <w:rPr>
                <w:rFonts w:hint="eastAsia" w:ascii="宋体" w:hAnsi="宋体" w:eastAsia="宋体" w:cs="Times New Roman"/>
                <w:snapToGrid w:val="0"/>
                <w:sz w:val="18"/>
              </w:rPr>
              <w:t xml:space="preserve">行业标准  </w:t>
            </w:r>
            <w:r>
              <w:rPr>
                <w:rFonts w:ascii="宋体" w:hAnsi="宋体" w:eastAsia="宋体" w:cs="Times New Roman"/>
                <w:snapToGrid w:val="0"/>
                <w:sz w:val="18"/>
              </w:rPr>
              <w:t>□</w:t>
            </w:r>
            <w:r>
              <w:rPr>
                <w:rFonts w:hint="eastAsia" w:ascii="宋体" w:hAnsi="宋体" w:eastAsia="宋体" w:cs="Times New Roman"/>
                <w:snapToGrid w:val="0"/>
                <w:sz w:val="18"/>
              </w:rPr>
              <w:t xml:space="preserve">企业标准  </w:t>
            </w:r>
            <w:r>
              <w:rPr>
                <w:rFonts w:ascii="宋体" w:hAnsi="宋体" w:eastAsia="宋体" w:cs="Times New Roman"/>
                <w:snapToGrid w:val="0"/>
                <w:sz w:val="18"/>
              </w:rPr>
              <w:t>□</w:t>
            </w:r>
            <w:r>
              <w:rPr>
                <w:rFonts w:hint="eastAsia" w:ascii="宋体" w:hAnsi="宋体" w:eastAsia="宋体" w:cs="Times New Roman"/>
                <w:snapToGrid w:val="0"/>
                <w:sz w:val="18"/>
              </w:rPr>
              <w:t xml:space="preserve">设计任务书  </w:t>
            </w:r>
            <w:r>
              <w:rPr>
                <w:rFonts w:ascii="宋体" w:hAnsi="宋体" w:eastAsia="宋体" w:cs="Times New Roman"/>
                <w:snapToGrid w:val="0"/>
                <w:sz w:val="18"/>
              </w:rPr>
              <w:t>□</w:t>
            </w:r>
            <w:r>
              <w:rPr>
                <w:rFonts w:hint="eastAsia" w:ascii="宋体" w:hAnsi="宋体" w:eastAsia="宋体" w:cs="Times New Roman"/>
                <w:snapToGrid w:val="0"/>
                <w:sz w:val="18"/>
              </w:rPr>
              <w:t xml:space="preserve">投标书或投标文件承诺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404" w:firstLineChars="851"/>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bCs/>
                <w:snapToGrid w:val="0"/>
                <w:sz w:val="18"/>
              </w:rPr>
              <w:t>物资出厂资料</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中文使用操作说明书（</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售后服务手册  </w:t>
            </w:r>
            <w:r>
              <w:rPr>
                <w:rFonts w:ascii="宋体" w:hAnsi="宋体" w:eastAsia="宋体" w:cs="Times New Roman"/>
                <w:snapToGrid w:val="0"/>
                <w:sz w:val="18"/>
              </w:rPr>
              <w:t>□</w:t>
            </w:r>
            <w:r>
              <w:rPr>
                <w:rFonts w:hint="eastAsia" w:ascii="宋体" w:hAnsi="宋体" w:eastAsia="宋体" w:cs="Times New Roman"/>
                <w:snapToGrid w:val="0"/>
                <w:sz w:val="18"/>
              </w:rPr>
              <w:t>操作维修光盘（</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套）  </w:t>
            </w:r>
            <w:r>
              <w:rPr>
                <w:rFonts w:ascii="宋体" w:hAnsi="宋体" w:eastAsia="宋体" w:cs="Times New Roman"/>
                <w:snapToGrid w:val="0"/>
                <w:sz w:val="18"/>
              </w:rPr>
              <w:t>□</w:t>
            </w:r>
            <w:r>
              <w:rPr>
                <w:rFonts w:hint="eastAsia" w:ascii="宋体" w:hAnsi="宋体" w:eastAsia="宋体" w:cs="Times New Roman"/>
                <w:snapToGrid w:val="0"/>
                <w:sz w:val="18"/>
              </w:rPr>
              <w:t xml:space="preserve">履历书  </w:t>
            </w:r>
            <w:r>
              <w:rPr>
                <w:rFonts w:ascii="宋体" w:hAnsi="宋体" w:eastAsia="宋体" w:cs="Times New Roman"/>
                <w:snapToGrid w:val="0"/>
                <w:sz w:val="18"/>
              </w:rPr>
              <w:t>□</w:t>
            </w:r>
            <w:r>
              <w:rPr>
                <w:rFonts w:hint="eastAsia" w:ascii="宋体" w:hAnsi="宋体" w:eastAsia="宋体" w:cs="Times New Roman"/>
                <w:snapToGrid w:val="0"/>
                <w:sz w:val="18"/>
              </w:rPr>
              <w:t xml:space="preserve">装箱清单  </w:t>
            </w:r>
            <w:r>
              <w:rPr>
                <w:rFonts w:ascii="宋体" w:hAnsi="宋体" w:eastAsia="宋体" w:cs="Times New Roman"/>
                <w:snapToGrid w:val="0"/>
                <w:sz w:val="18"/>
              </w:rPr>
              <w:t>□</w:t>
            </w:r>
            <w:r>
              <w:rPr>
                <w:rFonts w:hint="eastAsia" w:ascii="宋体" w:hAnsi="宋体" w:eastAsia="宋体" w:cs="Times New Roman"/>
                <w:snapToGrid w:val="0"/>
                <w:sz w:val="18"/>
              </w:rPr>
              <w:t xml:space="preserve">随装工具  </w:t>
            </w:r>
            <w:r>
              <w:rPr>
                <w:rFonts w:ascii="宋体" w:hAnsi="宋体" w:eastAsia="宋体" w:cs="Times New Roman"/>
                <w:snapToGrid w:val="0"/>
                <w:sz w:val="18"/>
              </w:rPr>
              <w:t>□</w:t>
            </w:r>
            <w:r>
              <w:rPr>
                <w:rFonts w:hint="eastAsia" w:ascii="宋体" w:hAnsi="宋体" w:eastAsia="宋体" w:cs="Times New Roman"/>
                <w:snapToGrid w:val="0"/>
                <w:sz w:val="18"/>
              </w:rPr>
              <w:t xml:space="preserve">随装备件  </w:t>
            </w:r>
          </w:p>
          <w:p>
            <w:pPr>
              <w:adjustRightInd w:val="0"/>
              <w:snapToGrid w:val="0"/>
              <w:ind w:firstLine="1404" w:firstLineChars="851"/>
              <w:rPr>
                <w:rFonts w:ascii="宋体" w:hAnsi="宋体" w:eastAsia="宋体" w:cs="Times New Roman"/>
                <w:b/>
                <w:bCs/>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质量检验证明</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产品合格证  </w:t>
            </w:r>
            <w:r>
              <w:rPr>
                <w:rFonts w:ascii="宋体" w:hAnsi="宋体" w:eastAsia="宋体" w:cs="Times New Roman"/>
                <w:snapToGrid w:val="0"/>
                <w:sz w:val="18"/>
              </w:rPr>
              <w:t>□</w:t>
            </w:r>
            <w:r>
              <w:rPr>
                <w:rFonts w:hint="eastAsia" w:ascii="宋体" w:hAnsi="宋体" w:eastAsia="宋体" w:cs="Times New Roman"/>
                <w:snapToGrid w:val="0"/>
                <w:sz w:val="18"/>
              </w:rPr>
              <w:t xml:space="preserve">军检合格证  </w:t>
            </w:r>
            <w:r>
              <w:rPr>
                <w:rFonts w:ascii="宋体" w:hAnsi="宋体" w:eastAsia="宋体" w:cs="Times New Roman"/>
                <w:snapToGrid w:val="0"/>
                <w:sz w:val="18"/>
              </w:rPr>
              <w:t>□</w:t>
            </w:r>
            <w:r>
              <w:rPr>
                <w:rFonts w:hint="eastAsia" w:ascii="宋体" w:hAnsi="宋体" w:eastAsia="宋体" w:cs="Times New Roman"/>
                <w:snapToGrid w:val="0"/>
                <w:sz w:val="18"/>
              </w:rPr>
              <w:t xml:space="preserve">装备铭牌（块数、式样、材质、安装位置供需双方商定）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五、检验验收</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出厂验收由</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组织，乙方配合。  □乙方详细生产地址</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交货验收</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过程检验</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 xml:space="preserve">  □</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b/>
                <w:bCs/>
                <w:snapToGrid w:val="0"/>
                <w:sz w:val="18"/>
              </w:rPr>
            </w:pPr>
            <w:r>
              <w:rPr>
                <w:rFonts w:hint="eastAsia" w:ascii="黑体" w:hAnsi="黑体" w:eastAsia="黑体" w:cs="Times New Roman"/>
                <w:bCs/>
                <w:snapToGrid w:val="0"/>
                <w:sz w:val="18"/>
              </w:rPr>
              <w:t>六、交货地点</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乙方</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甲方发运接收单指定地点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七、交货方式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甲方自提　</w:t>
            </w:r>
            <w:r>
              <w:rPr>
                <w:rFonts w:ascii="宋体" w:hAnsi="宋体" w:eastAsia="宋体" w:cs="Times New Roman"/>
                <w:snapToGrid w:val="0"/>
                <w:sz w:val="18"/>
              </w:rPr>
              <w:t>□</w:t>
            </w:r>
            <w:r>
              <w:rPr>
                <w:rFonts w:hint="eastAsia" w:ascii="宋体" w:hAnsi="宋体" w:eastAsia="宋体" w:cs="Times New Roman"/>
                <w:snapToGrid w:val="0"/>
                <w:sz w:val="18"/>
              </w:rPr>
              <w:t>乙方送货　</w:t>
            </w:r>
            <w:r>
              <w:rPr>
                <w:rFonts w:ascii="宋体" w:hAnsi="宋体" w:eastAsia="宋体" w:cs="Times New Roman"/>
                <w:snapToGrid w:val="0"/>
                <w:sz w:val="18"/>
              </w:rPr>
              <w:t>□</w:t>
            </w:r>
            <w:r>
              <w:rPr>
                <w:rFonts w:hint="eastAsia" w:ascii="宋体" w:hAnsi="宋体" w:eastAsia="宋体" w:cs="Times New Roman"/>
                <w:snapToGrid w:val="0"/>
                <w:sz w:val="18"/>
              </w:rPr>
              <w:t>甲方负责申请（</w:t>
            </w:r>
            <w:r>
              <w:rPr>
                <w:rFonts w:ascii="宋体" w:hAnsi="宋体" w:eastAsia="宋体" w:cs="Times New Roman"/>
                <w:snapToGrid w:val="0"/>
                <w:sz w:val="18"/>
              </w:rPr>
              <w:t>□</w:t>
            </w:r>
            <w:r>
              <w:rPr>
                <w:rFonts w:hint="eastAsia" w:ascii="宋体" w:hAnsi="宋体" w:eastAsia="宋体" w:cs="Times New Roman"/>
                <w:snapToGrid w:val="0"/>
                <w:sz w:val="18"/>
              </w:rPr>
              <w:t>公路</w:t>
            </w:r>
            <w:r>
              <w:rPr>
                <w:rFonts w:ascii="宋体" w:hAnsi="宋体" w:eastAsia="宋体" w:cs="Times New Roman"/>
                <w:snapToGrid w:val="0"/>
                <w:sz w:val="18"/>
              </w:rPr>
              <w:t xml:space="preserve">  □</w:t>
            </w:r>
            <w:r>
              <w:rPr>
                <w:rFonts w:hint="eastAsia" w:ascii="宋体" w:hAnsi="宋体" w:eastAsia="宋体" w:cs="Times New Roman"/>
                <w:snapToGrid w:val="0"/>
                <w:sz w:val="18"/>
              </w:rPr>
              <w:t>铁路</w:t>
            </w:r>
            <w:r>
              <w:rPr>
                <w:rFonts w:ascii="宋体" w:hAnsi="宋体" w:eastAsia="宋体" w:cs="Times New Roman"/>
                <w:snapToGrid w:val="0"/>
                <w:sz w:val="18"/>
              </w:rPr>
              <w:t xml:space="preserve">  □</w:t>
            </w:r>
            <w:r>
              <w:rPr>
                <w:rFonts w:hint="eastAsia" w:ascii="宋体" w:hAnsi="宋体" w:eastAsia="宋体" w:cs="Times New Roman"/>
                <w:snapToGrid w:val="0"/>
                <w:sz w:val="18"/>
              </w:rPr>
              <w:t>水运</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航空）军事运输计划组织发运，乙方配合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Times New Roman" w:hAnsi="Times New Roman" w:eastAsia="宋体" w:cs="Times New Roman"/>
                <w:snapToGrid w:val="0"/>
                <w:sz w:val="18"/>
                <w:u w:val="single"/>
              </w:rPr>
            </w:pPr>
            <w:r>
              <w:rPr>
                <w:rFonts w:hint="eastAsia" w:ascii="黑体" w:hAnsi="黑体" w:eastAsia="黑体" w:cs="Times New Roman"/>
                <w:bCs/>
                <w:snapToGrid w:val="0"/>
                <w:sz w:val="18"/>
              </w:rPr>
              <w:t>八、运输费用</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甲方承担，乙方代垫，凭票据报销  </w:t>
            </w:r>
            <w:r>
              <w:rPr>
                <w:rFonts w:ascii="宋体" w:hAnsi="宋体" w:eastAsia="宋体" w:cs="Times New Roman"/>
                <w:snapToGrid w:val="0"/>
                <w:sz w:val="18"/>
              </w:rPr>
              <w:t>□</w:t>
            </w:r>
            <w:r>
              <w:rPr>
                <w:rFonts w:hint="eastAsia" w:ascii="宋体" w:hAnsi="宋体" w:eastAsia="宋体" w:cs="Times New Roman"/>
                <w:snapToGrid w:val="0"/>
                <w:sz w:val="18"/>
              </w:rPr>
              <w:t xml:space="preserve">乙方承担  </w:t>
            </w:r>
            <w:r>
              <w:rPr>
                <w:rFonts w:ascii="宋体" w:hAnsi="宋体" w:eastAsia="宋体" w:cs="Times New Roman"/>
                <w:snapToGrid w:val="0"/>
                <w:sz w:val="18"/>
              </w:rPr>
              <w:t>□</w:t>
            </w:r>
            <w:r>
              <w:rPr>
                <w:rFonts w:hint="eastAsia" w:ascii="宋体" w:hAnsi="宋体" w:eastAsia="宋体" w:cs="Times New Roman"/>
                <w:snapToGrid w:val="0"/>
                <w:sz w:val="18"/>
              </w:rPr>
              <w:t>甲方承担费用</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元，乙方包干使用  </w:t>
            </w:r>
            <w:r>
              <w:rPr>
                <w:rFonts w:ascii="宋体" w:hAnsi="宋体" w:eastAsia="宋体" w:cs="Times New Roman"/>
                <w:snapToGrid w:val="0"/>
                <w:sz w:val="18"/>
              </w:rPr>
              <w:t>□</w:t>
            </w:r>
            <w:r>
              <w:rPr>
                <w:rFonts w:hint="eastAsia" w:ascii="宋体" w:hAnsi="宋体" w:eastAsia="宋体" w:cs="Times New Roman"/>
                <w:snapToGrid w:val="0"/>
                <w:sz w:val="18"/>
              </w:rPr>
              <w:t>其它</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九、售后服务</w:t>
            </w:r>
            <w:r>
              <w:rPr>
                <w:rFonts w:hint="eastAsia" w:ascii="宋体" w:hAnsi="宋体" w:eastAsia="宋体" w:cs="Times New Roman"/>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售后服务联系方式：固定电话</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，手机</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，电子邮箱</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79" w:firstLineChars="775"/>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质保期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。质保期内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，超出质保期后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保修期</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。保修期内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，超出保修期后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培训方式及费用承担</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firstLine="1284" w:firstLineChars="778"/>
              <w:rPr>
                <w:rFonts w:ascii="宋体" w:hAnsi="宋体" w:eastAsia="宋体" w:cs="Times New Roman"/>
                <w:snapToGrid w:val="0"/>
                <w:sz w:val="18"/>
                <w:szCs w:val="18"/>
              </w:rPr>
            </w:pPr>
            <w:r>
              <w:rPr>
                <w:rFonts w:ascii="宋体" w:hAnsi="宋体" w:eastAsia="宋体" w:cs="Times New Roman"/>
                <w:snapToGrid w:val="0"/>
                <w:sz w:val="18"/>
              </w:rPr>
              <w:t>□</w:t>
            </w:r>
            <w:r>
              <w:rPr>
                <w:rFonts w:hint="eastAsia" w:ascii="宋体" w:hAnsi="宋体" w:eastAsia="宋体" w:cs="Times New Roman"/>
                <w:snapToGrid w:val="0"/>
                <w:sz w:val="18"/>
              </w:rPr>
              <w:t xml:space="preserve">乙方承诺在战时和平时特殊情况下的军事行动中优先向甲方提供有关支援服务。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szCs w:val="18"/>
              </w:rPr>
              <w:t>。</w:t>
            </w:r>
          </w:p>
          <w:p>
            <w:pPr>
              <w:adjustRightInd w:val="0"/>
              <w:snapToGrid w:val="0"/>
              <w:ind w:left="1276" w:hanging="1282" w:hangingChars="777"/>
              <w:rPr>
                <w:rFonts w:ascii="宋体" w:hAnsi="宋体" w:eastAsia="宋体" w:cs="Times New Roman"/>
                <w:snapToGrid w:val="0"/>
                <w:sz w:val="18"/>
              </w:rPr>
            </w:pPr>
            <w:r>
              <w:rPr>
                <w:rFonts w:hint="eastAsia" w:ascii="黑体" w:hAnsi="黑体" w:eastAsia="黑体" w:cs="Times New Roman"/>
                <w:bCs/>
                <w:snapToGrid w:val="0"/>
                <w:sz w:val="18"/>
              </w:rPr>
              <w:t>十、资金结算</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自本合同签订生效之日起</w:t>
            </w:r>
            <w:r>
              <w:rPr>
                <w:rFonts w:hint="eastAsia" w:ascii="宋体" w:hAnsi="宋体" w:eastAsia="宋体" w:cs="Times New Roman"/>
                <w:snapToGrid w:val="0"/>
                <w:sz w:val="18"/>
                <w:u w:val="single"/>
              </w:rPr>
              <w:t xml:space="preserve">      </w:t>
            </w:r>
            <w:r>
              <w:rPr>
                <w:rFonts w:hint="eastAsia" w:ascii="宋体" w:hAnsi="宋体" w:eastAsia="宋体" w:cs="Times New Roman"/>
                <w:snapToGrid w:val="0"/>
                <w:sz w:val="18"/>
              </w:rPr>
              <w:t>天内，甲方向乙方支付合同总金额的</w:t>
            </w:r>
            <w:r>
              <w:rPr>
                <w:rFonts w:hint="eastAsia"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的预付款。  </w:t>
            </w:r>
            <w:r>
              <w:rPr>
                <w:rFonts w:ascii="宋体" w:hAnsi="宋体" w:eastAsia="宋体" w:cs="Times New Roman"/>
                <w:snapToGrid w:val="0"/>
                <w:sz w:val="18"/>
              </w:rPr>
              <w:t>□</w:t>
            </w:r>
            <w:r>
              <w:rPr>
                <w:rFonts w:hint="eastAsia" w:ascii="宋体" w:hAnsi="宋体" w:eastAsia="宋体" w:cs="Times New Roman"/>
                <w:snapToGrid w:val="0"/>
                <w:sz w:val="18"/>
              </w:rPr>
              <w:t>首检合格后再办理预付款。</w:t>
            </w:r>
            <w:r>
              <w:rPr>
                <w:rFonts w:cs="Times New Roman" w:asciiTheme="minorEastAsia" w:hAnsiTheme="minorEastAsia"/>
                <w:snapToGrid w:val="0"/>
                <w:sz w:val="18"/>
                <w:szCs w:val="18"/>
              </w:rPr>
              <w:t>□</w:t>
            </w:r>
            <w:r>
              <w:rPr>
                <w:rFonts w:hint="eastAsia" w:ascii="宋体" w:hAnsi="宋体" w:eastAsia="宋体" w:cs="Times New Roman"/>
                <w:snapToGrid w:val="0"/>
                <w:sz w:val="18"/>
              </w:rPr>
              <w:t>物资检验验收合格并完成交货后</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天内，甲方凭乙方提供的相关票据单证，向乙方支付合同总金额的</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余</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作为质量保证金，自交货之日起  </w:t>
            </w:r>
            <w:r>
              <w:rPr>
                <w:rFonts w:ascii="宋体" w:hAnsi="宋体" w:eastAsia="宋体" w:cs="Times New Roman"/>
                <w:snapToGrid w:val="0"/>
                <w:sz w:val="18"/>
              </w:rPr>
              <w:t>□</w:t>
            </w:r>
            <w:r>
              <w:rPr>
                <w:rFonts w:hint="eastAsia" w:ascii="宋体" w:hAnsi="宋体" w:eastAsia="宋体" w:cs="Times New Roman"/>
                <w:snapToGrid w:val="0"/>
                <w:sz w:val="18"/>
              </w:rPr>
              <w:t xml:space="preserve">三个月  </w:t>
            </w:r>
            <w:r>
              <w:rPr>
                <w:rFonts w:ascii="宋体" w:hAnsi="宋体" w:eastAsia="宋体" w:cs="Times New Roman"/>
                <w:snapToGrid w:val="0"/>
                <w:sz w:val="18"/>
              </w:rPr>
              <w:t>□</w:t>
            </w:r>
            <w:r>
              <w:rPr>
                <w:rFonts w:hint="eastAsia" w:ascii="宋体" w:hAnsi="宋体" w:eastAsia="宋体" w:cs="Times New Roman"/>
                <w:snapToGrid w:val="0"/>
                <w:sz w:val="18"/>
              </w:rPr>
              <w:t xml:space="preserve">六个月  </w:t>
            </w:r>
            <w:r>
              <w:rPr>
                <w:rFonts w:ascii="宋体" w:hAnsi="宋体" w:eastAsia="宋体" w:cs="Times New Roman"/>
                <w:snapToGrid w:val="0"/>
                <w:sz w:val="18"/>
              </w:rPr>
              <w:t>□</w:t>
            </w:r>
            <w:r>
              <w:rPr>
                <w:rFonts w:hint="eastAsia" w:ascii="宋体" w:hAnsi="宋体" w:eastAsia="宋体" w:cs="Times New Roman"/>
                <w:snapToGrid w:val="0"/>
                <w:sz w:val="18"/>
              </w:rPr>
              <w:t xml:space="preserve">十二个月  </w:t>
            </w:r>
            <w:r>
              <w:rPr>
                <w:rFonts w:ascii="宋体" w:hAnsi="宋体" w:eastAsia="宋体" w:cs="Times New Roman"/>
                <w:snapToGrid w:val="0"/>
                <w:sz w:val="18"/>
              </w:rPr>
              <w:t>□</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月正常使用且无质量问题时，一次性结清。  </w:t>
            </w:r>
            <w:r>
              <w:rPr>
                <w:rFonts w:ascii="宋体" w:hAnsi="宋体" w:eastAsia="宋体" w:cs="Times New Roman"/>
                <w:snapToGrid w:val="0"/>
                <w:sz w:val="18"/>
              </w:rPr>
              <w:t>□</w:t>
            </w:r>
            <w:r>
              <w:rPr>
                <w:rFonts w:hint="eastAsia" w:ascii="宋体" w:hAnsi="宋体" w:eastAsia="宋体" w:cs="Times New Roman"/>
                <w:snapToGrid w:val="0"/>
                <w:sz w:val="18"/>
              </w:rPr>
              <w:t>最终结算按审价报告执行。</w:t>
            </w:r>
          </w:p>
          <w:p>
            <w:pPr>
              <w:adjustRightInd w:val="0"/>
              <w:snapToGrid w:val="0"/>
              <w:rPr>
                <w:rFonts w:ascii="Times New Roman" w:hAnsi="Times New Roman" w:eastAsia="宋体" w:cs="Times New Roman"/>
                <w:bCs/>
                <w:snapToGrid w:val="0"/>
                <w:sz w:val="18"/>
              </w:rPr>
            </w:pPr>
            <w:r>
              <w:rPr>
                <w:rFonts w:hint="eastAsia" w:ascii="黑体" w:hAnsi="黑体" w:eastAsia="黑体" w:cs="Times New Roman"/>
                <w:bCs/>
                <w:snapToGrid w:val="0"/>
                <w:sz w:val="18"/>
              </w:rPr>
              <w:t>十一、知识产权</w:t>
            </w:r>
            <w:r>
              <w:rPr>
                <w:rFonts w:hint="eastAsia" w:ascii="Times New Roman" w:hAnsi="Times New Roman" w:eastAsia="宋体" w:cs="Times New Roman"/>
                <w:b/>
                <w:bCs/>
                <w:snapToGrid w:val="0"/>
                <w:sz w:val="18"/>
              </w:rPr>
              <w:t xml:space="preserve">  </w:t>
            </w:r>
            <w:r>
              <w:rPr>
                <w:rFonts w:hint="eastAsia" w:ascii="Times New Roman" w:hAnsi="Times New Roman" w:eastAsia="宋体" w:cs="Times New Roman"/>
                <w:bCs/>
                <w:snapToGrid w:val="0"/>
                <w:sz w:val="18"/>
              </w:rPr>
              <w:t>乙方应保证甲方使用其提供的物资时不受第三方关于侵犯专利权、商标权和工业设计权的指控，甲方不承担任何连带责任和赔偿责任。</w:t>
            </w:r>
          </w:p>
          <w:p>
            <w:pPr>
              <w:adjustRightInd w:val="0"/>
              <w:snapToGrid w:val="0"/>
              <w:ind w:left="1447" w:hanging="1453" w:hangingChars="881"/>
              <w:rPr>
                <w:rFonts w:ascii="宋体" w:hAnsi="宋体" w:eastAsia="宋体" w:cs="Times New Roman"/>
                <w:b/>
                <w:bCs/>
                <w:snapToGrid w:val="0"/>
                <w:sz w:val="18"/>
              </w:rPr>
            </w:pPr>
            <w:r>
              <w:rPr>
                <w:rFonts w:hint="eastAsia" w:ascii="黑体" w:hAnsi="黑体" w:eastAsia="黑体" w:cs="Times New Roman"/>
                <w:bCs/>
                <w:snapToGrid w:val="0"/>
                <w:sz w:val="18"/>
              </w:rPr>
              <w:t>十二、保密责任</w:t>
            </w:r>
            <w:r>
              <w:rPr>
                <w:rFonts w:hint="eastAsia" w:ascii="宋体" w:hAnsi="宋体" w:eastAsia="宋体" w:cs="Times New Roman"/>
                <w:b/>
                <w:bCs/>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甲方对乙方的商业秘密应当保密  </w:t>
            </w:r>
            <w:r>
              <w:rPr>
                <w:rFonts w:ascii="宋体" w:hAnsi="宋体" w:eastAsia="宋体" w:cs="Times New Roman"/>
                <w:snapToGrid w:val="0"/>
                <w:sz w:val="18"/>
              </w:rPr>
              <w:t>□</w:t>
            </w:r>
            <w:r>
              <w:rPr>
                <w:rFonts w:hint="eastAsia" w:ascii="宋体" w:hAnsi="宋体" w:eastAsia="宋体" w:cs="Times New Roman"/>
                <w:bCs/>
                <w:snapToGrid w:val="0"/>
                <w:sz w:val="18"/>
              </w:rPr>
              <w:t xml:space="preserve">乙方对本合同的签订、履行及解除等事项保密，  </w:t>
            </w:r>
            <w:r>
              <w:rPr>
                <w:rFonts w:ascii="宋体" w:hAnsi="宋体" w:eastAsia="宋体" w:cs="Times New Roman"/>
                <w:snapToGrid w:val="0"/>
                <w:sz w:val="18"/>
              </w:rPr>
              <w:t>□</w:t>
            </w:r>
            <w:r>
              <w:rPr>
                <w:rFonts w:hint="eastAsia" w:ascii="宋体" w:hAnsi="宋体" w:eastAsia="宋体" w:cs="Times New Roman"/>
                <w:snapToGrid w:val="0"/>
                <w:sz w:val="18"/>
              </w:rPr>
              <w:t xml:space="preserve">涉及物资的全部技术资料等未经甲方同意乙方不得向社会公开  </w:t>
            </w:r>
            <w:r>
              <w:rPr>
                <w:rFonts w:ascii="宋体" w:hAnsi="宋体" w:eastAsia="宋体" w:cs="Times New Roman"/>
                <w:snapToGrid w:val="0"/>
                <w:sz w:val="18"/>
              </w:rPr>
              <w:t>□</w:t>
            </w:r>
            <w:r>
              <w:rPr>
                <w:rFonts w:hint="eastAsia" w:ascii="宋体" w:hAnsi="宋体" w:eastAsia="宋体" w:cs="Times New Roman"/>
                <w:snapToGrid w:val="0"/>
                <w:sz w:val="18"/>
              </w:rPr>
              <w:t xml:space="preserve">乙方应对甲方委托送货的发运单、接收单位目录和售后服务单位目录等资料，按密级管理，不得泄密。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u w:val="single"/>
              </w:rPr>
              <w:t xml:space="preserve"> </w:t>
            </w:r>
            <w:r>
              <w:rPr>
                <w:rFonts w:ascii="宋体" w:hAnsi="宋体" w:eastAsia="宋体" w:cs="Times New Roman"/>
                <w:bCs/>
                <w:snapToGrid w:val="0"/>
                <w:sz w:val="18"/>
                <w:u w:val="single"/>
              </w:rPr>
              <w:t xml:space="preserve">                                       </w:t>
            </w:r>
            <w:r>
              <w:rPr>
                <w:rFonts w:hint="eastAsia" w:ascii="宋体" w:hAnsi="宋体" w:eastAsia="宋体" w:cs="Times New Roman"/>
                <w:bCs/>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 xml:space="preserve">十三、合同变更与解除  </w:t>
            </w:r>
            <w:r>
              <w:rPr>
                <w:rFonts w:ascii="宋体" w:hAnsi="宋体" w:eastAsia="宋体" w:cs="Times New Roman"/>
                <w:snapToGrid w:val="0"/>
                <w:sz w:val="18"/>
              </w:rPr>
              <w:t>□</w:t>
            </w:r>
            <w:r>
              <w:rPr>
                <w:rFonts w:hint="eastAsia" w:ascii="宋体" w:hAnsi="宋体" w:eastAsia="宋体" w:cs="Times New Roman"/>
                <w:snapToGrid w:val="0"/>
                <w:sz w:val="18"/>
              </w:rPr>
              <w:t>甲乙双方任何一方要求变更、解除或终止合同时，应及时通知对方，并采用书面形式由双方达成协议</w:t>
            </w:r>
            <w:r>
              <w:rPr>
                <w:rFonts w:ascii="宋体" w:hAnsi="宋体" w:eastAsia="宋体" w:cs="Times New Roman"/>
                <w:snapToGrid w:val="0"/>
                <w:sz w:val="18"/>
              </w:rPr>
              <w:t xml:space="preserve">  □</w:t>
            </w:r>
            <w:r>
              <w:rPr>
                <w:rFonts w:hint="eastAsia" w:ascii="宋体" w:hAnsi="宋体" w:eastAsia="宋体" w:cs="Times New Roman"/>
                <w:snapToGrid w:val="0"/>
                <w:sz w:val="18"/>
              </w:rPr>
              <w:t>甲方因任务取消等情况，可以变更或解除合同，给乙方造成损失的，甲方应当赔偿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乙方不能履行合同时，甲方有权解除合同，给甲方造成损失的，乙方应当赔偿</w:t>
            </w:r>
            <w:r>
              <w:rPr>
                <w:rFonts w:ascii="宋体" w:hAnsi="宋体" w:eastAsia="宋体" w:cs="Times New Roman"/>
                <w:snapToGrid w:val="0"/>
                <w:sz w:val="18"/>
              </w:rPr>
              <w:t xml:space="preserve">   □</w:t>
            </w:r>
            <w:r>
              <w:rPr>
                <w:rFonts w:hint="eastAsia" w:ascii="宋体" w:hAnsi="宋体" w:eastAsia="宋体" w:cs="Times New Roman"/>
                <w:snapToGrid w:val="0"/>
                <w:sz w:val="18"/>
              </w:rPr>
              <w:t>未经甲方允许，乙方不得部分或全部转让其应履行的合同义务</w:t>
            </w:r>
            <w:r>
              <w:rPr>
                <w:rFonts w:ascii="宋体" w:hAnsi="宋体" w:eastAsia="宋体" w:cs="Times New Roman"/>
                <w:snapToGrid w:val="0"/>
                <w:sz w:val="18"/>
              </w:rPr>
              <w:t xml:space="preserve">  □</w:t>
            </w:r>
            <w:r>
              <w:rPr>
                <w:rFonts w:hint="eastAsia" w:ascii="宋体" w:hAnsi="宋体" w:eastAsia="宋体" w:cs="Times New Roman"/>
                <w:snapToGrid w:val="0"/>
                <w:sz w:val="18"/>
              </w:rPr>
              <w:t xml:space="preserve">产品出厂验收不合格，甲方有权拒收货物和支付货款，由此造成的一切损失由乙方承担  </w:t>
            </w:r>
            <w:r>
              <w:rPr>
                <w:rFonts w:ascii="宋体" w:hAnsi="宋体" w:eastAsia="宋体" w:cs="Times New Roman"/>
                <w:snapToGrid w:val="0"/>
                <w:sz w:val="18"/>
              </w:rPr>
              <w:t>□</w:t>
            </w:r>
            <w:r>
              <w:rPr>
                <w:rFonts w:hint="eastAsia" w:ascii="宋体" w:hAnsi="宋体" w:eastAsia="宋体" w:cs="Times New Roman"/>
                <w:snapToGrid w:val="0"/>
                <w:sz w:val="18"/>
              </w:rPr>
              <w:t>其他</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十四、违约责任</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甲乙任何一方未经对方允许而违约时，违约方应向对方支付违约金，按</w:t>
            </w:r>
            <w:r>
              <w:rPr>
                <w:rFonts w:ascii="宋体" w:hAnsi="宋体" w:eastAsia="宋体" w:cs="Times New Roman"/>
                <w:snapToGrid w:val="0"/>
                <w:sz w:val="18"/>
                <w:u w:val="single"/>
              </w:rPr>
              <w:t xml:space="preserve">           </w:t>
            </w:r>
            <w:r>
              <w:rPr>
                <w:rFonts w:hint="eastAsia" w:ascii="宋体" w:hAnsi="宋体" w:eastAsia="宋体" w:cs="Times New Roman"/>
                <w:snapToGrid w:val="0"/>
                <w:sz w:val="18"/>
                <w:u w:val="single"/>
              </w:rPr>
              <w:t xml:space="preserve">        </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执行，违约金最高限额为合同总金额的</w:t>
            </w:r>
            <w:r>
              <w:rPr>
                <w:rFonts w:ascii="宋体" w:hAnsi="宋体" w:eastAsia="宋体" w:cs="Times New Roman"/>
                <w:snapToGrid w:val="0"/>
                <w:sz w:val="18"/>
                <w:u w:val="single"/>
              </w:rPr>
              <w:t xml:space="preserve">          </w:t>
            </w:r>
            <w:r>
              <w:rPr>
                <w:rFonts w:ascii="宋体" w:hAnsi="宋体" w:eastAsia="宋体" w:cs="Times New Roman"/>
                <w:snapToGrid w:val="0"/>
                <w:sz w:val="18"/>
              </w:rPr>
              <w:t>%</w:t>
            </w:r>
            <w:r>
              <w:rPr>
                <w:rFonts w:hint="eastAsia" w:ascii="宋体" w:hAnsi="宋体" w:eastAsia="宋体" w:cs="Times New Roman"/>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eastAsia="宋体" w:cs="Times New Roman"/>
                <w:snapToGrid w:val="0"/>
                <w:sz w:val="18"/>
              </w:rPr>
              <w:t>36</w:t>
            </w:r>
            <w:r>
              <w:rPr>
                <w:rFonts w:hint="eastAsia" w:ascii="宋体" w:hAnsi="宋体" w:eastAsia="宋体" w:cs="Times New Roman"/>
                <w:snapToGrid w:val="0"/>
                <w:sz w:val="18"/>
              </w:rPr>
              <w:t>小时内将情况通知另一方，在灾害发生后</w:t>
            </w:r>
            <w:r>
              <w:rPr>
                <w:rFonts w:ascii="宋体" w:hAnsi="宋体" w:eastAsia="宋体" w:cs="Times New Roman"/>
                <w:snapToGrid w:val="0"/>
                <w:sz w:val="18"/>
              </w:rPr>
              <w:t>14</w:t>
            </w:r>
            <w:r>
              <w:rPr>
                <w:rFonts w:hint="eastAsia" w:ascii="宋体" w:hAnsi="宋体" w:eastAsia="宋体" w:cs="Times New Roman"/>
                <w:snapToGrid w:val="0"/>
                <w:sz w:val="18"/>
              </w:rPr>
              <w:t>天内向另一方出具权威部门的证明文件。如果不可抗力影响连续</w:t>
            </w:r>
            <w:r>
              <w:rPr>
                <w:rFonts w:ascii="宋体" w:hAnsi="宋体" w:eastAsia="宋体" w:cs="Times New Roman"/>
                <w:snapToGrid w:val="0"/>
                <w:sz w:val="18"/>
              </w:rPr>
              <w:t>120</w:t>
            </w:r>
            <w:r>
              <w:rPr>
                <w:rFonts w:hint="eastAsia" w:ascii="宋体" w:hAnsi="宋体" w:eastAsia="宋体" w:cs="Times New Roman"/>
                <w:snapToGrid w:val="0"/>
                <w:sz w:val="18"/>
              </w:rPr>
              <w:t>天以上时，双方可以重新商定合同履行问题。</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十五、合同争议解决方式</w:t>
            </w:r>
            <w:r>
              <w:rPr>
                <w:rFonts w:hint="eastAsia" w:ascii="宋体" w:hAnsi="宋体"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 xml:space="preserve">甲乙双方协商解决  </w:t>
            </w:r>
            <w:r>
              <w:rPr>
                <w:rFonts w:ascii="宋体" w:hAnsi="宋体" w:eastAsia="宋体" w:cs="Times New Roman"/>
                <w:snapToGrid w:val="0"/>
                <w:sz w:val="18"/>
              </w:rPr>
              <w:t>□</w:t>
            </w:r>
            <w:r>
              <w:rPr>
                <w:rFonts w:hint="eastAsia" w:ascii="宋体" w:hAnsi="宋体" w:eastAsia="宋体" w:cs="Times New Roman"/>
                <w:snapToGrid w:val="0"/>
                <w:sz w:val="18"/>
              </w:rPr>
              <w:t xml:space="preserve">提交甲方或乙方主管部门调解  </w:t>
            </w:r>
            <w:r>
              <w:rPr>
                <w:rFonts w:ascii="宋体" w:hAnsi="宋体" w:eastAsia="宋体" w:cs="Times New Roman"/>
                <w:snapToGrid w:val="0"/>
                <w:sz w:val="18"/>
              </w:rPr>
              <w:t>□</w:t>
            </w:r>
            <w:r>
              <w:rPr>
                <w:rFonts w:hint="eastAsia" w:ascii="宋体" w:hAnsi="宋体" w:eastAsia="宋体" w:cs="Times New Roman"/>
                <w:snapToGrid w:val="0"/>
                <w:sz w:val="18"/>
              </w:rPr>
              <w:t>提交</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 xml:space="preserve">仲裁委员会仲裁  </w:t>
            </w:r>
            <w:r>
              <w:rPr>
                <w:rFonts w:ascii="宋体" w:hAnsi="宋体" w:eastAsia="宋体" w:cs="Times New Roman"/>
                <w:snapToGrid w:val="0"/>
                <w:sz w:val="18"/>
              </w:rPr>
              <w:t>□</w:t>
            </w:r>
            <w:r>
              <w:rPr>
                <w:rFonts w:hint="eastAsia" w:ascii="宋体" w:hAnsi="宋体" w:eastAsia="宋体" w:cs="Times New Roman"/>
                <w:snapToGrid w:val="0"/>
                <w:sz w:val="18"/>
              </w:rPr>
              <w:t>依法向</w:t>
            </w:r>
            <w:r>
              <w:rPr>
                <w:rFonts w:ascii="宋体" w:hAnsi="宋体" w:eastAsia="宋体" w:cs="Times New Roman"/>
                <w:snapToGrid w:val="0"/>
                <w:sz w:val="18"/>
                <w:u w:val="single"/>
              </w:rPr>
              <w:t xml:space="preserve">                          </w:t>
            </w:r>
            <w:r>
              <w:rPr>
                <w:rFonts w:hint="eastAsia" w:ascii="宋体" w:hAnsi="宋体" w:eastAsia="宋体" w:cs="Times New Roman"/>
                <w:snapToGrid w:val="0"/>
                <w:sz w:val="18"/>
              </w:rPr>
              <w:t>人民法院起诉。</w:t>
            </w:r>
          </w:p>
          <w:p>
            <w:pPr>
              <w:adjustRightInd w:val="0"/>
              <w:snapToGrid w:val="0"/>
              <w:ind w:left="1197" w:hanging="1203" w:hangingChars="729"/>
              <w:rPr>
                <w:rFonts w:ascii="宋体" w:hAnsi="宋体" w:eastAsia="宋体" w:cs="Times New Roman"/>
                <w:snapToGrid w:val="0"/>
                <w:sz w:val="18"/>
              </w:rPr>
            </w:pPr>
            <w:r>
              <w:rPr>
                <w:rFonts w:hint="eastAsia" w:ascii="黑体" w:hAnsi="黑体" w:eastAsia="黑体" w:cs="Times New Roman"/>
                <w:bCs/>
                <w:snapToGrid w:val="0"/>
                <w:sz w:val="18"/>
              </w:rPr>
              <w:t>十六、合同生效</w:t>
            </w:r>
            <w:r>
              <w:rPr>
                <w:rFonts w:hint="eastAsia" w:ascii="Times New Roman" w:hAnsi="Times New Roman" w:eastAsia="宋体" w:cs="Times New Roman"/>
                <w:snapToGrid w:val="0"/>
                <w:sz w:val="18"/>
              </w:rPr>
              <w:t xml:space="preserve">  </w:t>
            </w:r>
            <w:r>
              <w:rPr>
                <w:rFonts w:ascii="宋体" w:hAnsi="宋体" w:eastAsia="宋体" w:cs="Times New Roman"/>
                <w:snapToGrid w:val="0"/>
                <w:sz w:val="18"/>
              </w:rPr>
              <w:t>□</w:t>
            </w:r>
            <w:r>
              <w:rPr>
                <w:rFonts w:hint="eastAsia" w:ascii="宋体" w:hAnsi="宋体" w:eastAsia="宋体" w:cs="Times New Roman"/>
                <w:snapToGrid w:val="0"/>
                <w:sz w:val="18"/>
              </w:rPr>
              <w:t>草本合同由甲乙双方法定代表人或委托代理人签字并经单位盖章，由甲方报上级有关部门审批通过后，签订正式合同。</w:t>
            </w:r>
            <w:r>
              <w:rPr>
                <w:rFonts w:ascii="宋体" w:hAnsi="宋体" w:eastAsia="宋体" w:cs="Times New Roman"/>
                <w:snapToGrid w:val="0"/>
                <w:sz w:val="18"/>
              </w:rPr>
              <w:t xml:space="preserve"> </w:t>
            </w:r>
          </w:p>
          <w:p>
            <w:pPr>
              <w:adjustRightInd w:val="0"/>
              <w:snapToGrid w:val="0"/>
              <w:ind w:firstLine="248" w:firstLineChars="150"/>
              <w:rPr>
                <w:rFonts w:ascii="宋体" w:hAnsi="宋体" w:eastAsia="宋体" w:cs="Times New Roman"/>
                <w:snapToGrid w:val="0"/>
                <w:sz w:val="18"/>
              </w:rPr>
            </w:pPr>
            <w:r>
              <w:rPr>
                <w:rFonts w:ascii="宋体" w:hAnsi="宋体" w:eastAsia="宋体" w:cs="Times New Roman"/>
                <w:snapToGrid w:val="0"/>
                <w:sz w:val="18"/>
              </w:rPr>
              <w:t>□</w:t>
            </w:r>
            <w:r>
              <w:rPr>
                <w:rFonts w:hint="eastAsia" w:ascii="宋体" w:hAnsi="宋体" w:eastAsia="宋体" w:cs="Times New Roman"/>
                <w:snapToGrid w:val="0"/>
                <w:sz w:val="18"/>
              </w:rPr>
              <w:t>正式合同由甲乙双方法定代表人或委托代理人签字并经单位盖章后生效。</w:t>
            </w:r>
          </w:p>
          <w:p>
            <w:pPr>
              <w:adjustRightInd w:val="0"/>
              <w:snapToGrid w:val="0"/>
              <w:ind w:firstLine="248" w:firstLineChars="150"/>
              <w:rPr>
                <w:rFonts w:ascii="宋体" w:hAnsi="宋体" w:eastAsia="宋体" w:cs="Times New Roman"/>
                <w:snapToGrid w:val="0"/>
                <w:sz w:val="18"/>
              </w:rPr>
            </w:pPr>
            <w:r>
              <w:rPr>
                <w:rFonts w:hint="eastAsia" w:cs="Times New Roman" w:asciiTheme="minorEastAsia" w:hAnsiTheme="minorEastAsia"/>
                <w:snapToGrid w:val="0"/>
                <w:sz w:val="18"/>
                <w:szCs w:val="18"/>
              </w:rPr>
              <w:t>正式合同一式</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份，甲方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份，乙方</w:t>
            </w:r>
            <w:r>
              <w:rPr>
                <w:rFonts w:hint="eastAsia" w:cs="Times New Roman" w:asciiTheme="minorEastAsia" w:hAnsiTheme="minorEastAsia"/>
                <w:snapToGrid w:val="0"/>
                <w:sz w:val="18"/>
                <w:szCs w:val="18"/>
                <w:u w:val="single"/>
              </w:rPr>
              <w:t xml:space="preserve">       </w:t>
            </w:r>
            <w:r>
              <w:rPr>
                <w:rFonts w:hint="eastAsia" w:cs="Times New Roman" w:asciiTheme="minorEastAsia" w:hAnsiTheme="minorEastAsia"/>
                <w:snapToGrid w:val="0"/>
                <w:sz w:val="18"/>
                <w:szCs w:val="18"/>
              </w:rPr>
              <w:t>份，具有同等法律效力。</w:t>
            </w:r>
            <w:r>
              <w:rPr>
                <w:rFonts w:cs="Times New Roman" w:asciiTheme="minorEastAsia" w:hAnsiTheme="minorEastAsia"/>
                <w:snapToGrid w:val="0"/>
                <w:sz w:val="18"/>
                <w:szCs w:val="18"/>
              </w:rPr>
              <w:t>□</w:t>
            </w:r>
            <w:r>
              <w:rPr>
                <w:rFonts w:hint="eastAsia" w:cs="Times New Roman" w:asciiTheme="minorEastAsia" w:hAnsiTheme="minorEastAsia"/>
                <w:snapToGrid w:val="0"/>
                <w:sz w:val="18"/>
                <w:szCs w:val="18"/>
              </w:rPr>
              <w:t>合同有效期限</w:t>
            </w:r>
            <w:r>
              <w:rPr>
                <w:rFonts w:hint="eastAsia" w:cs="Times New Roman" w:asciiTheme="minorEastAsia" w:hAnsiTheme="minorEastAsia"/>
                <w:snapToGrid w:val="0"/>
                <w:sz w:val="18"/>
                <w:szCs w:val="18"/>
                <w:u w:val="single"/>
              </w:rPr>
              <w:t xml:space="preserve">                  </w:t>
            </w:r>
            <w:r>
              <w:rPr>
                <w:rFonts w:hint="eastAsia" w:ascii="宋体" w:hAnsi="宋体" w:eastAsia="宋体" w:cs="Times New Roman"/>
                <w:snapToGrid w:val="0"/>
                <w:sz w:val="18"/>
              </w:rPr>
              <w:t>。</w:t>
            </w:r>
          </w:p>
          <w:p>
            <w:pPr>
              <w:adjustRightInd w:val="0"/>
              <w:snapToGrid w:val="0"/>
              <w:rPr>
                <w:rFonts w:ascii="宋体" w:hAnsi="宋体" w:eastAsia="宋体" w:cs="Times New Roman"/>
                <w:snapToGrid w:val="0"/>
                <w:sz w:val="18"/>
              </w:rPr>
            </w:pPr>
            <w:r>
              <w:rPr>
                <w:rFonts w:hint="eastAsia" w:ascii="黑体" w:hAnsi="黑体" w:eastAsia="黑体" w:cs="Times New Roman"/>
                <w:bCs/>
                <w:snapToGrid w:val="0"/>
                <w:sz w:val="18"/>
              </w:rPr>
              <w:t>十七、合同附件</w:t>
            </w:r>
            <w:r>
              <w:rPr>
                <w:rFonts w:hint="eastAsia" w:ascii="Times New Roman" w:hAnsi="Times New Roman" w:eastAsia="宋体" w:cs="Times New Roman"/>
                <w:snapToGrid w:val="0"/>
                <w:sz w:val="18"/>
              </w:rPr>
              <w:t xml:space="preserve"> </w:t>
            </w:r>
            <w:r>
              <w:rPr>
                <w:rFonts w:hint="eastAsia" w:ascii="宋体" w:hAnsi="宋体" w:eastAsia="宋体" w:cs="Times New Roman"/>
                <w:snapToGrid w:val="0"/>
                <w:sz w:val="18"/>
              </w:rPr>
              <w:t xml:space="preserve"> □1.交货清单  □2.主要技术指标参数  □3.售后服务承诺  □4.易损易耗件清单  </w:t>
            </w:r>
          </w:p>
          <w:p>
            <w:pPr>
              <w:adjustRightInd w:val="0"/>
              <w:snapToGrid w:val="0"/>
              <w:ind w:firstLine="1411" w:firstLineChars="855"/>
              <w:rPr>
                <w:rFonts w:ascii="宋体" w:hAnsi="宋体" w:eastAsia="宋体" w:cs="Times New Roman"/>
                <w:snapToGrid w:val="0"/>
                <w:sz w:val="18"/>
              </w:rPr>
            </w:pPr>
            <w:r>
              <w:rPr>
                <w:rFonts w:hint="eastAsia" w:ascii="宋体" w:hAnsi="宋体" w:eastAsia="宋体" w:cs="Times New Roman"/>
                <w:snapToGrid w:val="0"/>
                <w:sz w:val="18"/>
              </w:rPr>
              <w:t>□5.</w:t>
            </w:r>
            <w:r>
              <w:rPr>
                <w:rFonts w:hint="eastAsia" w:ascii="仿宋_GB2312" w:hAnsi="Times New Roman" w:eastAsia="仿宋_GB2312" w:cs="Times New Roman"/>
                <w:sz w:val="32"/>
                <w:szCs w:val="32"/>
              </w:rPr>
              <w:t xml:space="preserve"> </w:t>
            </w:r>
            <w:r>
              <w:rPr>
                <w:rFonts w:hint="eastAsia" w:ascii="宋体" w:hAnsi="宋体" w:eastAsia="宋体" w:cs="Times New Roman"/>
                <w:snapToGrid w:val="0"/>
                <w:sz w:val="18"/>
              </w:rPr>
              <w:t>详见乙方参与采购人</w:t>
            </w:r>
            <w:r>
              <w:rPr>
                <w:rFonts w:ascii="宋体" w:hAnsi="宋体" w:eastAsia="宋体" w:cs="Times New Roman"/>
                <w:szCs w:val="21"/>
                <w:u w:val="single"/>
              </w:rPr>
              <w:t xml:space="preserve">     </w:t>
            </w:r>
            <w:r>
              <w:rPr>
                <w:rFonts w:hint="eastAsia" w:ascii="宋体" w:hAnsi="宋体" w:eastAsia="宋体" w:cs="Times New Roman"/>
                <w:snapToGrid w:val="0"/>
                <w:sz w:val="18"/>
              </w:rPr>
              <w:t>项目（项目编号：</w:t>
            </w:r>
            <w:r>
              <w:rPr>
                <w:rFonts w:ascii="宋体" w:hAnsi="宋体" w:eastAsia="宋体" w:cs="Times New Roman"/>
                <w:szCs w:val="21"/>
                <w:u w:val="single"/>
              </w:rPr>
              <w:t xml:space="preserve">     </w:t>
            </w:r>
            <w:r>
              <w:rPr>
                <w:rFonts w:hint="eastAsia" w:ascii="宋体" w:hAnsi="宋体" w:eastAsia="宋体" w:cs="Times New Roman"/>
                <w:snapToGrid w:val="0"/>
                <w:sz w:val="18"/>
              </w:rPr>
              <w:t>）投标文件和评审现场承诺，本合同不另附。</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十八、其    他</w:t>
            </w:r>
            <w:r>
              <w:rPr>
                <w:rFonts w:ascii="Times New Roman" w:hAnsi="Times New Roman" w:eastAsia="宋体" w:cs="Times New Roman"/>
                <w:b/>
                <w:bCs/>
                <w:snapToGrid w:val="0"/>
                <w:sz w:val="18"/>
              </w:rPr>
              <w:t xml:space="preserve"> </w:t>
            </w:r>
            <w:r>
              <w:rPr>
                <w:rFonts w:ascii="Times New Roman" w:hAnsi="Times New Roman" w:eastAsia="宋体" w:cs="Times New Roman"/>
                <w:snapToGrid w:val="0"/>
                <w:sz w:val="18"/>
                <w:u w:val="single"/>
              </w:rPr>
              <w:t xml:space="preserve">                                           </w:t>
            </w:r>
            <w:r>
              <w:rPr>
                <w:rFonts w:hint="eastAsia" w:ascii="Times New Roman" w:hAnsi="Times New Roman" w:eastAsia="宋体" w:cs="Times New Roman"/>
                <w:snapToGrid w:val="0"/>
                <w:sz w:val="18"/>
              </w:rPr>
              <w:t>。</w:t>
            </w:r>
          </w:p>
          <w:p>
            <w:pPr>
              <w:adjustRightInd w:val="0"/>
              <w:snapToGrid w:val="0"/>
              <w:rPr>
                <w:rFonts w:ascii="Times New Roman" w:hAnsi="Times New Roman" w:eastAsia="宋体" w:cs="Times New Roman"/>
                <w:snapToGrid w:val="0"/>
                <w:sz w:val="18"/>
              </w:rPr>
            </w:pPr>
            <w:r>
              <w:rPr>
                <w:rFonts w:hint="eastAsia" w:ascii="黑体" w:hAnsi="黑体" w:eastAsia="黑体" w:cs="Times New Roman"/>
                <w:bCs/>
                <w:snapToGrid w:val="0"/>
                <w:sz w:val="18"/>
              </w:rPr>
              <w:t>十九、</w:t>
            </w:r>
            <w:r>
              <w:rPr>
                <w:rFonts w:hint="eastAsia" w:ascii="Times New Roman" w:hAnsi="Times New Roman" w:eastAsia="宋体" w:cs="Times New Roman"/>
                <w:snapToGrid w:val="0"/>
                <w:sz w:val="18"/>
              </w:rPr>
              <w:t>未尽事宜由甲乙双方协商确定。</w:t>
            </w:r>
            <w:r>
              <w:rPr>
                <w:rFonts w:ascii="Times New Roman" w:hAnsi="Times New Roman" w:eastAsia="宋体" w:cs="Times New Roman"/>
                <w:snapToGrid w:val="0"/>
                <w:sz w:val="18"/>
              </w:rPr>
              <w:t xml:space="preserve"> </w:t>
            </w:r>
          </w:p>
        </w:tc>
      </w:tr>
    </w:tbl>
    <w:p>
      <w:pP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交货清单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4"/>
        <w:gridCol w:w="2888"/>
        <w:gridCol w:w="2563"/>
        <w:gridCol w:w="1996"/>
        <w:gridCol w:w="1526"/>
        <w:gridCol w:w="822"/>
        <w:gridCol w:w="1761"/>
        <w:gridCol w:w="24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品名</w:t>
            </w: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生产厂家（品牌）</w:t>
            </w: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规格型号</w:t>
            </w: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单位</w:t>
            </w: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888"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2563"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5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eastAsia="宋体" w:cs="Times New Roman"/>
                <w:snapToGrid w:val="0"/>
                <w:kern w:val="0"/>
                <w:szCs w:val="21"/>
              </w:rPr>
            </w:pPr>
          </w:p>
        </w:tc>
        <w:tc>
          <w:tcPr>
            <w:tcW w:w="2466" w:type="dxa"/>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Cs w:val="21"/>
        </w:rPr>
      </w:pPr>
      <w:r>
        <w:rPr>
          <w:rFonts w:hint="eastAsia" w:ascii="Times New Roman" w:hAnsi="Times New Roman" w:eastAsia="宋体" w:cs="Times New Roman"/>
          <w:kern w:val="0"/>
          <w:szCs w:val="21"/>
        </w:rPr>
        <w:t>注：1.含备品备件。</w:t>
      </w:r>
    </w:p>
    <w:p>
      <w:pPr>
        <w:ind w:firstLine="390" w:firstLineChars="200"/>
        <w:rPr>
          <w:rFonts w:ascii="Times New Roman" w:hAnsi="Times New Roman" w:eastAsia="宋体" w:cs="Times New Roman"/>
          <w:kern w:val="0"/>
          <w:szCs w:val="21"/>
        </w:rPr>
      </w:pPr>
      <w:r>
        <w:rPr>
          <w:rFonts w:hint="eastAsia" w:ascii="Times New Roman" w:hAnsi="Times New Roman" w:eastAsia="宋体" w:cs="Times New Roman"/>
          <w:kern w:val="0"/>
          <w:szCs w:val="21"/>
        </w:rPr>
        <w:t>2.按交货时可验视部分填写。</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附件2</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投标产品技术指标参数</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5517"/>
        <w:gridCol w:w="8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配置</w:t>
            </w: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551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845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附件3</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售后服务承诺</w:t>
      </w:r>
    </w:p>
    <w:p>
      <w:pPr>
        <w:rPr>
          <w:rFonts w:ascii="黑体" w:hAnsi="Times New Roman" w:eastAsia="黑体" w:cs="Times New Roman"/>
          <w:kern w:val="0"/>
          <w:sz w:val="28"/>
          <w:szCs w:val="28"/>
        </w:rPr>
      </w:pPr>
      <w:r>
        <w:rPr>
          <w:rFonts w:hint="eastAsia" w:ascii="黑体" w:hAnsi="Times New Roman" w:eastAsia="黑体" w:cs="Times New Roman"/>
          <w:kern w:val="0"/>
          <w:sz w:val="28"/>
          <w:szCs w:val="28"/>
        </w:rPr>
        <w:t>附件4</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易损易耗件清单</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2406"/>
        <w:gridCol w:w="2407"/>
        <w:gridCol w:w="2114"/>
        <w:gridCol w:w="1761"/>
        <w:gridCol w:w="1996"/>
        <w:gridCol w:w="1644"/>
        <w:gridCol w:w="1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序号</w:t>
            </w: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kern w:val="0"/>
                <w:szCs w:val="21"/>
              </w:rPr>
              <w:t>易损易耗件</w:t>
            </w:r>
            <w:r>
              <w:rPr>
                <w:rFonts w:hint="eastAsia" w:ascii="Times New Roman" w:hAnsi="Times New Roman" w:eastAsia="宋体" w:cs="Times New Roman"/>
                <w:snapToGrid w:val="0"/>
                <w:kern w:val="0"/>
                <w:szCs w:val="21"/>
              </w:rPr>
              <w:t>名称</w:t>
            </w:r>
          </w:p>
        </w:tc>
        <w:tc>
          <w:tcPr>
            <w:tcW w:w="24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规格型号</w:t>
            </w:r>
          </w:p>
        </w:tc>
        <w:tc>
          <w:tcPr>
            <w:tcW w:w="21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生产厂家（品牌）</w:t>
            </w: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数量</w:t>
            </w: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单价</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原产地</w:t>
            </w: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r>
              <w:rPr>
                <w:rFonts w:hint="eastAsia" w:ascii="Times New Roman" w:hAnsi="Times New Roman" w:eastAsia="宋体" w:cs="Times New Roman"/>
                <w:snapToGrid w:val="0"/>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407"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211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761"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996"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c>
          <w:tcPr>
            <w:tcW w:w="1644"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eastAsia="宋体" w:cs="Times New Roman"/>
                <w:snapToGrid w:val="0"/>
                <w:kern w:val="0"/>
                <w:szCs w:val="21"/>
              </w:rPr>
            </w:pPr>
          </w:p>
        </w:tc>
      </w:tr>
    </w:tbl>
    <w:p>
      <w:pPr>
        <w:rPr>
          <w:rFonts w:ascii="Times New Roman" w:hAnsi="Times New Roman" w:eastAsia="宋体" w:cs="Times New Roman"/>
          <w:kern w:val="0"/>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6838" w:h="11906" w:orient="landscape"/>
          <w:pgMar w:top="1021" w:right="1134" w:bottom="567" w:left="1134"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18" w:name="_Toc240432233"/>
      <w:bookmarkStart w:id="19" w:name="_Toc390713970"/>
      <w:bookmarkStart w:id="20" w:name="_Toc285612604"/>
      <w:bookmarkStart w:id="21" w:name="_Toc435540982"/>
      <w:bookmarkStart w:id="22" w:name="_Toc37172691"/>
      <w:r>
        <w:rPr>
          <w:rFonts w:hint="eastAsia" w:ascii="黑体" w:hAnsi="黑体" w:eastAsia="黑体" w:cs="Times New Roman"/>
          <w:kern w:val="0"/>
          <w:sz w:val="32"/>
          <w:szCs w:val="32"/>
        </w:rPr>
        <w:t>第五部分  附件/投标文件格式</w:t>
      </w:r>
      <w:bookmarkEnd w:id="18"/>
      <w:bookmarkEnd w:id="19"/>
      <w:bookmarkEnd w:id="20"/>
      <w:bookmarkEnd w:id="21"/>
      <w:bookmarkEnd w:id="22"/>
    </w:p>
    <w:p>
      <w:pPr>
        <w:rPr>
          <w:rFonts w:cs="Times New Roman" w:asciiTheme="majorEastAsia" w:hAnsiTheme="majorEastAsia" w:eastAsiaTheme="majorEastAsia"/>
          <w:kern w:val="0"/>
          <w:sz w:val="30"/>
          <w:szCs w:val="30"/>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附件1：开标一览表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附件3：投标函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附件9：易损易耗备件清单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附件10：专机配套耗材（试剂）明细表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附件11：投标人售后服务承诺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附件13：近3年中标成交案例及同类项目案例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附件21：相关声明书（包含但不限于以下内容：①非外资企业或外资控股企业的书面声明；②参加本次采购活动前3年内在经营活动中没有重大违法记录的书面声明）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附件22：生产企业对代理公司投标授权书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开标一览表</w:t>
      </w:r>
    </w:p>
    <w:p>
      <w:pPr>
        <w:rPr>
          <w:rFonts w:ascii="Times New Roman" w:hAnsi="Times New Roman" w:eastAsia="宋体" w:cs="Times New Roman"/>
          <w:kern w:val="0"/>
          <w:sz w:val="28"/>
          <w:szCs w:val="28"/>
        </w:rPr>
      </w:pPr>
    </w:p>
    <w:p>
      <w:pPr>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项目编号：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b/>
          <w:kern w:val="0"/>
          <w:sz w:val="24"/>
          <w:szCs w:val="24"/>
        </w:rPr>
        <w:t>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bCs/>
                <w:spacing w:val="-4"/>
                <w:kern w:val="0"/>
                <w:sz w:val="24"/>
                <w:szCs w:val="24"/>
              </w:rPr>
              <w:t>投标总价（人民币大写）：</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hint="eastAsia" w:ascii="Times New Roman" w:hAnsi="Times New Roman" w:eastAsia="宋体" w:cs="Times New Roman"/>
          <w:kern w:val="0"/>
          <w:sz w:val="24"/>
          <w:szCs w:val="24"/>
        </w:rPr>
        <w:t>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r>
        <w:rPr>
          <w:rFonts w:hint="eastAsia" w:ascii="宋体" w:hAnsi="宋体" w:eastAsia="宋体" w:cs="Times New Roman"/>
          <w:kern w:val="0"/>
          <w:sz w:val="24"/>
          <w:szCs w:val="24"/>
        </w:rPr>
        <w:t>。</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宋体" w:hAnsi="宋体" w:eastAsia="宋体" w:cs="Times New Roman"/>
          <w:color w:val="0000FF"/>
          <w:kern w:val="0"/>
          <w:sz w:val="24"/>
          <w:szCs w:val="24"/>
        </w:rPr>
      </w:pPr>
    </w:p>
    <w:p>
      <w:pPr>
        <w:rPr>
          <w:rFonts w:ascii="黑体" w:hAnsi="黑体" w:eastAsia="黑体" w:cs="Times New Roman"/>
          <w:color w:val="0000FF"/>
          <w:kern w:val="0"/>
          <w:sz w:val="28"/>
          <w:szCs w:val="28"/>
        </w:rPr>
      </w:pPr>
    </w:p>
    <w:p>
      <w:pPr>
        <w:rPr>
          <w:rFonts w:hint="eastAsia" w:ascii="黑体" w:hAnsi="黑体" w:eastAsia="黑体" w:cs="Times New Roman"/>
          <w:kern w:val="0"/>
          <w:sz w:val="32"/>
          <w:szCs w:val="32"/>
        </w:rPr>
      </w:pPr>
      <w:r>
        <w:rPr>
          <w:rFonts w:hint="eastAsia"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tabs>
          <w:tab w:val="left" w:pos="1215"/>
        </w:tabs>
        <w:jc w:val="left"/>
        <w:rPr>
          <w:rFonts w:ascii="宋体" w:hAnsi="宋体" w:eastAsia="宋体" w:cs="Times New Roman"/>
          <w:kern w:val="0"/>
          <w:sz w:val="24"/>
          <w:szCs w:val="24"/>
        </w:rPr>
      </w:pPr>
      <w:r>
        <w:rPr>
          <w:rFonts w:ascii="宋体" w:hAnsi="宋体" w:eastAsia="宋体" w:cs="Times New Roman"/>
          <w:kern w:val="0"/>
          <w:sz w:val="24"/>
          <w:szCs w:val="24"/>
        </w:rPr>
        <w:tab/>
      </w: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宋体" w:hAnsi="宋体" w:eastAsia="宋体" w:cs="Times New Roman"/>
          <w:kern w:val="0"/>
          <w:sz w:val="24"/>
          <w:szCs w:val="24"/>
        </w:rPr>
      </w:pPr>
      <w:r>
        <w:rPr>
          <w:rFonts w:ascii="宋体" w:hAnsi="宋体" w:eastAsia="宋体" w:cs="Times New Roman"/>
          <w:kern w:val="0"/>
          <w:sz w:val="24"/>
          <w:szCs w:val="24"/>
        </w:rPr>
        <w:t xml:space="preserve">          </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投标人全称：（盖章）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法定代表人（或授权代表）：（签字或盖章）</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bookmarkStart w:id="23" w:name="_Toc285612606"/>
      <w:r>
        <w:rPr>
          <w:rFonts w:hint="eastAsia" w:ascii="黑体" w:hAnsi="黑体" w:eastAsia="黑体" w:cs="Times New Roman"/>
          <w:kern w:val="0"/>
          <w:sz w:val="32"/>
          <w:szCs w:val="32"/>
        </w:rPr>
        <w:t>附件3</w:t>
      </w:r>
    </w:p>
    <w:p>
      <w:pPr>
        <w:adjustRightInd w:val="0"/>
        <w:snapToGrid w:val="0"/>
        <w:spacing w:line="44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  标  函</w:t>
      </w:r>
    </w:p>
    <w:p>
      <w:pPr>
        <w:adjustRightInd w:val="0"/>
        <w:snapToGrid w:val="0"/>
        <w:spacing w:line="440" w:lineRule="exact"/>
        <w:rPr>
          <w:rFonts w:ascii="Times New Roman" w:hAnsi="Times New Roman" w:eastAsia="宋体" w:cs="Times New Roman"/>
          <w:kern w:val="0"/>
          <w:sz w:val="28"/>
          <w:szCs w:val="28"/>
        </w:rPr>
      </w:pPr>
    </w:p>
    <w:p>
      <w:pPr>
        <w:adjustRightInd w:val="0"/>
        <w:snapToGrid w:val="0"/>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招标采购活动，并对</w:t>
      </w:r>
      <w:r>
        <w:rPr>
          <w:rFonts w:hint="eastAsia" w:cs="Times New Roman" w:asciiTheme="minorEastAsia" w:hAnsiTheme="minorEastAsia"/>
          <w:kern w:val="0"/>
          <w:sz w:val="28"/>
          <w:szCs w:val="28"/>
          <w:u w:val="single"/>
        </w:rPr>
        <w:t xml:space="preserve">   （货物名称）  </w:t>
      </w:r>
      <w:r>
        <w:rPr>
          <w:rFonts w:hint="eastAsia" w:cs="Times New Roman" w:asciiTheme="minorEastAsia" w:hAnsiTheme="minorEastAsia"/>
          <w:kern w:val="0"/>
          <w:sz w:val="28"/>
          <w:szCs w:val="28"/>
        </w:rPr>
        <w:t>进行投标。</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一、按照招标文件规定递交投标文件正本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份和副本</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份。其中，《价格文件》1份单独密封提交。</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二、我方已完全理解招标文件的全部内容，自愿接受并执行招标文件的全部条款。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三、本投标文件有效期自开标之日起180日内有效。</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四、我方在参与投标前已仔细研究了招标文件和所有相关资料，同意招标文件的相关条款。</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五、我方声明投标文件及所提供的一切资料均真实有效。由于我方提供资料不实而造成的责任和后果由我方承担。我方同意按照贵部要求，提供与招标有关数据或信息。</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六、我方承诺自愿遵守、执行国家、军队相关采购管理法规制度及政策规定。</w:t>
      </w:r>
    </w:p>
    <w:p>
      <w:pPr>
        <w:adjustRightInd w:val="0"/>
        <w:snapToGrid w:val="0"/>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adjustRightInd w:val="0"/>
        <w:snapToGrid w:val="0"/>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adjustRightInd w:val="0"/>
        <w:snapToGrid w:val="0"/>
        <w:spacing w:line="440" w:lineRule="exact"/>
        <w:ind w:firstLine="1328" w:firstLineChars="490"/>
        <w:rPr>
          <w:rFonts w:cs="Times New Roman" w:asciiTheme="minorEastAsia" w:hAnsiTheme="minorEastAsia"/>
          <w:kern w:val="0"/>
          <w:sz w:val="28"/>
          <w:szCs w:val="28"/>
        </w:rPr>
      </w:pPr>
    </w:p>
    <w:p>
      <w:pPr>
        <w:adjustRightInd w:val="0"/>
        <w:snapToGrid w:val="0"/>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adjustRightInd w:val="0"/>
        <w:snapToGrid w:val="0"/>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adjustRightInd w:val="0"/>
        <w:snapToGrid w:val="0"/>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bookmarkEnd w:id="23"/>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货物简要说明一览表</w:t>
      </w:r>
    </w:p>
    <w:p>
      <w:pPr>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项目名称：                           项目编号：                         </w:t>
      </w:r>
    </w:p>
    <w:tbl>
      <w:tblPr>
        <w:tblStyle w:val="17"/>
        <w:tblW w:w="5000" w:type="pct"/>
        <w:jc w:val="center"/>
        <w:tblLayout w:type="autofit"/>
        <w:tblCellMar>
          <w:top w:w="0" w:type="dxa"/>
          <w:left w:w="0" w:type="dxa"/>
          <w:bottom w:w="0" w:type="dxa"/>
          <w:right w:w="0" w:type="dxa"/>
        </w:tblCellMar>
      </w:tblPr>
      <w:tblGrid>
        <w:gridCol w:w="648"/>
        <w:gridCol w:w="1924"/>
        <w:gridCol w:w="1276"/>
        <w:gridCol w:w="992"/>
        <w:gridCol w:w="850"/>
        <w:gridCol w:w="1871"/>
        <w:gridCol w:w="1323"/>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1924"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1276" w:type="dxa"/>
            <w:tcBorders>
              <w:top w:val="single" w:color="auto" w:sz="8" w:space="0"/>
              <w:left w:val="nil"/>
              <w:bottom w:val="single" w:color="auto" w:sz="4" w:space="0"/>
              <w:right w:val="single" w:color="auto" w:sz="4" w:space="0"/>
            </w:tcBorders>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规格型号</w:t>
            </w:r>
          </w:p>
        </w:tc>
        <w:tc>
          <w:tcPr>
            <w:tcW w:w="992"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850"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1871"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924"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27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4"/>
                <w:szCs w:val="24"/>
              </w:rPr>
            </w:pPr>
          </w:p>
        </w:tc>
        <w:tc>
          <w:tcPr>
            <w:tcW w:w="992"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850"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871"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rPr>
          <w:rFonts w:cs="Times New Roman" w:asciiTheme="minorEastAsia" w:hAnsiTheme="minorEastAsia"/>
          <w:kern w:val="0"/>
          <w:sz w:val="24"/>
          <w:szCs w:val="24"/>
          <w:lang w:val="zh-CN"/>
        </w:rPr>
      </w:pPr>
    </w:p>
    <w:p>
      <w:pPr>
        <w:rPr>
          <w:rFonts w:cs="Times New Roman" w:asciiTheme="minorEastAsia" w:hAnsiTheme="minorEastAsia"/>
          <w:kern w:val="0"/>
          <w:sz w:val="24"/>
          <w:szCs w:val="24"/>
          <w:lang w:val="zh-CN"/>
        </w:rPr>
      </w:pPr>
    </w:p>
    <w:p>
      <w:pPr>
        <w:ind w:firstLine="2024" w:firstLineChars="747"/>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right="539" w:firstLine="1992" w:firstLineChars="735"/>
        <w:rPr>
          <w:rFonts w:cs="Times New Roman" w:asciiTheme="minorEastAsia" w:hAnsiTheme="minorEastAsia"/>
          <w:kern w:val="0"/>
          <w:sz w:val="28"/>
          <w:szCs w:val="28"/>
        </w:rPr>
      </w:pPr>
      <w:r>
        <w:rPr>
          <w:rFonts w:hint="eastAsia" w:cs="宋体" w:asciiTheme="minorEastAsia" w:hAnsiTheme="minorEastAsia"/>
          <w:kern w:val="0"/>
          <w:sz w:val="28"/>
          <w:szCs w:val="28"/>
          <w:lang w:val="zh-CN"/>
        </w:rPr>
        <w:t>法定代表人（或授权代表）：（签字或盖章）</w:t>
      </w:r>
    </w:p>
    <w:p>
      <w:pPr>
        <w:widowControl/>
        <w:ind w:firstLine="3453" w:firstLineChars="1274"/>
        <w:jc w:val="left"/>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Layout w:type="autofit"/>
        <w:tblCellMar>
          <w:top w:w="0" w:type="dxa"/>
          <w:left w:w="108" w:type="dxa"/>
          <w:bottom w:w="0" w:type="dxa"/>
          <w:right w:w="108" w:type="dxa"/>
        </w:tblCellMar>
      </w:tblPr>
      <w:tblGrid>
        <w:gridCol w:w="812"/>
        <w:gridCol w:w="2939"/>
        <w:gridCol w:w="2470"/>
        <w:gridCol w:w="2839"/>
      </w:tblGrid>
      <w:tr>
        <w:tblPrEx>
          <w:tblCellMar>
            <w:top w:w="0" w:type="dxa"/>
            <w:left w:w="108" w:type="dxa"/>
            <w:bottom w:w="0" w:type="dxa"/>
            <w:right w:w="108" w:type="dxa"/>
          </w:tblCellMar>
        </w:tblPrEx>
        <w:trPr>
          <w:trHeight w:val="63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283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w:t>
            </w: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2"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839"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投标人应对照招标文件技术要求，逐条如实填写所投产品的具体指标参数，注明无偏离、正偏离或负偏离，并在备注中注明偏离的具体内容。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技术指标参数响应栏如果原文复制招标文件技术要求，可能会被视为无效投标。</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招标文件条目号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招标文件商务条款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投标文件商务条款响应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Lines="20"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商务条款主要包括报价要求、售后服务、专利权和保密要求、交货时间、地点与方式、付款及结算方式等。如有遗漏，请投标人按照招标文件正文自行补充完整。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投标文件商务条款响应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请投标人认真填写本表内容，如填写错误将可能导致投标无效。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易损易耗件清单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42"/>
        <w:gridCol w:w="1605"/>
        <w:gridCol w:w="1712"/>
        <w:gridCol w:w="709"/>
        <w:gridCol w:w="850"/>
        <w:gridCol w:w="113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易损易耗件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71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6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7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8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仿宋_GB2312" w:hAnsi="宋体" w:eastAsia="仿宋_GB2312" w:cs="宋体"/>
          <w:kern w:val="0"/>
          <w:sz w:val="32"/>
          <w:szCs w:val="32"/>
          <w:lang w:val="zh-CN"/>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专机配套耗材（试剂）明细表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1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42"/>
        <w:gridCol w:w="1332"/>
        <w:gridCol w:w="1276"/>
        <w:gridCol w:w="992"/>
        <w:gridCol w:w="1418"/>
        <w:gridCol w:w="1407"/>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4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物资名称</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规格型号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生产厂家</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原产地</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医疗器械注册证号</w:t>
            </w:r>
          </w:p>
          <w:p>
            <w:pPr>
              <w:widowControl/>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报价</w:t>
            </w:r>
          </w:p>
          <w:p>
            <w:pPr>
              <w:widowControl/>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（单位/元）</w:t>
            </w: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3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tabs>
          <w:tab w:val="left" w:pos="804"/>
        </w:tabs>
        <w:rPr>
          <w:rFonts w:ascii="Times New Roman" w:hAnsi="Times New Roman" w:eastAsia="宋体" w:cs="Times New Roman"/>
          <w:kern w:val="0"/>
          <w:szCs w:val="21"/>
        </w:rPr>
      </w:pPr>
      <w:r>
        <w:rPr>
          <w:rFonts w:hint="eastAsia" w:ascii="Times New Roman" w:hAnsi="Times New Roman" w:eastAsia="宋体" w:cs="Times New Roman"/>
          <w:kern w:val="0"/>
          <w:szCs w:val="21"/>
        </w:rPr>
        <w:t>注：专机配套耗材（试剂）报价将视情纳入计算经济分</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投标人售后服务承诺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投标人对照商务评审表中售后服务评审项自行编制，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3"/>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本《招标文件》“第二部分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3"/>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对投标货物的备品备件和易损易耗件供应保障情况进行说明（如果某设备无备品备件和易损易耗件，也需明确“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2</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3</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近3年中标成交案例及同类项目案例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p>
    <w:tbl>
      <w:tblPr>
        <w:tblStyle w:val="17"/>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40"/>
        <w:gridCol w:w="977"/>
        <w:gridCol w:w="1819"/>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备注：1.同类项目指本次招标的产品或同类产品。合同有效金额是指合同中本次招标的产品或同类产品金额。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2.投标人应附销售合同复印件，按合同有效金额由高到低顺序装订，包括：合同首尾页、签字盖章页、合同金额页、产品信息页。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3.投标人提供虚假合同的，按虚假投标处理。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投标人全称：（盖章）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法定代表人（或授权代表）：（签字或盖章）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附件14</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tbl>
      <w:tblPr>
        <w:tblStyle w:val="17"/>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技术专利证书1</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hint="eastAsia" w:asciiTheme="majorEastAsia" w:hAnsiTheme="majorEastAsia" w:eastAsiaTheme="majorEastAsia"/>
                <w:szCs w:val="21"/>
              </w:rPr>
              <w:t>技术专利证书2</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asciiTheme="majorEastAsia" w:hAnsiTheme="majorEastAsia" w:eastAsiaTheme="majorEastAsia"/>
                <w:szCs w:val="21"/>
              </w:rPr>
            </w:pPr>
            <w:r>
              <w:rPr>
                <w:rFonts w:asciiTheme="majorEastAsia" w:hAnsiTheme="majorEastAsia" w:eastAsiaTheme="majorEastAsia"/>
                <w:szCs w:val="21"/>
              </w:rPr>
              <w:t>…</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CE认证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   </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FDA认证</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产品投放市场时间</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入围最近年度“中国医疗设备行业数据及售后服务调查”三甲医院推荐品牌及排名情况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Cs w:val="21"/>
              </w:rPr>
              <w:t>入围最近年度“中国医学装备协会发布优秀国产医疗设备产品目录”情况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零配件报价</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零配件保证供应时间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到位维修响应时间</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保修期外维修费用</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heme="minorEastAsia" w:hAnsiTheme="minorEastAsia"/>
                <w:szCs w:val="21"/>
              </w:rPr>
            </w:pPr>
            <w:r>
              <w:rPr>
                <w:rFonts w:hint="eastAsia" w:asciiTheme="minorEastAsia" w:hAnsiTheme="minorEastAsia"/>
                <w:szCs w:val="21"/>
              </w:rPr>
              <w:t>技术支持和服务网点</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ind w:firstLine="2423" w:firstLineChars="894"/>
        <w:rPr>
          <w:rFonts w:cs="宋体" w:asciiTheme="minorEastAsia" w:hAnsiTheme="minorEastAsia"/>
          <w:kern w:val="0"/>
          <w:sz w:val="28"/>
          <w:szCs w:val="28"/>
          <w:lang w:val="zh-CN"/>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附件15</w:t>
      </w:r>
    </w:p>
    <w:p>
      <w:pPr>
        <w:jc w:val="center"/>
        <w:rPr>
          <w:rFonts w:ascii="方正小标宋简体" w:hAnsi="Times New Roman" w:eastAsia="方正小标宋简体" w:cs="Times New Roman"/>
          <w:kern w:val="0"/>
          <w:sz w:val="44"/>
          <w:szCs w:val="44"/>
        </w:rPr>
      </w:pPr>
      <w:r>
        <w:rPr>
          <w:rFonts w:hint="eastAsia" w:ascii="黑体" w:hAnsi="黑体" w:eastAsia="黑体" w:cs="Times New Roman"/>
          <w:kern w:val="0"/>
          <w:sz w:val="32"/>
          <w:szCs w:val="32"/>
        </w:rPr>
        <w:t>商务评审表</w:t>
      </w:r>
    </w:p>
    <w:tbl>
      <w:tblPr>
        <w:tblStyle w:val="17"/>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投标方性质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注：以上项目由投标人自行填写，对于未提供项填写“无”。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附件16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（投标人全称）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mc:AlternateContent>
          <mc:Choice Requires="wps">
            <w:drawing>
              <wp:anchor distT="0" distB="0" distL="114300" distR="114300" simplePos="0" relativeHeight="251672576" behindDoc="0" locked="0" layoutInCell="1" allowOverlap="1">
                <wp:simplePos x="0" y="0"/>
                <wp:positionH relativeFrom="column">
                  <wp:posOffset>2881630</wp:posOffset>
                </wp:positionH>
                <wp:positionV relativeFrom="paragraph">
                  <wp:posOffset>131445</wp:posOffset>
                </wp:positionV>
                <wp:extent cx="2655570" cy="1319530"/>
                <wp:effectExtent l="4445" t="4445" r="6985" b="95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9pt;margin-top:10.35pt;height:103.9pt;width:209.1pt;z-index:251672576;v-text-anchor:middle;mso-width-relative:page;mso-height-relative:page;" fillcolor="#FFFFFF" filled="t" stroked="t" coordsize="21600,21600" o:gfxdata="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HNamg1wAAAAoB&#10;AAAPAAAAAAAAAAEAIAAAACIAAABkcnMvZG93bnJldi54bWxQSwECFAAUAAAACACHTuJA7Cw8a1UC&#10;AACwBAAADgAAAAAAAAABACAAAAAmAQAAZHJzL2Uyb0RvYy54bWxQSwUGAAAAAAYABgBZAQAA7QUA&#10;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1552" behindDoc="0" locked="0" layoutInCell="1" allowOverlap="1">
                <wp:simplePos x="0" y="0"/>
                <wp:positionH relativeFrom="column">
                  <wp:posOffset>26670</wp:posOffset>
                </wp:positionH>
                <wp:positionV relativeFrom="paragraph">
                  <wp:posOffset>131445</wp:posOffset>
                </wp:positionV>
                <wp:extent cx="2623820" cy="1319530"/>
                <wp:effectExtent l="4445" t="4445" r="13335" b="952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pt;margin-top:10.35pt;height:103.9pt;width:206.6pt;z-index:251671552;v-text-anchor:middle;mso-width-relative:page;mso-height-relative:page;" fillcolor="#FFFFFF" filled="t" stroked="t" coordsize="21600,21600" o:gfxdata="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4EQTDVAAAACAEA&#10;AA8AAAAAAAAAAQAgAAAAIgAAAGRycy9kb3ducmV2LnhtbFBLAQIUABQAAAAIAIdO4kBuZZNSVgIA&#10;ALAEAAAOAAAAAAAAAAEAIAAAACQBAABkcnMvZTJvRG9jLnhtbFBLBQYAAAAABgAGAFkBAADsBQAA&#10;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7</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（投标人全称）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投标人全称：（盖章）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mc:AlternateContent>
          <mc:Choice Requires="wps">
            <w:drawing>
              <wp:anchor distT="0" distB="0" distL="114300" distR="114300" simplePos="0" relativeHeight="251675648" behindDoc="0" locked="0" layoutInCell="1" allowOverlap="1">
                <wp:simplePos x="0" y="0"/>
                <wp:positionH relativeFrom="column">
                  <wp:posOffset>2898775</wp:posOffset>
                </wp:positionH>
                <wp:positionV relativeFrom="paragraph">
                  <wp:posOffset>180975</wp:posOffset>
                </wp:positionV>
                <wp:extent cx="2679065" cy="1345565"/>
                <wp:effectExtent l="4445" t="4445" r="8890"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25pt;margin-top:14.25pt;height:105.95pt;width:210.95pt;z-index:251675648;v-text-anchor:middle;mso-width-relative:page;mso-height-relative:page;" fillcolor="#FFFFFF" filled="t" stroked="t" coordsize="21600,21600" o:gfxdata="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hZ8GNcAAAAK&#10;AQAADwAAAAAAAAABACAAAAAiAAAAZHJzL2Rvd25yZXYueG1sUEsBAhQAFAAAAAgAh07iQPq8jfhW&#10;AgAAsAQAAA4AAAAAAAAAAQAgAAAAJgEAAGRycy9lMm9Eb2MueG1sUEsFBgAAAAAGAAYAWQEAAO4F&#10;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mc:Fallback>
        </mc:AlternateContent>
      </w:r>
      <w:r>
        <w:rPr>
          <w:rFonts w:cs="Times New Roman" w:asciiTheme="minorEastAsia" w:hAnsiTheme="minorEastAsia"/>
          <w:sz w:val="28"/>
          <w:szCs w:val="28"/>
        </w:rPr>
        <mc:AlternateContent>
          <mc:Choice Requires="wps">
            <w:drawing>
              <wp:anchor distT="0" distB="0" distL="114300" distR="114300" simplePos="0" relativeHeight="251674624" behindDoc="0" locked="0" layoutInCell="1" allowOverlap="1">
                <wp:simplePos x="0" y="0"/>
                <wp:positionH relativeFrom="column">
                  <wp:posOffset>17780</wp:posOffset>
                </wp:positionH>
                <wp:positionV relativeFrom="paragraph">
                  <wp:posOffset>198120</wp:posOffset>
                </wp:positionV>
                <wp:extent cx="2687320" cy="1328420"/>
                <wp:effectExtent l="4445" t="4445" r="13335" b="133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4pt;margin-top:15.6pt;height:104.6pt;width:211.6pt;z-index:251674624;v-text-anchor:middle;mso-width-relative:page;mso-height-relative:page;" fillcolor="#FFFFFF" filled="t" stroked="t" coordsize="21600,21600" o:gfxdata="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5LDp29QAAAAIAQAADwAA&#10;AAAAAAABACAAAAAiAAAAZHJzL2Rvd25yZXYueG1sUEsBAhQAFAAAAAgAh07iQKSoFIJTAgAAsAQA&#10;AA4AAAAAAAAAAQAgAAAAIwEAAGRycy9lMm9Eb2MueG1sUEsFBgAAAAAGAAYAWQEAAOgFAAAAAA==&#10;">
                <v:fill on="t" focussize="0,0"/>
                <v:stroke color="#000000" miterlimit="8" joinstyle="miter" dashstyle="dash"/>
                <v:imagedata o:title=""/>
                <o:lock v:ext="edit" aspectratio="f"/>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mc:Fallback>
        </mc:AlternateConten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我方承诺，以上信息真实可靠；如填报的股东出资额、出资比例等与实际不符，视为放弃中标资格。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3.投标人应按照占全部股份比例从大到小依次逐个股东填写，股东数量多于10个的，填写前10名，不足10个的全部填写。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四、招标文件以及相关技术文件专室放置、专盘存储、专人管理。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五、未经招标人审查批准，不得擅自在互联网、通讯媒体等发表涉及此次采购项目相关内容或资讯。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违反上述承诺，愿承担一切法律责任，接受军队采购管理部门和招标人按国家和军队规定作出的相关处罚。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根据国家、军队相关法律法规以及有关廉洁自律的规定，为保证招标采购活动廉洁、公正和有效，我方郑重承诺：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承诺投标产品价格不得高于国内同级单位最低成交价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如违反上述承诺，贵院有权取消我方的投标资格，由此引起的一切损失由我单位自行承担。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附件21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r>
        <w:rPr>
          <w:rFonts w:cs="Times New Roman" w:asciiTheme="minorEastAsia" w:hAnsiTheme="minorEastAsia"/>
          <w:snapToGrid w:val="0"/>
          <w:kern w:val="0"/>
          <w:sz w:val="28"/>
          <w:szCs w:val="28"/>
        </w:rPr>
        <w:t xml:space="preserve"> </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投标人全称：（盖章）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法定代表人（或授权代表）：（签字或盖章）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附件22</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生产企业对代理公司投标授权书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1、授权书的格式不限，但必须具有授权单位与授权人的公章/签章，授权销售区域，授权期限（起止日期）等主要内容。</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2、进口产品需提供原厂对中国总代的中英文授权，并提供中国总代至各级销售授权书。</w:t>
      </w:r>
    </w:p>
    <w:p>
      <w:pPr>
        <w:widowControl/>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3、生产厂家直接投标的不需此文件。</w:t>
      </w:r>
    </w:p>
    <w:sectPr>
      <w:headerReference r:id="rId12" w:type="default"/>
      <w:pgSz w:w="11906" w:h="16838"/>
      <w:pgMar w:top="2098" w:right="1474" w:bottom="1985" w:left="1588" w:header="851" w:footer="992"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w:t>
    </w:r>
    <w:r>
      <w:rPr>
        <w:rStyle w:val="20"/>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sz w:val="24"/>
        <w:szCs w:val="24"/>
      </w:rPr>
    </w:pPr>
    <w:r>
      <w:rPr>
        <w:rFonts w:hint="eastAsia"/>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30</w:t>
    </w:r>
    <w:r>
      <w:rPr>
        <w:rStyle w:val="20"/>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ascii="宋体"/>
        <w:sz w:val="24"/>
        <w:szCs w:val="24"/>
      </w:rPr>
    </w:pPr>
    <w:r>
      <w:rPr>
        <w:rFonts w:hint="eastAsia" w:ascii="宋体"/>
        <w:sz w:val="24"/>
        <w:szCs w:val="24"/>
      </w:rPr>
      <w:t>—</w:t>
    </w:r>
    <w:r>
      <w:rPr>
        <w:rStyle w:val="20"/>
        <w:sz w:val="24"/>
        <w:szCs w:val="24"/>
      </w:rPr>
      <w:fldChar w:fldCharType="begin"/>
    </w:r>
    <w:r>
      <w:rPr>
        <w:rStyle w:val="20"/>
        <w:sz w:val="24"/>
        <w:szCs w:val="24"/>
      </w:rPr>
      <w:instrText xml:space="preserve"> PAGE </w:instrText>
    </w:r>
    <w:r>
      <w:rPr>
        <w:rStyle w:val="20"/>
        <w:sz w:val="24"/>
        <w:szCs w:val="24"/>
      </w:rPr>
      <w:fldChar w:fldCharType="separate"/>
    </w:r>
    <w:r>
      <w:rPr>
        <w:rStyle w:val="20"/>
        <w:sz w:val="24"/>
        <w:szCs w:val="24"/>
      </w:rPr>
      <w:t>57</w:t>
    </w:r>
    <w:r>
      <w:rPr>
        <w:rStyle w:val="20"/>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投标人须知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r>
      <w:rPr>
        <w:rFonts w:hint="eastAsia" w:ascii="楷体_GB2312" w:eastAsia="楷体_GB2312"/>
        <w:sz w:val="21"/>
        <w:szCs w:val="21"/>
      </w:rPr>
      <w:t>招标文件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sz w:val="21"/>
        <w:szCs w:val="21"/>
      </w:rPr>
    </w:pPr>
  </w:p>
  <w:p>
    <w:pPr>
      <w:pStyle w:val="12"/>
      <w:jc w:val="both"/>
      <w:rPr>
        <w:rFonts w:ascii="楷体_GB2312" w:eastAsia="楷体_GB2312"/>
        <w:sz w:val="21"/>
        <w:szCs w:val="21"/>
      </w:rPr>
    </w:pPr>
  </w:p>
  <w:p>
    <w:pPr>
      <w:pStyle w:val="12"/>
      <w:jc w:val="both"/>
      <w:rPr>
        <w:rFonts w:ascii="楷体_GB2312" w:eastAsia="楷体_GB2312"/>
        <w:sz w:val="21"/>
        <w:szCs w:val="21"/>
      </w:rPr>
    </w:pPr>
    <w:r>
      <w:rPr>
        <w:rFonts w:hint="eastAsia" w:ascii="楷体_GB2312" w:eastAsia="楷体_GB2312"/>
        <w:sz w:val="21"/>
        <w:szCs w:val="21"/>
      </w:rPr>
      <w:t xml:space="preserve">招标文件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投标文件格式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ascii="楷体_GB2312" w:eastAsia="楷体_GB2312"/>
        <w:bCs/>
        <w:sz w:val="21"/>
        <w:szCs w:val="21"/>
      </w:rPr>
    </w:pPr>
  </w:p>
  <w:p>
    <w:pPr>
      <w:pStyle w:val="12"/>
      <w:jc w:val="both"/>
      <w:rPr>
        <w:rFonts w:ascii="楷体_GB2312" w:eastAsia="楷体_GB2312"/>
        <w:bCs/>
        <w:sz w:val="21"/>
        <w:szCs w:val="21"/>
      </w:rPr>
    </w:pPr>
  </w:p>
  <w:p>
    <w:pPr>
      <w:pStyle w:val="12"/>
      <w:jc w:val="both"/>
      <w:rPr>
        <w:rFonts w:ascii="楷体_GB2312" w:eastAsia="楷体_GB2312"/>
        <w:bCs/>
        <w:sz w:val="21"/>
        <w:szCs w:val="21"/>
      </w:rPr>
    </w:pPr>
    <w:r>
      <w:rPr>
        <w:rFonts w:hint="eastAsia" w:ascii="楷体_GB2312" w:eastAsia="楷体_GB2312"/>
        <w:bCs/>
        <w:sz w:val="21"/>
        <w:szCs w:val="21"/>
      </w:rPr>
      <w:t>招标文件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60B138"/>
    <w:multiLevelType w:val="singleLevel"/>
    <w:tmpl w:val="B660B138"/>
    <w:lvl w:ilvl="0" w:tentative="0">
      <w:start w:val="1"/>
      <w:numFmt w:val="decimal"/>
      <w:lvlText w:val="%1."/>
      <w:lvlJc w:val="left"/>
      <w:pPr>
        <w:tabs>
          <w:tab w:val="left" w:pos="312"/>
        </w:tabs>
      </w:pPr>
    </w:lvl>
  </w:abstractNum>
  <w:abstractNum w:abstractNumId="1">
    <w:nsid w:val="F2A989FF"/>
    <w:multiLevelType w:val="singleLevel"/>
    <w:tmpl w:val="F2A989FF"/>
    <w:lvl w:ilvl="0" w:tentative="0">
      <w:start w:val="5"/>
      <w:numFmt w:val="decimal"/>
      <w:lvlText w:val="%1."/>
      <w:lvlJc w:val="left"/>
      <w:pPr>
        <w:tabs>
          <w:tab w:val="left" w:pos="312"/>
        </w:tabs>
      </w:pPr>
    </w:lvl>
  </w:abstractNum>
  <w:abstractNum w:abstractNumId="2">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bordersDoNotSurroundHeader w:val="0"/>
  <w:bordersDoNotSurroundFooter w:val="0"/>
  <w:documentProtection w:enforcement="0"/>
  <w:defaultTabStop w:val="420"/>
  <w:drawingGridHorizontalSpacing w:val="201"/>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EE"/>
    <w:rsid w:val="00002C2E"/>
    <w:rsid w:val="00002FA2"/>
    <w:rsid w:val="00004634"/>
    <w:rsid w:val="0000573F"/>
    <w:rsid w:val="00013467"/>
    <w:rsid w:val="0001562D"/>
    <w:rsid w:val="000158F6"/>
    <w:rsid w:val="00016044"/>
    <w:rsid w:val="000160A3"/>
    <w:rsid w:val="00021B72"/>
    <w:rsid w:val="000251D9"/>
    <w:rsid w:val="00026C64"/>
    <w:rsid w:val="00030F28"/>
    <w:rsid w:val="000347B9"/>
    <w:rsid w:val="00034E63"/>
    <w:rsid w:val="00041450"/>
    <w:rsid w:val="00042DCC"/>
    <w:rsid w:val="0004687A"/>
    <w:rsid w:val="00050482"/>
    <w:rsid w:val="00054AFA"/>
    <w:rsid w:val="0005519E"/>
    <w:rsid w:val="0005539D"/>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77FA"/>
    <w:rsid w:val="000B0A52"/>
    <w:rsid w:val="000B1F30"/>
    <w:rsid w:val="000B4FE3"/>
    <w:rsid w:val="000D1724"/>
    <w:rsid w:val="000D4E07"/>
    <w:rsid w:val="000E0A9C"/>
    <w:rsid w:val="000E203F"/>
    <w:rsid w:val="000E2378"/>
    <w:rsid w:val="000E441D"/>
    <w:rsid w:val="000F19EE"/>
    <w:rsid w:val="000F241F"/>
    <w:rsid w:val="000F6B44"/>
    <w:rsid w:val="000F7F74"/>
    <w:rsid w:val="00100C14"/>
    <w:rsid w:val="00104F9C"/>
    <w:rsid w:val="00112AB8"/>
    <w:rsid w:val="00117521"/>
    <w:rsid w:val="0011792C"/>
    <w:rsid w:val="001179D2"/>
    <w:rsid w:val="0012622A"/>
    <w:rsid w:val="0012758E"/>
    <w:rsid w:val="00132440"/>
    <w:rsid w:val="001370A6"/>
    <w:rsid w:val="00143A5E"/>
    <w:rsid w:val="00145EE0"/>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E33"/>
    <w:rsid w:val="00187DDD"/>
    <w:rsid w:val="00190499"/>
    <w:rsid w:val="001946ED"/>
    <w:rsid w:val="00194A09"/>
    <w:rsid w:val="00195A35"/>
    <w:rsid w:val="001967E6"/>
    <w:rsid w:val="001A1DAD"/>
    <w:rsid w:val="001A27DE"/>
    <w:rsid w:val="001A3D64"/>
    <w:rsid w:val="001A3D7B"/>
    <w:rsid w:val="001A420E"/>
    <w:rsid w:val="001A7AF3"/>
    <w:rsid w:val="001B0507"/>
    <w:rsid w:val="001B25A6"/>
    <w:rsid w:val="001B30A2"/>
    <w:rsid w:val="001B77E3"/>
    <w:rsid w:val="001C13BA"/>
    <w:rsid w:val="001C4128"/>
    <w:rsid w:val="001C7DE1"/>
    <w:rsid w:val="001D04C7"/>
    <w:rsid w:val="001D3A1B"/>
    <w:rsid w:val="001D70FA"/>
    <w:rsid w:val="001E193A"/>
    <w:rsid w:val="001E3944"/>
    <w:rsid w:val="001E3BC8"/>
    <w:rsid w:val="001E3D72"/>
    <w:rsid w:val="001F49DF"/>
    <w:rsid w:val="001F602A"/>
    <w:rsid w:val="001F665F"/>
    <w:rsid w:val="00200C01"/>
    <w:rsid w:val="00214820"/>
    <w:rsid w:val="00217B83"/>
    <w:rsid w:val="00220449"/>
    <w:rsid w:val="00220BEB"/>
    <w:rsid w:val="00222099"/>
    <w:rsid w:val="002253F6"/>
    <w:rsid w:val="00230E9D"/>
    <w:rsid w:val="00235E78"/>
    <w:rsid w:val="002367B0"/>
    <w:rsid w:val="002400C7"/>
    <w:rsid w:val="00241372"/>
    <w:rsid w:val="00244F73"/>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6A11"/>
    <w:rsid w:val="002C7079"/>
    <w:rsid w:val="002C7283"/>
    <w:rsid w:val="002D0966"/>
    <w:rsid w:val="002D331A"/>
    <w:rsid w:val="002D43F5"/>
    <w:rsid w:val="002D5161"/>
    <w:rsid w:val="002D5B51"/>
    <w:rsid w:val="002E011C"/>
    <w:rsid w:val="002E0A0C"/>
    <w:rsid w:val="002E3D9F"/>
    <w:rsid w:val="002F1927"/>
    <w:rsid w:val="003027C7"/>
    <w:rsid w:val="00302A57"/>
    <w:rsid w:val="00302A79"/>
    <w:rsid w:val="00302BCC"/>
    <w:rsid w:val="00310302"/>
    <w:rsid w:val="00312142"/>
    <w:rsid w:val="00314ADF"/>
    <w:rsid w:val="00317B20"/>
    <w:rsid w:val="00320702"/>
    <w:rsid w:val="0032757D"/>
    <w:rsid w:val="0032766C"/>
    <w:rsid w:val="003276E6"/>
    <w:rsid w:val="00335EF0"/>
    <w:rsid w:val="00336DFF"/>
    <w:rsid w:val="00340B6D"/>
    <w:rsid w:val="0034221C"/>
    <w:rsid w:val="00342A28"/>
    <w:rsid w:val="00343140"/>
    <w:rsid w:val="00346B6C"/>
    <w:rsid w:val="00350CE6"/>
    <w:rsid w:val="00353505"/>
    <w:rsid w:val="00356BD1"/>
    <w:rsid w:val="0035787E"/>
    <w:rsid w:val="003611CA"/>
    <w:rsid w:val="00361426"/>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A1E13"/>
    <w:rsid w:val="003B0536"/>
    <w:rsid w:val="003B0652"/>
    <w:rsid w:val="003B3F4B"/>
    <w:rsid w:val="003B44D4"/>
    <w:rsid w:val="003B50D8"/>
    <w:rsid w:val="003B7663"/>
    <w:rsid w:val="003C19BC"/>
    <w:rsid w:val="003C3B80"/>
    <w:rsid w:val="003D1292"/>
    <w:rsid w:val="003D363B"/>
    <w:rsid w:val="003E2C38"/>
    <w:rsid w:val="003E2C3A"/>
    <w:rsid w:val="003E2D1B"/>
    <w:rsid w:val="003E650B"/>
    <w:rsid w:val="003E7CE7"/>
    <w:rsid w:val="003F02F9"/>
    <w:rsid w:val="003F2300"/>
    <w:rsid w:val="003F29CF"/>
    <w:rsid w:val="003F37B0"/>
    <w:rsid w:val="003F4055"/>
    <w:rsid w:val="003F4981"/>
    <w:rsid w:val="00402E19"/>
    <w:rsid w:val="00406BC5"/>
    <w:rsid w:val="00412ADF"/>
    <w:rsid w:val="0041496A"/>
    <w:rsid w:val="00422CFA"/>
    <w:rsid w:val="00426402"/>
    <w:rsid w:val="0042719D"/>
    <w:rsid w:val="004350C6"/>
    <w:rsid w:val="004359C8"/>
    <w:rsid w:val="00435AE4"/>
    <w:rsid w:val="004404EB"/>
    <w:rsid w:val="00441D08"/>
    <w:rsid w:val="00443086"/>
    <w:rsid w:val="00443F77"/>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5253"/>
    <w:rsid w:val="00476D8F"/>
    <w:rsid w:val="004817C9"/>
    <w:rsid w:val="0048184A"/>
    <w:rsid w:val="004855DB"/>
    <w:rsid w:val="00486FAC"/>
    <w:rsid w:val="00490B39"/>
    <w:rsid w:val="0049116F"/>
    <w:rsid w:val="00497561"/>
    <w:rsid w:val="004A2AB0"/>
    <w:rsid w:val="004A51A4"/>
    <w:rsid w:val="004B3316"/>
    <w:rsid w:val="004C0B0A"/>
    <w:rsid w:val="004C1A39"/>
    <w:rsid w:val="004C6962"/>
    <w:rsid w:val="004C7646"/>
    <w:rsid w:val="004D09D9"/>
    <w:rsid w:val="004D23FB"/>
    <w:rsid w:val="004D48E0"/>
    <w:rsid w:val="004E037D"/>
    <w:rsid w:val="004E0BAB"/>
    <w:rsid w:val="004E162D"/>
    <w:rsid w:val="004E18EC"/>
    <w:rsid w:val="004E3F98"/>
    <w:rsid w:val="004E60AD"/>
    <w:rsid w:val="004F4BBC"/>
    <w:rsid w:val="004F5759"/>
    <w:rsid w:val="005016FA"/>
    <w:rsid w:val="00501BD3"/>
    <w:rsid w:val="005026E6"/>
    <w:rsid w:val="00505765"/>
    <w:rsid w:val="00505E0B"/>
    <w:rsid w:val="00506149"/>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C87"/>
    <w:rsid w:val="0058033F"/>
    <w:rsid w:val="00592954"/>
    <w:rsid w:val="00593668"/>
    <w:rsid w:val="005A03AA"/>
    <w:rsid w:val="005A4B13"/>
    <w:rsid w:val="005A4B8A"/>
    <w:rsid w:val="005A63B3"/>
    <w:rsid w:val="005B1A5E"/>
    <w:rsid w:val="005B2EA3"/>
    <w:rsid w:val="005B3948"/>
    <w:rsid w:val="005C0D9D"/>
    <w:rsid w:val="005C1F06"/>
    <w:rsid w:val="005C3150"/>
    <w:rsid w:val="005D0B03"/>
    <w:rsid w:val="005E60DB"/>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4797"/>
    <w:rsid w:val="006C6901"/>
    <w:rsid w:val="006E23C5"/>
    <w:rsid w:val="006E3186"/>
    <w:rsid w:val="006E4137"/>
    <w:rsid w:val="006E423C"/>
    <w:rsid w:val="006E44DC"/>
    <w:rsid w:val="006E732A"/>
    <w:rsid w:val="006F116B"/>
    <w:rsid w:val="006F20D7"/>
    <w:rsid w:val="006F4A93"/>
    <w:rsid w:val="006F621C"/>
    <w:rsid w:val="00700EA9"/>
    <w:rsid w:val="007048F0"/>
    <w:rsid w:val="00706B94"/>
    <w:rsid w:val="00707587"/>
    <w:rsid w:val="00712CBC"/>
    <w:rsid w:val="007144A6"/>
    <w:rsid w:val="007154D8"/>
    <w:rsid w:val="00723750"/>
    <w:rsid w:val="0072438F"/>
    <w:rsid w:val="00724A15"/>
    <w:rsid w:val="00724F47"/>
    <w:rsid w:val="007264A9"/>
    <w:rsid w:val="00726DAE"/>
    <w:rsid w:val="007302D1"/>
    <w:rsid w:val="007335ED"/>
    <w:rsid w:val="00733A42"/>
    <w:rsid w:val="00733BDD"/>
    <w:rsid w:val="00733F31"/>
    <w:rsid w:val="00750539"/>
    <w:rsid w:val="00751CB1"/>
    <w:rsid w:val="00760AB4"/>
    <w:rsid w:val="00765BBC"/>
    <w:rsid w:val="00767719"/>
    <w:rsid w:val="00767AAD"/>
    <w:rsid w:val="0077100A"/>
    <w:rsid w:val="0077103A"/>
    <w:rsid w:val="00772B5D"/>
    <w:rsid w:val="007731DA"/>
    <w:rsid w:val="0077339D"/>
    <w:rsid w:val="0077559A"/>
    <w:rsid w:val="00776432"/>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9E4"/>
    <w:rsid w:val="007C28FA"/>
    <w:rsid w:val="007C3B80"/>
    <w:rsid w:val="007C42A8"/>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10E36"/>
    <w:rsid w:val="00813A34"/>
    <w:rsid w:val="00817F8B"/>
    <w:rsid w:val="00820413"/>
    <w:rsid w:val="0082198C"/>
    <w:rsid w:val="00825390"/>
    <w:rsid w:val="00830AC0"/>
    <w:rsid w:val="00830D03"/>
    <w:rsid w:val="00830FC4"/>
    <w:rsid w:val="00833B0E"/>
    <w:rsid w:val="00835412"/>
    <w:rsid w:val="00842750"/>
    <w:rsid w:val="00844B61"/>
    <w:rsid w:val="00846F55"/>
    <w:rsid w:val="00850279"/>
    <w:rsid w:val="008518CF"/>
    <w:rsid w:val="008557A0"/>
    <w:rsid w:val="00855AC0"/>
    <w:rsid w:val="00856711"/>
    <w:rsid w:val="00857990"/>
    <w:rsid w:val="008642CB"/>
    <w:rsid w:val="00864339"/>
    <w:rsid w:val="00871AA1"/>
    <w:rsid w:val="008731D1"/>
    <w:rsid w:val="00881A2F"/>
    <w:rsid w:val="008879B2"/>
    <w:rsid w:val="00890364"/>
    <w:rsid w:val="00892407"/>
    <w:rsid w:val="00894FD2"/>
    <w:rsid w:val="00895983"/>
    <w:rsid w:val="008A0E95"/>
    <w:rsid w:val="008A392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6837"/>
    <w:rsid w:val="00941CD2"/>
    <w:rsid w:val="009474B3"/>
    <w:rsid w:val="009478E9"/>
    <w:rsid w:val="009554D8"/>
    <w:rsid w:val="009570D9"/>
    <w:rsid w:val="00957388"/>
    <w:rsid w:val="00962E40"/>
    <w:rsid w:val="0096732E"/>
    <w:rsid w:val="00977E68"/>
    <w:rsid w:val="00977F7E"/>
    <w:rsid w:val="00980D50"/>
    <w:rsid w:val="00981994"/>
    <w:rsid w:val="00985CB0"/>
    <w:rsid w:val="009876D3"/>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D06C0"/>
    <w:rsid w:val="009D217C"/>
    <w:rsid w:val="009D403B"/>
    <w:rsid w:val="009E48BE"/>
    <w:rsid w:val="009F16A1"/>
    <w:rsid w:val="009F315B"/>
    <w:rsid w:val="00A03529"/>
    <w:rsid w:val="00A05A0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140D"/>
    <w:rsid w:val="00AB4A4E"/>
    <w:rsid w:val="00AB4AFD"/>
    <w:rsid w:val="00AB5A7B"/>
    <w:rsid w:val="00AC1106"/>
    <w:rsid w:val="00AC2501"/>
    <w:rsid w:val="00AC5B29"/>
    <w:rsid w:val="00AC6ABA"/>
    <w:rsid w:val="00AC7215"/>
    <w:rsid w:val="00AC7F20"/>
    <w:rsid w:val="00AC7F58"/>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7ACA"/>
    <w:rsid w:val="00B14E99"/>
    <w:rsid w:val="00B16B77"/>
    <w:rsid w:val="00B20AA0"/>
    <w:rsid w:val="00B24395"/>
    <w:rsid w:val="00B2575B"/>
    <w:rsid w:val="00B25CCF"/>
    <w:rsid w:val="00B312BF"/>
    <w:rsid w:val="00B33EB7"/>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70AC4"/>
    <w:rsid w:val="00B74023"/>
    <w:rsid w:val="00B7453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737A"/>
    <w:rsid w:val="00BD7CAC"/>
    <w:rsid w:val="00BE4874"/>
    <w:rsid w:val="00BE4D46"/>
    <w:rsid w:val="00BF1317"/>
    <w:rsid w:val="00BF60B1"/>
    <w:rsid w:val="00C0287F"/>
    <w:rsid w:val="00C02CD6"/>
    <w:rsid w:val="00C03359"/>
    <w:rsid w:val="00C05979"/>
    <w:rsid w:val="00C05988"/>
    <w:rsid w:val="00C05E71"/>
    <w:rsid w:val="00C116BF"/>
    <w:rsid w:val="00C1522D"/>
    <w:rsid w:val="00C17C0C"/>
    <w:rsid w:val="00C17E1B"/>
    <w:rsid w:val="00C257E3"/>
    <w:rsid w:val="00C3022B"/>
    <w:rsid w:val="00C3311B"/>
    <w:rsid w:val="00C41960"/>
    <w:rsid w:val="00C4330B"/>
    <w:rsid w:val="00C43C6F"/>
    <w:rsid w:val="00C475A2"/>
    <w:rsid w:val="00C53850"/>
    <w:rsid w:val="00C53CFB"/>
    <w:rsid w:val="00C5456B"/>
    <w:rsid w:val="00C562A9"/>
    <w:rsid w:val="00C5736D"/>
    <w:rsid w:val="00C57D95"/>
    <w:rsid w:val="00C65928"/>
    <w:rsid w:val="00C7014A"/>
    <w:rsid w:val="00C75273"/>
    <w:rsid w:val="00C761E7"/>
    <w:rsid w:val="00C77CA5"/>
    <w:rsid w:val="00C77DB5"/>
    <w:rsid w:val="00C81CBB"/>
    <w:rsid w:val="00C840DC"/>
    <w:rsid w:val="00C852C5"/>
    <w:rsid w:val="00C90493"/>
    <w:rsid w:val="00C91F60"/>
    <w:rsid w:val="00C930A6"/>
    <w:rsid w:val="00C93F1A"/>
    <w:rsid w:val="00C94047"/>
    <w:rsid w:val="00CA2259"/>
    <w:rsid w:val="00CA46F0"/>
    <w:rsid w:val="00CA47C5"/>
    <w:rsid w:val="00CA4F44"/>
    <w:rsid w:val="00CA508A"/>
    <w:rsid w:val="00CA53CE"/>
    <w:rsid w:val="00CA7656"/>
    <w:rsid w:val="00CB0C1E"/>
    <w:rsid w:val="00CB2ECF"/>
    <w:rsid w:val="00CB4AA1"/>
    <w:rsid w:val="00CB57AB"/>
    <w:rsid w:val="00CB63F6"/>
    <w:rsid w:val="00CC788E"/>
    <w:rsid w:val="00CD1389"/>
    <w:rsid w:val="00CD3A99"/>
    <w:rsid w:val="00CD408F"/>
    <w:rsid w:val="00CD46E0"/>
    <w:rsid w:val="00CD58CF"/>
    <w:rsid w:val="00CE3C32"/>
    <w:rsid w:val="00CE48C7"/>
    <w:rsid w:val="00CF40F3"/>
    <w:rsid w:val="00CF4B59"/>
    <w:rsid w:val="00CF5B6D"/>
    <w:rsid w:val="00CF644A"/>
    <w:rsid w:val="00CF6D7C"/>
    <w:rsid w:val="00D03D3C"/>
    <w:rsid w:val="00D06FF8"/>
    <w:rsid w:val="00D10DF2"/>
    <w:rsid w:val="00D15E56"/>
    <w:rsid w:val="00D1612C"/>
    <w:rsid w:val="00D16290"/>
    <w:rsid w:val="00D162FA"/>
    <w:rsid w:val="00D168DD"/>
    <w:rsid w:val="00D205FF"/>
    <w:rsid w:val="00D23E0D"/>
    <w:rsid w:val="00D2626D"/>
    <w:rsid w:val="00D32648"/>
    <w:rsid w:val="00D34BFF"/>
    <w:rsid w:val="00D417CC"/>
    <w:rsid w:val="00D43BBF"/>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3CE5"/>
    <w:rsid w:val="00DA48E1"/>
    <w:rsid w:val="00DB0D05"/>
    <w:rsid w:val="00DB1953"/>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2EB4"/>
    <w:rsid w:val="00E763C3"/>
    <w:rsid w:val="00E851B0"/>
    <w:rsid w:val="00E9244B"/>
    <w:rsid w:val="00E9607A"/>
    <w:rsid w:val="00E965A5"/>
    <w:rsid w:val="00EA3D5B"/>
    <w:rsid w:val="00EA5DD8"/>
    <w:rsid w:val="00EB01B3"/>
    <w:rsid w:val="00EB0CD8"/>
    <w:rsid w:val="00EB1CF7"/>
    <w:rsid w:val="00EB77AB"/>
    <w:rsid w:val="00EC1372"/>
    <w:rsid w:val="00EC40D0"/>
    <w:rsid w:val="00EC4B43"/>
    <w:rsid w:val="00EC6918"/>
    <w:rsid w:val="00EC6932"/>
    <w:rsid w:val="00ED05D5"/>
    <w:rsid w:val="00ED2949"/>
    <w:rsid w:val="00ED5C76"/>
    <w:rsid w:val="00ED78A2"/>
    <w:rsid w:val="00EE05DE"/>
    <w:rsid w:val="00EE4199"/>
    <w:rsid w:val="00EE5EF0"/>
    <w:rsid w:val="00EF3F37"/>
    <w:rsid w:val="00F04056"/>
    <w:rsid w:val="00F07135"/>
    <w:rsid w:val="00F07E6A"/>
    <w:rsid w:val="00F10D6E"/>
    <w:rsid w:val="00F1490A"/>
    <w:rsid w:val="00F16EEB"/>
    <w:rsid w:val="00F2090E"/>
    <w:rsid w:val="00F213F7"/>
    <w:rsid w:val="00F33B8D"/>
    <w:rsid w:val="00F34D85"/>
    <w:rsid w:val="00F365B1"/>
    <w:rsid w:val="00F36DC0"/>
    <w:rsid w:val="00F445B0"/>
    <w:rsid w:val="00F52461"/>
    <w:rsid w:val="00F55C60"/>
    <w:rsid w:val="00F5673F"/>
    <w:rsid w:val="00F61363"/>
    <w:rsid w:val="00F62C5A"/>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6F12"/>
    <w:rsid w:val="00FD2CFC"/>
    <w:rsid w:val="00FD5A77"/>
    <w:rsid w:val="00FE0962"/>
    <w:rsid w:val="00FE134B"/>
    <w:rsid w:val="00FE1C94"/>
    <w:rsid w:val="00FE4F4D"/>
    <w:rsid w:val="00FE6AA0"/>
    <w:rsid w:val="00FF119D"/>
    <w:rsid w:val="00FF3BF2"/>
    <w:rsid w:val="00FF557D"/>
    <w:rsid w:val="00FF7971"/>
    <w:rsid w:val="057A783F"/>
    <w:rsid w:val="1B7A7855"/>
    <w:rsid w:val="1F461956"/>
    <w:rsid w:val="2C3A1EA5"/>
    <w:rsid w:val="38C2709D"/>
    <w:rsid w:val="3BF72575"/>
    <w:rsid w:val="3E844222"/>
    <w:rsid w:val="45BD552E"/>
    <w:rsid w:val="4B64398A"/>
    <w:rsid w:val="532C512B"/>
    <w:rsid w:val="5AB16304"/>
    <w:rsid w:val="6A387D2B"/>
    <w:rsid w:val="74246FD8"/>
    <w:rsid w:val="76DF3F26"/>
    <w:rsid w:val="7850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3"/>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4"/>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29"/>
    <w:qFormat/>
    <w:uiPriority w:val="0"/>
    <w:rPr>
      <w:rFonts w:ascii="Times New Roman" w:hAnsi="Times New Roman" w:eastAsia="宋体" w:cs="Times New Roman"/>
      <w:kern w:val="0"/>
      <w:szCs w:val="24"/>
    </w:rPr>
  </w:style>
  <w:style w:type="paragraph" w:styleId="7">
    <w:name w:val="Body Text Indent"/>
    <w:basedOn w:val="1"/>
    <w:link w:val="28"/>
    <w:qFormat/>
    <w:uiPriority w:val="0"/>
    <w:pPr>
      <w:ind w:firstLine="555"/>
    </w:pPr>
    <w:rPr>
      <w:rFonts w:ascii="Times New Roman" w:hAnsi="Times New Roman" w:eastAsia="宋体" w:cs="Times New Roman"/>
      <w:kern w:val="0"/>
      <w:sz w:val="24"/>
      <w:szCs w:val="24"/>
    </w:rPr>
  </w:style>
  <w:style w:type="paragraph" w:styleId="8">
    <w:name w:val="Plain Text"/>
    <w:basedOn w:val="1"/>
    <w:link w:val="35"/>
    <w:qFormat/>
    <w:uiPriority w:val="0"/>
    <w:rPr>
      <w:rFonts w:ascii="宋体" w:hAnsi="Courier New" w:eastAsia="宋体" w:cs="Courier New"/>
      <w:sz w:val="24"/>
      <w:szCs w:val="21"/>
    </w:rPr>
  </w:style>
  <w:style w:type="paragraph" w:styleId="9">
    <w:name w:val="Body Text Indent 2"/>
    <w:basedOn w:val="1"/>
    <w:link w:val="27"/>
    <w:qFormat/>
    <w:uiPriority w:val="0"/>
    <w:pPr>
      <w:spacing w:line="540" w:lineRule="exact"/>
      <w:ind w:firstLine="630"/>
    </w:pPr>
    <w:rPr>
      <w:rFonts w:ascii="Times New Roman" w:hAnsi="Times New Roman" w:eastAsia="宋体" w:cs="Times New Roman"/>
      <w:kern w:val="0"/>
      <w:sz w:val="24"/>
      <w:szCs w:val="24"/>
    </w:rPr>
  </w:style>
  <w:style w:type="paragraph" w:styleId="10">
    <w:name w:val="Balloon Text"/>
    <w:basedOn w:val="1"/>
    <w:link w:val="36"/>
    <w:semiHidden/>
    <w:qFormat/>
    <w:uiPriority w:val="0"/>
    <w:rPr>
      <w:rFonts w:ascii="Times New Roman" w:hAnsi="Times New Roman" w:eastAsia="宋体" w:cs="Times New Roman"/>
      <w:kern w:val="0"/>
      <w:sz w:val="18"/>
      <w:szCs w:val="18"/>
    </w:rPr>
  </w:style>
  <w:style w:type="paragraph" w:styleId="11">
    <w:name w:val="footer"/>
    <w:basedOn w:val="1"/>
    <w:link w:val="25"/>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2">
    <w:name w:val="header"/>
    <w:basedOn w:val="1"/>
    <w:link w:val="2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3">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4">
    <w:name w:val="toc 2"/>
    <w:basedOn w:val="1"/>
    <w:next w:val="1"/>
    <w:unhideWhenUsed/>
    <w:qFormat/>
    <w:uiPriority w:val="39"/>
    <w:pPr>
      <w:ind w:left="420" w:leftChars="200"/>
    </w:pPr>
  </w:style>
  <w:style w:type="paragraph" w:styleId="15">
    <w:name w:val="Body Text 2"/>
    <w:basedOn w:val="1"/>
    <w:link w:val="30"/>
    <w:qFormat/>
    <w:uiPriority w:val="0"/>
    <w:pPr>
      <w:jc w:val="center"/>
    </w:pPr>
    <w:rPr>
      <w:rFonts w:ascii="Times New Roman" w:hAnsi="Times New Roman" w:eastAsia="宋体" w:cs="Times New Roman"/>
      <w:kern w:val="0"/>
      <w:szCs w:val="24"/>
    </w:rPr>
  </w:style>
  <w:style w:type="paragraph" w:styleId="16">
    <w:name w:val="index 1"/>
    <w:basedOn w:val="1"/>
    <w:next w:val="1"/>
    <w:semiHidden/>
    <w:qFormat/>
    <w:uiPriority w:val="0"/>
    <w:rPr>
      <w:rFonts w:ascii="Times New Roman" w:hAnsi="Times New Roman" w:eastAsia="宋体" w:cs="Times New Roman"/>
      <w:kern w:val="0"/>
      <w:sz w:val="24"/>
      <w:szCs w:val="24"/>
    </w:rPr>
  </w:style>
  <w:style w:type="table" w:styleId="18">
    <w:name w:val="Table Grid"/>
    <w:basedOn w:val="17"/>
    <w:qFormat/>
    <w:uiPriority w:val="0"/>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page number"/>
    <w:basedOn w:val="19"/>
    <w:qFormat/>
    <w:uiPriority w:val="0"/>
    <w:rPr>
      <w:rFonts w:cs="Times New Roman"/>
    </w:rPr>
  </w:style>
  <w:style w:type="character" w:styleId="21">
    <w:name w:val="Hyperlink"/>
    <w:basedOn w:val="19"/>
    <w:qFormat/>
    <w:uiPriority w:val="99"/>
    <w:rPr>
      <w:rFonts w:cs="Times New Roman"/>
      <w:color w:val="0000FF"/>
      <w:u w:val="single"/>
    </w:rPr>
  </w:style>
  <w:style w:type="character" w:customStyle="1" w:styleId="22">
    <w:name w:val="标题 1 Char"/>
    <w:basedOn w:val="19"/>
    <w:link w:val="2"/>
    <w:qFormat/>
    <w:uiPriority w:val="0"/>
    <w:rPr>
      <w:rFonts w:ascii="Times New Roman" w:hAnsi="Times New Roman" w:eastAsia="宋体" w:cs="Times New Roman"/>
      <w:b/>
      <w:bCs/>
      <w:kern w:val="44"/>
      <w:sz w:val="44"/>
      <w:szCs w:val="44"/>
    </w:rPr>
  </w:style>
  <w:style w:type="character" w:customStyle="1" w:styleId="23">
    <w:name w:val="标题 2 Char"/>
    <w:basedOn w:val="19"/>
    <w:link w:val="3"/>
    <w:qFormat/>
    <w:uiPriority w:val="0"/>
    <w:rPr>
      <w:rFonts w:ascii="Arial" w:hAnsi="Arial" w:eastAsia="黑体" w:cs="Times New Roman"/>
      <w:b/>
      <w:kern w:val="0"/>
      <w:sz w:val="32"/>
      <w:szCs w:val="20"/>
    </w:rPr>
  </w:style>
  <w:style w:type="character" w:customStyle="1" w:styleId="24">
    <w:name w:val="页眉 Char"/>
    <w:basedOn w:val="19"/>
    <w:link w:val="12"/>
    <w:qFormat/>
    <w:uiPriority w:val="0"/>
    <w:rPr>
      <w:rFonts w:ascii="Times New Roman" w:hAnsi="Times New Roman" w:eastAsia="宋体" w:cs="Times New Roman"/>
      <w:kern w:val="0"/>
      <w:sz w:val="18"/>
      <w:szCs w:val="18"/>
    </w:rPr>
  </w:style>
  <w:style w:type="character" w:customStyle="1" w:styleId="25">
    <w:name w:val="页脚 Char"/>
    <w:basedOn w:val="19"/>
    <w:link w:val="11"/>
    <w:qFormat/>
    <w:uiPriority w:val="0"/>
    <w:rPr>
      <w:rFonts w:ascii="Times New Roman" w:hAnsi="Times New Roman" w:eastAsia="宋体" w:cs="Times New Roman"/>
      <w:kern w:val="0"/>
      <w:sz w:val="18"/>
      <w:szCs w:val="18"/>
    </w:rPr>
  </w:style>
  <w:style w:type="paragraph" w:customStyle="1" w:styleId="26">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7">
    <w:name w:val="正文文本缩进 2 Char"/>
    <w:basedOn w:val="19"/>
    <w:link w:val="9"/>
    <w:qFormat/>
    <w:uiPriority w:val="0"/>
    <w:rPr>
      <w:rFonts w:ascii="Times New Roman" w:hAnsi="Times New Roman" w:eastAsia="宋体" w:cs="Times New Roman"/>
      <w:kern w:val="0"/>
      <w:sz w:val="24"/>
      <w:szCs w:val="24"/>
    </w:rPr>
  </w:style>
  <w:style w:type="character" w:customStyle="1" w:styleId="28">
    <w:name w:val="正文文本缩进 Char"/>
    <w:basedOn w:val="19"/>
    <w:link w:val="7"/>
    <w:qFormat/>
    <w:uiPriority w:val="0"/>
    <w:rPr>
      <w:rFonts w:ascii="Times New Roman" w:hAnsi="Times New Roman" w:eastAsia="宋体" w:cs="Times New Roman"/>
      <w:kern w:val="0"/>
      <w:sz w:val="24"/>
      <w:szCs w:val="24"/>
    </w:rPr>
  </w:style>
  <w:style w:type="character" w:customStyle="1" w:styleId="29">
    <w:name w:val="正文文本 Char"/>
    <w:basedOn w:val="19"/>
    <w:link w:val="6"/>
    <w:qFormat/>
    <w:uiPriority w:val="0"/>
    <w:rPr>
      <w:rFonts w:ascii="Times New Roman" w:hAnsi="Times New Roman" w:eastAsia="宋体" w:cs="Times New Roman"/>
      <w:kern w:val="0"/>
      <w:szCs w:val="24"/>
    </w:rPr>
  </w:style>
  <w:style w:type="character" w:customStyle="1" w:styleId="30">
    <w:name w:val="正文文本 2 Char"/>
    <w:basedOn w:val="19"/>
    <w:link w:val="15"/>
    <w:qFormat/>
    <w:uiPriority w:val="0"/>
    <w:rPr>
      <w:rFonts w:ascii="Times New Roman" w:hAnsi="Times New Roman" w:eastAsia="宋体" w:cs="Times New Roman"/>
      <w:kern w:val="0"/>
      <w:szCs w:val="24"/>
    </w:rPr>
  </w:style>
  <w:style w:type="paragraph" w:customStyle="1" w:styleId="31">
    <w:name w:val="样式1"/>
    <w:basedOn w:val="2"/>
    <w:qFormat/>
    <w:uiPriority w:val="0"/>
    <w:pPr>
      <w:spacing w:line="640" w:lineRule="exact"/>
      <w:jc w:val="center"/>
    </w:pPr>
    <w:rPr>
      <w:rFonts w:ascii="方正小标宋简体" w:hAnsi="华文中宋" w:eastAsia="方正小标宋简体"/>
      <w:b w:val="0"/>
    </w:rPr>
  </w:style>
  <w:style w:type="paragraph" w:customStyle="1" w:styleId="32">
    <w:name w:val="样式2"/>
    <w:basedOn w:val="2"/>
    <w:qFormat/>
    <w:uiPriority w:val="0"/>
    <w:pPr>
      <w:spacing w:line="640" w:lineRule="exact"/>
      <w:jc w:val="center"/>
    </w:pPr>
    <w:rPr>
      <w:rFonts w:ascii="方正小标宋简体" w:hAnsi="华文中宋" w:eastAsia="方正小标宋简体"/>
      <w:b w:val="0"/>
    </w:rPr>
  </w:style>
  <w:style w:type="paragraph" w:customStyle="1" w:styleId="33">
    <w:name w:val="样式3"/>
    <w:basedOn w:val="2"/>
    <w:qFormat/>
    <w:uiPriority w:val="0"/>
    <w:pPr>
      <w:spacing w:line="640" w:lineRule="exact"/>
      <w:jc w:val="center"/>
    </w:pPr>
    <w:rPr>
      <w:rFonts w:ascii="方正小标宋简体" w:hAnsi="华文中宋" w:eastAsia="方正小标宋简体"/>
      <w:b w:val="0"/>
    </w:rPr>
  </w:style>
  <w:style w:type="character" w:customStyle="1" w:styleId="34">
    <w:name w:val="文档结构图 Char"/>
    <w:basedOn w:val="19"/>
    <w:link w:val="5"/>
    <w:semiHidden/>
    <w:qFormat/>
    <w:uiPriority w:val="0"/>
    <w:rPr>
      <w:rFonts w:ascii="Times New Roman" w:hAnsi="Times New Roman" w:eastAsia="宋体" w:cs="Times New Roman"/>
      <w:kern w:val="0"/>
      <w:sz w:val="24"/>
      <w:szCs w:val="24"/>
      <w:shd w:val="clear" w:color="auto" w:fill="000080"/>
    </w:rPr>
  </w:style>
  <w:style w:type="character" w:customStyle="1" w:styleId="35">
    <w:name w:val="纯文本 Char"/>
    <w:basedOn w:val="19"/>
    <w:link w:val="8"/>
    <w:qFormat/>
    <w:uiPriority w:val="0"/>
    <w:rPr>
      <w:rFonts w:ascii="宋体" w:hAnsi="Courier New" w:eastAsia="宋体" w:cs="Courier New"/>
      <w:sz w:val="24"/>
      <w:szCs w:val="21"/>
    </w:rPr>
  </w:style>
  <w:style w:type="character" w:customStyle="1" w:styleId="36">
    <w:name w:val="批注框文本 Char"/>
    <w:basedOn w:val="19"/>
    <w:link w:val="10"/>
    <w:semiHidden/>
    <w:qFormat/>
    <w:uiPriority w:val="0"/>
    <w:rPr>
      <w:rFonts w:ascii="Times New Roman" w:hAnsi="Times New Roman" w:eastAsia="宋体" w:cs="Times New Roman"/>
      <w:kern w:val="0"/>
      <w:sz w:val="18"/>
      <w:szCs w:val="18"/>
    </w:rPr>
  </w:style>
  <w:style w:type="paragraph" w:customStyle="1" w:styleId="37">
    <w:name w:val="列出段落1"/>
    <w:basedOn w:val="1"/>
    <w:link w:val="41"/>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8">
    <w:name w:val="1111111199999"/>
    <w:basedOn w:val="1"/>
    <w:link w:val="39"/>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39">
    <w:name w:val="1111111199999 Char"/>
    <w:link w:val="38"/>
    <w:qFormat/>
    <w:locked/>
    <w:uiPriority w:val="0"/>
    <w:rPr>
      <w:rFonts w:ascii="Times New Roman" w:hAnsi="Times New Roman" w:eastAsia="宋体" w:cs="Times New Roman"/>
      <w:kern w:val="0"/>
      <w:szCs w:val="20"/>
    </w:rPr>
  </w:style>
  <w:style w:type="character" w:customStyle="1" w:styleId="40">
    <w:name w:val="apple-style-span"/>
    <w:qFormat/>
    <w:uiPriority w:val="0"/>
  </w:style>
  <w:style w:type="character" w:customStyle="1" w:styleId="41">
    <w:name w:val="List Paragraph Char"/>
    <w:link w:val="37"/>
    <w:qFormat/>
    <w:locked/>
    <w:uiPriority w:val="0"/>
    <w:rPr>
      <w:rFonts w:ascii="Calibri" w:hAnsi="Calibri" w:eastAsia="宋体" w:cs="Times New Roman"/>
      <w:kern w:val="0"/>
      <w:sz w:val="22"/>
      <w:szCs w:val="20"/>
      <w:lang w:eastAsia="en-US"/>
    </w:rPr>
  </w:style>
  <w:style w:type="paragraph" w:customStyle="1" w:styleId="42">
    <w:name w:val="Char Char Char Char"/>
    <w:basedOn w:val="1"/>
    <w:qFormat/>
    <w:uiPriority w:val="0"/>
    <w:rPr>
      <w:rFonts w:ascii="Times New Roman" w:hAnsi="Times New Roman" w:eastAsia="宋体" w:cs="Times New Roman"/>
      <w:sz w:val="24"/>
      <w:szCs w:val="36"/>
    </w:rPr>
  </w:style>
  <w:style w:type="character" w:customStyle="1" w:styleId="43">
    <w:name w:val="Char Char4"/>
    <w:qFormat/>
    <w:locked/>
    <w:uiPriority w:val="0"/>
    <w:rPr>
      <w:rFonts w:ascii="宋体" w:hAnsi="Courier New" w:eastAsia="宋体"/>
      <w:kern w:val="2"/>
      <w:sz w:val="21"/>
      <w:lang w:bidi="ar-SA"/>
    </w:rPr>
  </w:style>
  <w:style w:type="character" w:customStyle="1" w:styleId="44">
    <w:name w:val="样式 (中文) 仿宋_GB2312 三号"/>
    <w:basedOn w:val="19"/>
    <w:qFormat/>
    <w:uiPriority w:val="0"/>
    <w:rPr>
      <w:rFonts w:hint="eastAsia" w:ascii="仿宋_GB2312" w:eastAsia="仿宋_GB2312"/>
      <w:sz w:val="32"/>
    </w:rPr>
  </w:style>
  <w:style w:type="character" w:customStyle="1" w:styleId="45">
    <w:name w:val="Char Char3"/>
    <w:basedOn w:val="19"/>
    <w:qFormat/>
    <w:locked/>
    <w:uiPriority w:val="0"/>
    <w:rPr>
      <w:rFonts w:ascii="宋体" w:hAnsi="宋体" w:eastAsia="宋体"/>
      <w:sz w:val="18"/>
      <w:szCs w:val="18"/>
      <w:lang w:val="en-US" w:eastAsia="zh-CN" w:bidi="ar-SA"/>
    </w:rPr>
  </w:style>
  <w:style w:type="paragraph" w:styleId="46">
    <w:name w:val="List Paragraph"/>
    <w:basedOn w:val="1"/>
    <w:qFormat/>
    <w:uiPriority w:val="34"/>
    <w:pPr>
      <w:ind w:firstLine="420" w:firstLineChars="200"/>
    </w:pPr>
    <w:rPr>
      <w:rFonts w:ascii="等线" w:hAnsi="等线" w:eastAsia="等线" w:cs="Times New Roman"/>
    </w:rPr>
  </w:style>
  <w:style w:type="character" w:customStyle="1" w:styleId="47">
    <w:name w:val="font11"/>
    <w:basedOn w:val="19"/>
    <w:qFormat/>
    <w:uiPriority w:val="0"/>
    <w:rPr>
      <w:rFonts w:hint="eastAsia" w:ascii="宋体" w:hAnsi="宋体" w:eastAsia="宋体" w:cs="宋体"/>
      <w:color w:val="000000"/>
      <w:sz w:val="20"/>
      <w:szCs w:val="20"/>
      <w:u w:val="none"/>
    </w:rPr>
  </w:style>
  <w:style w:type="character" w:customStyle="1" w:styleId="48">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7CC2B-A00C-442C-9208-5B8405E017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61</Pages>
  <Words>4947</Words>
  <Characters>28200</Characters>
  <Lines>235</Lines>
  <Paragraphs>66</Paragraphs>
  <TotalTime>1</TotalTime>
  <ScaleCrop>false</ScaleCrop>
  <LinksUpToDate>false</LinksUpToDate>
  <CharactersWithSpaces>33081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2020-03-30T02:20:00Z</dcterms:created>
  <dc:creator>Administrator</dc:creator>
  <cp:lastModifiedBy>150----7325</cp:lastModifiedBy>
  <cp:lastPrinted>2020-06-09T08:36:00Z</cp:lastPrinted>
  <dcterms:modified xsi:type="dcterms:W3CDTF">2021-01-06T03:02:27Z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