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val="0"/>
        <w:autoSpaceDE/>
        <w:adjustRightInd/>
        <w:spacing w:line="240" w:lineRule="auto"/>
        <w:rPr>
          <w:rFonts w:cs="Arial"/>
          <w:b/>
          <w:sz w:val="32"/>
          <w:szCs w:val="32"/>
          <w:u w:val="single"/>
        </w:rPr>
      </w:pPr>
      <w:r>
        <w:rPr>
          <w:rFonts w:hint="eastAsia" w:cs="Arial"/>
          <w:b/>
          <w:sz w:val="32"/>
          <w:szCs w:val="32"/>
        </w:rPr>
        <w:t>项目名称：</w:t>
      </w:r>
      <w:r>
        <w:rPr>
          <w:rFonts w:hint="eastAsia" w:cs="Arial"/>
          <w:b/>
          <w:sz w:val="32"/>
          <w:szCs w:val="32"/>
          <w:u w:val="single"/>
        </w:rPr>
        <w:t xml:space="preserve">        帮扶管理云平台升级与配套APP     </w:t>
      </w:r>
    </w:p>
    <w:p>
      <w:pPr>
        <w:widowControl w:val="0"/>
        <w:topLinePunct w:val="0"/>
        <w:autoSpaceDE/>
        <w:adjustRightInd/>
        <w:spacing w:line="240" w:lineRule="auto"/>
        <w:rPr>
          <w:rFonts w:cs="Arial"/>
          <w:b/>
          <w:sz w:val="32"/>
          <w:szCs w:val="32"/>
        </w:rPr>
      </w:pPr>
      <w:r>
        <w:rPr>
          <w:rFonts w:hint="eastAsia" w:cs="Arial"/>
          <w:b/>
          <w:sz w:val="32"/>
          <w:szCs w:val="32"/>
        </w:rPr>
        <w:t>建议采购方式:</w:t>
      </w:r>
      <w:r>
        <w:rPr>
          <w:rFonts w:hint="eastAsia" w:cs="Arial"/>
          <w:b/>
          <w:sz w:val="32"/>
          <w:szCs w:val="32"/>
          <w:u w:val="single"/>
        </w:rPr>
        <w:t xml:space="preserve">             竞争性谈判              </w:t>
      </w:r>
    </w:p>
    <w:p>
      <w:pPr>
        <w:widowControl w:val="0"/>
        <w:topLinePunct w:val="0"/>
        <w:autoSpaceDE/>
        <w:adjustRightInd/>
        <w:spacing w:line="240" w:lineRule="auto"/>
        <w:rPr>
          <w:rFonts w:cs="Times New Roman"/>
          <w:b/>
          <w:sz w:val="28"/>
          <w:szCs w:val="28"/>
        </w:rPr>
      </w:pPr>
      <w:r>
        <w:rPr>
          <w:rFonts w:hint="eastAsia" w:cs="Times New Roman"/>
          <w:b/>
          <w:sz w:val="28"/>
          <w:szCs w:val="28"/>
        </w:rPr>
        <w:t>一、招标内容一览表</w:t>
      </w:r>
    </w:p>
    <w:p>
      <w:pPr>
        <w:widowControl w:val="0"/>
        <w:topLinePunct w:val="0"/>
        <w:autoSpaceDE/>
        <w:adjustRightInd/>
        <w:spacing w:line="240" w:lineRule="auto"/>
        <w:rPr>
          <w:rFonts w:cs="Times New Roman"/>
          <w:sz w:val="21"/>
          <w:szCs w:val="21"/>
        </w:rPr>
      </w:pPr>
      <w:r>
        <w:rPr>
          <w:rFonts w:hint="eastAsia" w:cs="Times New Roman"/>
          <w:sz w:val="21"/>
          <w:szCs w:val="21"/>
        </w:rPr>
        <w:t>（复杂项目和研发比例高的项目可以加入项目设计思路和方案框架图等进行说明。）</w:t>
      </w:r>
    </w:p>
    <w:tbl>
      <w:tblPr>
        <w:tblStyle w:val="7"/>
        <w:tblpPr w:leftFromText="180" w:rightFromText="180" w:vertAnchor="text" w:horzAnchor="margin" w:tblpXSpec="left" w:tblpY="1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387"/>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widowControl w:val="0"/>
              <w:topLinePunct w:val="0"/>
              <w:autoSpaceDE/>
              <w:adjustRightInd/>
              <w:spacing w:line="240" w:lineRule="auto"/>
              <w:jc w:val="center"/>
              <w:rPr>
                <w:rFonts w:cs="Times New Roman"/>
                <w:b/>
                <w:bCs/>
                <w:sz w:val="21"/>
                <w:szCs w:val="21"/>
              </w:rPr>
            </w:pPr>
            <w:r>
              <w:rPr>
                <w:rFonts w:hint="eastAsia" w:cs="Times New Roman"/>
                <w:b/>
                <w:bCs/>
                <w:sz w:val="21"/>
                <w:szCs w:val="21"/>
              </w:rPr>
              <w:t>序号</w:t>
            </w:r>
          </w:p>
        </w:tc>
        <w:tc>
          <w:tcPr>
            <w:tcW w:w="5387" w:type="dxa"/>
            <w:vAlign w:val="center"/>
          </w:tcPr>
          <w:p>
            <w:pPr>
              <w:widowControl w:val="0"/>
              <w:topLinePunct w:val="0"/>
              <w:autoSpaceDE/>
              <w:adjustRightInd/>
              <w:spacing w:line="240" w:lineRule="auto"/>
              <w:jc w:val="center"/>
              <w:rPr>
                <w:rFonts w:cs="Times New Roman"/>
                <w:b/>
                <w:bCs/>
                <w:sz w:val="21"/>
                <w:szCs w:val="21"/>
              </w:rPr>
            </w:pPr>
            <w:r>
              <w:rPr>
                <w:rFonts w:hint="eastAsia" w:cs="Times New Roman"/>
                <w:b/>
                <w:bCs/>
                <w:sz w:val="21"/>
                <w:szCs w:val="21"/>
              </w:rPr>
              <w:t>内容</w:t>
            </w:r>
          </w:p>
        </w:tc>
        <w:tc>
          <w:tcPr>
            <w:tcW w:w="2210" w:type="dxa"/>
            <w:vAlign w:val="center"/>
          </w:tcPr>
          <w:p>
            <w:pPr>
              <w:widowControl w:val="0"/>
              <w:topLinePunct w:val="0"/>
              <w:autoSpaceDE/>
              <w:adjustRightInd/>
              <w:spacing w:line="240" w:lineRule="auto"/>
              <w:jc w:val="center"/>
              <w:rPr>
                <w:rFonts w:cs="Times New Roman"/>
                <w:b/>
                <w:bCs/>
                <w:sz w:val="21"/>
                <w:szCs w:val="21"/>
              </w:rPr>
            </w:pPr>
            <w:r>
              <w:rPr>
                <w:rFonts w:hint="eastAsia" w:cs="Times New Roman"/>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vAlign w:val="center"/>
          </w:tcPr>
          <w:p>
            <w:pPr>
              <w:widowControl w:val="0"/>
              <w:numPr>
                <w:ilvl w:val="0"/>
                <w:numId w:val="1"/>
              </w:numPr>
              <w:topLinePunct w:val="0"/>
              <w:autoSpaceDE/>
              <w:adjustRightInd/>
              <w:spacing w:line="240" w:lineRule="auto"/>
              <w:jc w:val="center"/>
              <w:rPr>
                <w:rFonts w:cs="Times New Roman"/>
                <w:sz w:val="21"/>
                <w:szCs w:val="21"/>
              </w:rPr>
            </w:pPr>
          </w:p>
        </w:tc>
        <w:tc>
          <w:tcPr>
            <w:tcW w:w="5387" w:type="dxa"/>
            <w:vAlign w:val="center"/>
          </w:tcPr>
          <w:p>
            <w:pPr>
              <w:widowControl w:val="0"/>
              <w:topLinePunct w:val="0"/>
              <w:autoSpaceDE/>
              <w:adjustRightInd/>
              <w:spacing w:line="240" w:lineRule="auto"/>
              <w:rPr>
                <w:rFonts w:cs="Times New Roman"/>
                <w:sz w:val="21"/>
                <w:szCs w:val="21"/>
              </w:rPr>
            </w:pPr>
            <w:r>
              <w:rPr>
                <w:rFonts w:hint="eastAsia" w:cs="Times New Roman"/>
                <w:sz w:val="21"/>
                <w:szCs w:val="21"/>
              </w:rPr>
              <w:t>帮扶管理云平台升级(网页版)</w:t>
            </w:r>
          </w:p>
        </w:tc>
        <w:tc>
          <w:tcPr>
            <w:tcW w:w="2210" w:type="dxa"/>
            <w:vAlign w:val="center"/>
          </w:tcPr>
          <w:p>
            <w:pPr>
              <w:widowControl w:val="0"/>
              <w:topLinePunct w:val="0"/>
              <w:autoSpaceDE/>
              <w:adjustRightInd/>
              <w:spacing w:line="240" w:lineRule="auto"/>
              <w:rPr>
                <w:rFonts w:cs="Times New Roman"/>
                <w:sz w:val="21"/>
                <w:szCs w:val="21"/>
              </w:rPr>
            </w:pPr>
            <w:r>
              <w:rPr>
                <w:rFonts w:hint="eastAsia" w:cs="Times New Roman"/>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817" w:type="dxa"/>
            <w:vAlign w:val="center"/>
          </w:tcPr>
          <w:p>
            <w:pPr>
              <w:widowControl w:val="0"/>
              <w:numPr>
                <w:ilvl w:val="0"/>
                <w:numId w:val="1"/>
              </w:numPr>
              <w:topLinePunct w:val="0"/>
              <w:autoSpaceDE/>
              <w:adjustRightInd/>
              <w:spacing w:line="240" w:lineRule="auto"/>
              <w:jc w:val="center"/>
              <w:rPr>
                <w:rFonts w:cs="Times New Roman"/>
                <w:sz w:val="21"/>
                <w:szCs w:val="21"/>
              </w:rPr>
            </w:pPr>
          </w:p>
        </w:tc>
        <w:tc>
          <w:tcPr>
            <w:tcW w:w="5387" w:type="dxa"/>
            <w:vAlign w:val="center"/>
          </w:tcPr>
          <w:p>
            <w:pPr>
              <w:widowControl w:val="0"/>
              <w:topLinePunct w:val="0"/>
              <w:autoSpaceDE/>
              <w:adjustRightInd/>
              <w:spacing w:line="240" w:lineRule="auto"/>
              <w:rPr>
                <w:rFonts w:cs="Times New Roman"/>
                <w:sz w:val="21"/>
                <w:szCs w:val="21"/>
              </w:rPr>
            </w:pPr>
            <w:r>
              <w:rPr>
                <w:rFonts w:hint="eastAsia" w:cs="Times New Roman"/>
                <w:sz w:val="21"/>
                <w:szCs w:val="21"/>
              </w:rPr>
              <w:t>帮扶管理系统app</w:t>
            </w:r>
          </w:p>
        </w:tc>
        <w:tc>
          <w:tcPr>
            <w:tcW w:w="2210" w:type="dxa"/>
            <w:vAlign w:val="center"/>
          </w:tcPr>
          <w:p>
            <w:pPr>
              <w:widowControl w:val="0"/>
              <w:topLinePunct w:val="0"/>
              <w:autoSpaceDE/>
              <w:adjustRightInd/>
              <w:spacing w:line="240" w:lineRule="auto"/>
              <w:rPr>
                <w:rFonts w:cs="Times New Roman"/>
                <w:sz w:val="21"/>
                <w:szCs w:val="21"/>
              </w:rPr>
            </w:pPr>
            <w:r>
              <w:rPr>
                <w:rFonts w:hint="eastAsia" w:cs="Times New Roman"/>
                <w:sz w:val="21"/>
                <w:szCs w:val="21"/>
              </w:rPr>
              <w:t>1套</w:t>
            </w:r>
          </w:p>
        </w:tc>
      </w:tr>
    </w:tbl>
    <w:p>
      <w:pPr>
        <w:rPr>
          <w:rFonts w:ascii="黑体" w:eastAsia="黑体"/>
          <w:sz w:val="28"/>
          <w:szCs w:val="28"/>
        </w:rPr>
      </w:pPr>
      <w:r>
        <w:rPr>
          <w:rFonts w:hint="eastAsia" w:ascii="黑体" w:eastAsia="黑体"/>
          <w:sz w:val="28"/>
          <w:szCs w:val="28"/>
        </w:rPr>
        <w:t>二、项目总体要求</w:t>
      </w:r>
    </w:p>
    <w:tbl>
      <w:tblPr>
        <w:tblStyle w:val="8"/>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418"/>
        <w:gridCol w:w="6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cs="Times New Roman"/>
                <w:kern w:val="0"/>
                <w:sz w:val="21"/>
                <w:szCs w:val="21"/>
                <w:lang w:val="es-AR" w:bidi="ne-NP"/>
              </w:rPr>
            </w:pPr>
            <w:r>
              <w:rPr>
                <w:rFonts w:hint="eastAsia" w:cs="Times New Roman"/>
                <w:kern w:val="0"/>
                <w:sz w:val="21"/>
                <w:szCs w:val="21"/>
                <w:lang w:val="es-AR" w:bidi="ne-NP"/>
              </w:rPr>
              <w:t>序号</w:t>
            </w:r>
          </w:p>
        </w:tc>
        <w:tc>
          <w:tcPr>
            <w:tcW w:w="1418" w:type="dxa"/>
            <w:tcBorders>
              <w:left w:val="single" w:color="auto" w:sz="4" w:space="0"/>
            </w:tcBorders>
            <w:vAlign w:val="center"/>
          </w:tcPr>
          <w:p>
            <w:pPr>
              <w:jc w:val="center"/>
              <w:rPr>
                <w:rFonts w:cs="Times New Roman"/>
                <w:kern w:val="0"/>
                <w:sz w:val="21"/>
                <w:szCs w:val="21"/>
                <w:lang w:val="es-AR" w:bidi="ne-NP"/>
              </w:rPr>
            </w:pPr>
            <w:r>
              <w:rPr>
                <w:rFonts w:hint="eastAsia" w:cs="Times New Roman"/>
                <w:kern w:val="0"/>
                <w:sz w:val="21"/>
                <w:szCs w:val="21"/>
                <w:lang w:val="es-AR" w:bidi="ne-NP"/>
              </w:rPr>
              <w:t>要求</w:t>
            </w:r>
          </w:p>
        </w:tc>
        <w:tc>
          <w:tcPr>
            <w:tcW w:w="6662" w:type="dxa"/>
            <w:vAlign w:val="bottom"/>
          </w:tcPr>
          <w:p>
            <w:pPr>
              <w:jc w:val="left"/>
              <w:rPr>
                <w:rFonts w:cs="Times New Roman"/>
                <w:kern w:val="0"/>
                <w:sz w:val="21"/>
                <w:szCs w:val="21"/>
                <w:lang w:val="es-AR" w:bidi="ne-NP"/>
              </w:rPr>
            </w:pPr>
            <w:r>
              <w:rPr>
                <w:rFonts w:hint="eastAsia" w:cs="Times New Roman"/>
                <w:kern w:val="0"/>
                <w:sz w:val="21"/>
                <w:szCs w:val="21"/>
                <w:lang w:val="es-AR" w:bidi="ne-NP"/>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cs="Times New Roman"/>
                <w:kern w:val="0"/>
                <w:sz w:val="21"/>
                <w:szCs w:val="21"/>
                <w:lang w:val="es-AR" w:bidi="ne-NP"/>
              </w:rPr>
            </w:pPr>
            <w:r>
              <w:rPr>
                <w:rFonts w:hint="eastAsia" w:cs="Times New Roman"/>
                <w:kern w:val="0"/>
                <w:sz w:val="21"/>
                <w:szCs w:val="21"/>
                <w:lang w:val="es-AR" w:bidi="ne-NP"/>
              </w:rPr>
              <w:t>1</w:t>
            </w:r>
          </w:p>
        </w:tc>
        <w:tc>
          <w:tcPr>
            <w:tcW w:w="1418" w:type="dxa"/>
            <w:tcBorders>
              <w:left w:val="single" w:color="auto" w:sz="4" w:space="0"/>
            </w:tcBorders>
            <w:vAlign w:val="center"/>
          </w:tcPr>
          <w:p>
            <w:pPr>
              <w:jc w:val="center"/>
              <w:rPr>
                <w:rFonts w:cs="Times New Roman"/>
                <w:kern w:val="0"/>
                <w:sz w:val="21"/>
                <w:szCs w:val="21"/>
                <w:lang w:val="es-AR" w:bidi="ne-NP"/>
              </w:rPr>
            </w:pPr>
            <w:r>
              <w:rPr>
                <w:rFonts w:hint="eastAsia" w:cs="Times New Roman"/>
                <w:kern w:val="0"/>
                <w:sz w:val="21"/>
                <w:szCs w:val="21"/>
                <w:lang w:val="es-AR" w:bidi="ne-NP"/>
              </w:rPr>
              <w:t>工期</w:t>
            </w:r>
          </w:p>
        </w:tc>
        <w:tc>
          <w:tcPr>
            <w:tcW w:w="6662" w:type="dxa"/>
            <w:vAlign w:val="bottom"/>
          </w:tcPr>
          <w:p>
            <w:pPr>
              <w:jc w:val="left"/>
              <w:rPr>
                <w:rFonts w:cs="Times New Roman"/>
                <w:kern w:val="0"/>
                <w:sz w:val="21"/>
                <w:szCs w:val="21"/>
              </w:rPr>
            </w:pPr>
            <w:r>
              <w:rPr>
                <w:rFonts w:hint="eastAsia" w:cs="Times New Roman"/>
                <w:kern w:val="0"/>
                <w:sz w:val="21"/>
                <w:szCs w:val="21"/>
              </w:rPr>
              <w:t>签订合同后</w:t>
            </w:r>
            <w:r>
              <w:rPr>
                <w:rFonts w:hint="eastAsia" w:cs="Times New Roman"/>
                <w:kern w:val="0"/>
                <w:sz w:val="21"/>
                <w:szCs w:val="21"/>
                <w:u w:val="single"/>
              </w:rPr>
              <w:t>60</w:t>
            </w:r>
            <w:r>
              <w:rPr>
                <w:rFonts w:hint="eastAsia" w:cs="Times New Roman"/>
                <w:kern w:val="0"/>
                <w:sz w:val="21"/>
                <w:szCs w:val="21"/>
              </w:rPr>
              <w:t>日内完成。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cs="Times New Roman"/>
                <w:kern w:val="0"/>
                <w:sz w:val="21"/>
                <w:szCs w:val="21"/>
                <w:lang w:val="es-AR" w:bidi="ne-NP"/>
              </w:rPr>
            </w:pPr>
            <w:r>
              <w:rPr>
                <w:rFonts w:hint="eastAsia" w:cs="Times New Roman"/>
                <w:kern w:val="0"/>
                <w:sz w:val="21"/>
                <w:szCs w:val="21"/>
                <w:lang w:val="es-AR" w:bidi="ne-NP"/>
              </w:rPr>
              <w:t>2</w:t>
            </w:r>
          </w:p>
        </w:tc>
        <w:tc>
          <w:tcPr>
            <w:tcW w:w="1418" w:type="dxa"/>
            <w:tcBorders>
              <w:left w:val="single" w:color="auto" w:sz="4" w:space="0"/>
            </w:tcBorders>
            <w:vAlign w:val="center"/>
          </w:tcPr>
          <w:p>
            <w:pPr>
              <w:jc w:val="center"/>
              <w:rPr>
                <w:rFonts w:cs="Times New Roman"/>
                <w:kern w:val="0"/>
                <w:sz w:val="21"/>
                <w:szCs w:val="21"/>
                <w:lang w:val="es-AR" w:bidi="ne-NP"/>
              </w:rPr>
            </w:pPr>
            <w:r>
              <w:rPr>
                <w:rFonts w:hint="eastAsia" w:cs="Times New Roman"/>
                <w:kern w:val="0"/>
                <w:sz w:val="21"/>
                <w:szCs w:val="21"/>
                <w:lang w:val="es-AR" w:bidi="ne-NP"/>
              </w:rPr>
              <w:t>售后服务</w:t>
            </w:r>
          </w:p>
        </w:tc>
        <w:tc>
          <w:tcPr>
            <w:tcW w:w="6662" w:type="dxa"/>
            <w:vAlign w:val="bottom"/>
          </w:tcPr>
          <w:p>
            <w:pPr>
              <w:jc w:val="left"/>
              <w:rPr>
                <w:rFonts w:cs="Times New Roman"/>
                <w:kern w:val="0"/>
                <w:sz w:val="21"/>
                <w:szCs w:val="21"/>
              </w:rPr>
            </w:pPr>
            <w:r>
              <w:rPr>
                <w:rFonts w:hint="eastAsia" w:cs="Times New Roman"/>
                <w:kern w:val="0"/>
                <w:sz w:val="21"/>
                <w:szCs w:val="21"/>
              </w:rPr>
              <w:t>所有软硬件，</w:t>
            </w:r>
            <w:r>
              <w:rPr>
                <w:rFonts w:cs="Times New Roman"/>
                <w:kern w:val="0"/>
                <w:sz w:val="21"/>
                <w:szCs w:val="21"/>
              </w:rPr>
              <w:t>自验收合格日起至少提供为期</w:t>
            </w:r>
            <w:r>
              <w:rPr>
                <w:rFonts w:hint="eastAsia" w:cs="Times New Roman"/>
                <w:kern w:val="0"/>
                <w:sz w:val="21"/>
                <w:szCs w:val="21"/>
                <w:u w:val="single"/>
              </w:rPr>
              <w:t>2</w:t>
            </w:r>
            <w:r>
              <w:rPr>
                <w:rFonts w:cs="Times New Roman"/>
                <w:kern w:val="0"/>
                <w:sz w:val="21"/>
                <w:szCs w:val="21"/>
              </w:rPr>
              <w:t>年</w:t>
            </w:r>
            <w:r>
              <w:rPr>
                <w:rFonts w:hint="eastAsia" w:cs="Times New Roman"/>
                <w:kern w:val="0"/>
                <w:sz w:val="21"/>
                <w:szCs w:val="21"/>
              </w:rPr>
              <w:t>以上</w:t>
            </w:r>
            <w:r>
              <w:rPr>
                <w:rFonts w:cs="Times New Roman"/>
                <w:kern w:val="0"/>
                <w:sz w:val="21"/>
                <w:szCs w:val="21"/>
              </w:rPr>
              <w:t>的免费售后服务</w:t>
            </w:r>
            <w:r>
              <w:rPr>
                <w:rFonts w:hint="eastAsia" w:cs="Times New Roman"/>
                <w:kern w:val="0"/>
                <w:sz w:val="21"/>
                <w:szCs w:val="21"/>
              </w:rPr>
              <w:t>。4小时响应，24小时内到现场。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cs="Times New Roman"/>
                <w:kern w:val="0"/>
                <w:sz w:val="21"/>
                <w:szCs w:val="21"/>
                <w:lang w:val="es-AR" w:bidi="ne-NP"/>
              </w:rPr>
            </w:pPr>
            <w:r>
              <w:rPr>
                <w:rFonts w:hint="eastAsia" w:cs="Times New Roman"/>
                <w:kern w:val="0"/>
                <w:sz w:val="21"/>
                <w:szCs w:val="21"/>
                <w:lang w:val="es-AR" w:bidi="ne-NP"/>
              </w:rPr>
              <w:t>3</w:t>
            </w:r>
          </w:p>
        </w:tc>
        <w:tc>
          <w:tcPr>
            <w:tcW w:w="1418" w:type="dxa"/>
            <w:tcBorders>
              <w:left w:val="single" w:color="auto" w:sz="4" w:space="0"/>
            </w:tcBorders>
            <w:vAlign w:val="center"/>
          </w:tcPr>
          <w:p>
            <w:pPr>
              <w:jc w:val="center"/>
              <w:rPr>
                <w:rFonts w:cs="Times New Roman"/>
                <w:kern w:val="0"/>
                <w:sz w:val="21"/>
                <w:szCs w:val="21"/>
                <w:lang w:val="es-AR" w:bidi="ne-NP"/>
              </w:rPr>
            </w:pPr>
            <w:r>
              <w:rPr>
                <w:rFonts w:hint="eastAsia" w:cs="Times New Roman"/>
                <w:kern w:val="0"/>
                <w:sz w:val="21"/>
                <w:szCs w:val="21"/>
                <w:lang w:val="es-AR" w:bidi="ne-NP"/>
              </w:rPr>
              <w:t>培训</w:t>
            </w:r>
          </w:p>
        </w:tc>
        <w:tc>
          <w:tcPr>
            <w:tcW w:w="6662" w:type="dxa"/>
            <w:vAlign w:val="bottom"/>
          </w:tcPr>
          <w:p>
            <w:pPr>
              <w:jc w:val="left"/>
              <w:rPr>
                <w:rFonts w:cs="Times New Roman"/>
                <w:kern w:val="0"/>
                <w:sz w:val="21"/>
                <w:szCs w:val="21"/>
              </w:rPr>
            </w:pPr>
            <w:r>
              <w:rPr>
                <w:rFonts w:hint="eastAsia" w:cs="Times New Roman"/>
                <w:kern w:val="0"/>
                <w:sz w:val="21"/>
                <w:szCs w:val="21"/>
              </w:rPr>
              <w:t>对全体使用人员进行</w:t>
            </w:r>
            <w:r>
              <w:rPr>
                <w:rFonts w:hint="eastAsia" w:cs="Times New Roman"/>
                <w:kern w:val="0"/>
                <w:sz w:val="21"/>
                <w:szCs w:val="21"/>
                <w:u w:val="single"/>
              </w:rPr>
              <w:t>2</w:t>
            </w:r>
            <w:r>
              <w:rPr>
                <w:rFonts w:hint="eastAsia" w:cs="Times New Roman"/>
                <w:kern w:val="0"/>
                <w:sz w:val="21"/>
                <w:szCs w:val="21"/>
              </w:rPr>
              <w:t>轮培训。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cs="Times New Roman"/>
                <w:kern w:val="0"/>
                <w:sz w:val="21"/>
                <w:szCs w:val="21"/>
                <w:lang w:val="es-AR" w:bidi="ne-NP"/>
              </w:rPr>
            </w:pPr>
            <w:r>
              <w:rPr>
                <w:rFonts w:hint="eastAsia" w:cs="Times New Roman"/>
                <w:kern w:val="0"/>
                <w:sz w:val="21"/>
                <w:szCs w:val="21"/>
                <w:lang w:val="es-AR" w:bidi="ne-NP"/>
              </w:rPr>
              <w:t>4</w:t>
            </w:r>
          </w:p>
        </w:tc>
        <w:tc>
          <w:tcPr>
            <w:tcW w:w="1418" w:type="dxa"/>
            <w:tcBorders>
              <w:left w:val="single" w:color="auto" w:sz="4" w:space="0"/>
            </w:tcBorders>
            <w:vAlign w:val="center"/>
          </w:tcPr>
          <w:p>
            <w:pPr>
              <w:jc w:val="center"/>
              <w:rPr>
                <w:rFonts w:cs="Times New Roman"/>
                <w:kern w:val="0"/>
                <w:sz w:val="21"/>
                <w:szCs w:val="21"/>
              </w:rPr>
            </w:pPr>
            <w:r>
              <w:rPr>
                <w:rFonts w:hint="eastAsia" w:cs="Times New Roman"/>
                <w:kern w:val="0"/>
                <w:sz w:val="21"/>
                <w:szCs w:val="21"/>
              </w:rPr>
              <w:t>原系统介绍</w:t>
            </w:r>
          </w:p>
        </w:tc>
        <w:tc>
          <w:tcPr>
            <w:tcW w:w="6662" w:type="dxa"/>
            <w:vAlign w:val="bottom"/>
          </w:tcPr>
          <w:p>
            <w:pPr>
              <w:jc w:val="left"/>
              <w:rPr>
                <w:rFonts w:cs="Times New Roman"/>
                <w:kern w:val="0"/>
                <w:sz w:val="21"/>
                <w:szCs w:val="21"/>
              </w:rPr>
            </w:pPr>
            <w:r>
              <w:rPr>
                <w:rFonts w:hint="eastAsia" w:cs="Times New Roman"/>
                <w:kern w:val="0"/>
                <w:sz w:val="21"/>
                <w:szCs w:val="21"/>
              </w:rPr>
              <w:t>原帮扶管理云平台，</w:t>
            </w:r>
            <w:r>
              <w:rPr>
                <w:rFonts w:hint="eastAsia" w:ascii="宋体" w:hAnsi="宋体" w:cs="Times New Roman"/>
                <w:kern w:val="0"/>
                <w:sz w:val="21"/>
                <w:szCs w:val="21"/>
              </w:rPr>
              <w:t>软件总体上采用JS+SpringMVC+MyBatis的架构，且有完整源代码，实现了帮扶工作留痕、统计、查询、审核等功能。包含帮扶队员个人信息以及派遣基本信息的录入，工作量填报，附件上传，帮扶成效评分以及队员评分，全方位的查询统计以及图表展示，数据导出，权限设置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cs="Times New Roman"/>
                <w:kern w:val="0"/>
                <w:sz w:val="21"/>
                <w:szCs w:val="21"/>
                <w:lang w:val="es-AR" w:bidi="ne-NP"/>
              </w:rPr>
            </w:pPr>
            <w:r>
              <w:rPr>
                <w:rFonts w:hint="eastAsia" w:cs="Times New Roman"/>
                <w:kern w:val="0"/>
                <w:sz w:val="21"/>
                <w:szCs w:val="21"/>
                <w:lang w:val="es-AR" w:bidi="ne-NP"/>
              </w:rPr>
              <w:t>5</w:t>
            </w:r>
          </w:p>
        </w:tc>
        <w:tc>
          <w:tcPr>
            <w:tcW w:w="1418" w:type="dxa"/>
            <w:tcBorders>
              <w:left w:val="single" w:color="auto" w:sz="4" w:space="0"/>
            </w:tcBorders>
            <w:vAlign w:val="center"/>
          </w:tcPr>
          <w:p>
            <w:pPr>
              <w:jc w:val="center"/>
              <w:rPr>
                <w:rFonts w:cs="Times New Roman"/>
                <w:kern w:val="0"/>
                <w:sz w:val="21"/>
                <w:szCs w:val="21"/>
                <w:lang w:val="es-AR" w:bidi="ne-NP"/>
              </w:rPr>
            </w:pPr>
            <w:r>
              <w:rPr>
                <w:rFonts w:hint="eastAsia" w:cs="Times New Roman"/>
                <w:kern w:val="0"/>
                <w:sz w:val="21"/>
                <w:szCs w:val="21"/>
              </w:rPr>
              <w:t>系统部署与性能要求</w:t>
            </w:r>
          </w:p>
        </w:tc>
        <w:tc>
          <w:tcPr>
            <w:tcW w:w="6662" w:type="dxa"/>
            <w:vAlign w:val="bottom"/>
          </w:tcPr>
          <w:p>
            <w:pPr>
              <w:jc w:val="left"/>
              <w:rPr>
                <w:rFonts w:cs="Times New Roman"/>
                <w:kern w:val="0"/>
                <w:sz w:val="21"/>
                <w:szCs w:val="21"/>
              </w:rPr>
            </w:pPr>
            <w:r>
              <w:rPr>
                <w:rFonts w:hint="eastAsia" w:cs="Times New Roman"/>
                <w:kern w:val="0"/>
                <w:sz w:val="21"/>
                <w:szCs w:val="21"/>
              </w:rPr>
              <w:t>1、提供软件的安装、部署、调试、培训。</w:t>
            </w:r>
          </w:p>
          <w:p>
            <w:pPr>
              <w:rPr>
                <w:rFonts w:cs="Times New Roman"/>
                <w:kern w:val="0"/>
                <w:sz w:val="21"/>
                <w:szCs w:val="21"/>
              </w:rPr>
            </w:pPr>
            <w:r>
              <w:rPr>
                <w:rFonts w:hint="eastAsia" w:cs="Times New Roman"/>
                <w:kern w:val="0"/>
                <w:sz w:val="21"/>
                <w:szCs w:val="21"/>
              </w:rPr>
              <w:t>2、支持具备跨平台部署运行，如Windows、Linux等主流操作系统。</w:t>
            </w:r>
          </w:p>
          <w:p>
            <w:pPr>
              <w:rPr>
                <w:rFonts w:cs="Times New Roman"/>
                <w:kern w:val="0"/>
                <w:sz w:val="21"/>
                <w:szCs w:val="21"/>
              </w:rPr>
            </w:pPr>
            <w:r>
              <w:rPr>
                <w:rFonts w:hint="eastAsia" w:cs="Times New Roman"/>
                <w:kern w:val="0"/>
                <w:sz w:val="21"/>
                <w:szCs w:val="21"/>
              </w:rPr>
              <w:t>3、系统开发完成后，分别独立部署到互联网和内部网运行，两套网络数据无交互，但是都需要完成各自的数据迁移。内部网不要求APP，只对网页版进行部署。</w:t>
            </w:r>
          </w:p>
          <w:p>
            <w:pPr>
              <w:rPr>
                <w:rFonts w:cs="Times New Roman"/>
                <w:kern w:val="0"/>
                <w:sz w:val="21"/>
                <w:szCs w:val="21"/>
              </w:rPr>
            </w:pPr>
            <w:r>
              <w:rPr>
                <w:rFonts w:hint="eastAsia" w:cs="Times New Roman"/>
                <w:kern w:val="0"/>
                <w:sz w:val="21"/>
                <w:szCs w:val="21"/>
              </w:rPr>
              <w:t>4、部署到互联网的帮扶管理云平台网页版和app的数据要同步，帮扶管理云平台网页版在原有功能上升级。开发完成后，提供源代码。</w:t>
            </w:r>
          </w:p>
          <w:p>
            <w:pPr>
              <w:rPr>
                <w:rFonts w:cs="Times New Roman"/>
                <w:kern w:val="0"/>
                <w:sz w:val="21"/>
                <w:szCs w:val="21"/>
              </w:rPr>
            </w:pPr>
            <w:r>
              <w:rPr>
                <w:rFonts w:hint="eastAsia" w:cs="Times New Roman"/>
                <w:kern w:val="0"/>
                <w:sz w:val="21"/>
                <w:szCs w:val="21"/>
              </w:rPr>
              <w:t>5、页面刷新时间小于1S，能满足大于100用户同时访问。</w:t>
            </w:r>
          </w:p>
          <w:p>
            <w:pPr>
              <w:jc w:val="left"/>
              <w:rPr>
                <w:rFonts w:cs="Times New Roman"/>
                <w:kern w:val="0"/>
                <w:sz w:val="21"/>
                <w:szCs w:val="21"/>
              </w:rPr>
            </w:pPr>
            <w:r>
              <w:rPr>
                <w:rFonts w:hint="eastAsia" w:cs="Times New Roman"/>
                <w:kern w:val="0"/>
                <w:sz w:val="21"/>
                <w:szCs w:val="21"/>
              </w:rPr>
              <w:t>6、app适应多种操作系统，如安卓、苹果等主流手机操作系统。</w:t>
            </w:r>
          </w:p>
        </w:tc>
      </w:tr>
    </w:tbl>
    <w:p>
      <w:pPr>
        <w:jc w:val="left"/>
        <w:rPr>
          <w:rFonts w:ascii="黑体" w:eastAsia="黑体"/>
          <w:sz w:val="28"/>
          <w:szCs w:val="28"/>
        </w:rPr>
      </w:pPr>
      <w:r>
        <w:rPr>
          <w:rFonts w:hint="eastAsia" w:cs="Times New Roman"/>
          <w:b/>
          <w:sz w:val="28"/>
          <w:szCs w:val="28"/>
        </w:rPr>
        <w:t>三、</w:t>
      </w:r>
      <w:r>
        <w:rPr>
          <w:rFonts w:hint="eastAsia" w:ascii="黑体" w:eastAsia="黑体"/>
          <w:sz w:val="28"/>
          <w:szCs w:val="28"/>
        </w:rPr>
        <w:t>软件功能及性能（如不包括软件，可略过）</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64"/>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b/>
                <w:bCs/>
                <w:kern w:val="0"/>
                <w:sz w:val="21"/>
                <w:szCs w:val="21"/>
                <w:lang w:bidi="ne-NP"/>
              </w:rPr>
            </w:pPr>
            <w:r>
              <w:rPr>
                <w:rFonts w:hint="eastAsia"/>
                <w:b/>
                <w:bCs/>
                <w:kern w:val="0"/>
                <w:sz w:val="21"/>
                <w:szCs w:val="21"/>
                <w:lang w:bidi="ne-NP"/>
              </w:rPr>
              <w:t>序号</w:t>
            </w:r>
          </w:p>
        </w:tc>
        <w:tc>
          <w:tcPr>
            <w:tcW w:w="1164" w:type="dxa"/>
            <w:tcBorders>
              <w:top w:val="single" w:color="auto" w:sz="4" w:space="0"/>
              <w:left w:val="single" w:color="auto" w:sz="4" w:space="0"/>
              <w:bottom w:val="single" w:color="auto" w:sz="4" w:space="0"/>
              <w:right w:val="single" w:color="auto" w:sz="4" w:space="0"/>
            </w:tcBorders>
            <w:vAlign w:val="center"/>
          </w:tcPr>
          <w:p>
            <w:pPr>
              <w:spacing w:line="240" w:lineRule="auto"/>
              <w:rPr>
                <w:b/>
                <w:bCs/>
                <w:kern w:val="0"/>
                <w:sz w:val="21"/>
                <w:szCs w:val="21"/>
                <w:lang w:bidi="ne-NP"/>
              </w:rPr>
            </w:pPr>
            <w:r>
              <w:rPr>
                <w:rFonts w:hint="eastAsia"/>
                <w:b/>
                <w:bCs/>
                <w:kern w:val="0"/>
                <w:sz w:val="21"/>
                <w:szCs w:val="21"/>
                <w:lang w:bidi="ne-NP"/>
              </w:rPr>
              <w:t>功能/性能</w:t>
            </w:r>
          </w:p>
        </w:tc>
        <w:tc>
          <w:tcPr>
            <w:tcW w:w="6916" w:type="dxa"/>
            <w:tcBorders>
              <w:top w:val="single" w:color="auto" w:sz="4" w:space="0"/>
              <w:left w:val="single" w:color="auto" w:sz="4" w:space="0"/>
              <w:bottom w:val="single" w:color="auto" w:sz="4" w:space="0"/>
              <w:right w:val="single" w:color="auto" w:sz="4" w:space="0"/>
            </w:tcBorders>
            <w:vAlign w:val="center"/>
          </w:tcPr>
          <w:p>
            <w:pPr>
              <w:spacing w:line="240" w:lineRule="auto"/>
              <w:ind w:left="108"/>
              <w:jc w:val="center"/>
              <w:rPr>
                <w:b/>
                <w:bCs/>
                <w:kern w:val="0"/>
                <w:sz w:val="21"/>
                <w:szCs w:val="21"/>
                <w:lang w:bidi="ne-NP"/>
              </w:rPr>
            </w:pPr>
            <w:r>
              <w:rPr>
                <w:rFonts w:hint="eastAsia"/>
                <w:b/>
                <w:bCs/>
                <w:kern w:val="0"/>
                <w:sz w:val="21"/>
                <w:szCs w:val="21"/>
                <w:lang w:bidi="ne-NP"/>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restart"/>
            <w:tcBorders>
              <w:top w:val="single" w:color="auto" w:sz="4" w:space="0"/>
              <w:left w:val="single" w:color="auto" w:sz="4" w:space="0"/>
              <w:right w:val="single" w:color="auto" w:sz="4" w:space="0"/>
            </w:tcBorders>
            <w:vAlign w:val="center"/>
          </w:tcPr>
          <w:p>
            <w:pPr>
              <w:spacing w:line="240" w:lineRule="auto"/>
              <w:ind w:left="108"/>
              <w:jc w:val="center"/>
              <w:rPr>
                <w:rFonts w:cs="Times New Roman"/>
                <w:sz w:val="21"/>
                <w:szCs w:val="21"/>
              </w:rPr>
            </w:pPr>
            <w:r>
              <w:rPr>
                <w:rFonts w:hint="eastAsia" w:cs="Times New Roman"/>
                <w:sz w:val="21"/>
                <w:szCs w:val="21"/>
              </w:rPr>
              <w:t>1</w:t>
            </w:r>
          </w:p>
        </w:tc>
        <w:tc>
          <w:tcPr>
            <w:tcW w:w="1164" w:type="dxa"/>
            <w:vMerge w:val="restart"/>
            <w:tcBorders>
              <w:top w:val="single" w:color="auto" w:sz="4" w:space="0"/>
              <w:left w:val="single" w:color="auto" w:sz="4" w:space="0"/>
              <w:right w:val="single" w:color="auto" w:sz="4" w:space="0"/>
            </w:tcBorders>
            <w:vAlign w:val="center"/>
          </w:tcPr>
          <w:p>
            <w:pPr>
              <w:spacing w:line="240" w:lineRule="auto"/>
              <w:jc w:val="center"/>
              <w:rPr>
                <w:color w:val="000000"/>
                <w:kern w:val="0"/>
                <w:sz w:val="21"/>
                <w:szCs w:val="21"/>
                <w:lang w:bidi="ne-NP"/>
              </w:rPr>
            </w:pPr>
            <w:r>
              <w:rPr>
                <w:rFonts w:hint="eastAsia" w:cs="Times New Roman"/>
                <w:sz w:val="21"/>
                <w:szCs w:val="21"/>
              </w:rPr>
              <w:t>帮扶管理云平台升级</w:t>
            </w:r>
          </w:p>
        </w:tc>
        <w:tc>
          <w:tcPr>
            <w:tcW w:w="6916" w:type="dxa"/>
            <w:tcBorders>
              <w:top w:val="single" w:color="auto" w:sz="4" w:space="0"/>
              <w:left w:val="single" w:color="auto" w:sz="4" w:space="0"/>
              <w:bottom w:val="single" w:color="auto" w:sz="4" w:space="0"/>
              <w:right w:val="single" w:color="auto" w:sz="4" w:space="0"/>
            </w:tcBorders>
            <w:vAlign w:val="center"/>
          </w:tcPr>
          <w:p>
            <w:pPr>
              <w:rPr>
                <w:kern w:val="0"/>
                <w:sz w:val="21"/>
                <w:szCs w:val="21"/>
              </w:rPr>
            </w:pPr>
            <w:r>
              <w:rPr>
                <w:rFonts w:hint="eastAsia"/>
                <w:kern w:val="0"/>
                <w:sz w:val="21"/>
                <w:szCs w:val="21"/>
              </w:rPr>
              <w:t>1、帮扶记录列表可以按照标题自定义排序。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spacing w:line="240" w:lineRule="auto"/>
              <w:jc w:val="center"/>
              <w:rPr>
                <w:kern w:val="0"/>
                <w:sz w:val="21"/>
                <w:szCs w:val="21"/>
              </w:rPr>
            </w:pPr>
          </w:p>
        </w:tc>
        <w:tc>
          <w:tcPr>
            <w:tcW w:w="1164" w:type="dxa"/>
            <w:vMerge w:val="continue"/>
            <w:tcBorders>
              <w:left w:val="single" w:color="auto" w:sz="4" w:space="0"/>
              <w:right w:val="single" w:color="auto" w:sz="4" w:space="0"/>
            </w:tcBorders>
            <w:vAlign w:val="center"/>
          </w:tcPr>
          <w:p>
            <w:pPr>
              <w:spacing w:line="240" w:lineRule="auto"/>
              <w:jc w:val="center"/>
              <w:rPr>
                <w:rFonts w:cs="Times New Roman"/>
                <w:sz w:val="21"/>
                <w:szCs w:val="21"/>
              </w:rPr>
            </w:pPr>
          </w:p>
        </w:tc>
        <w:tc>
          <w:tcPr>
            <w:tcW w:w="6916" w:type="dxa"/>
            <w:tcBorders>
              <w:top w:val="single" w:color="auto" w:sz="4" w:space="0"/>
              <w:left w:val="single" w:color="auto" w:sz="4" w:space="0"/>
              <w:bottom w:val="single" w:color="auto" w:sz="4" w:space="0"/>
              <w:right w:val="single" w:color="auto" w:sz="4" w:space="0"/>
            </w:tcBorders>
            <w:vAlign w:val="center"/>
          </w:tcPr>
          <w:p>
            <w:pPr>
              <w:jc w:val="left"/>
              <w:rPr>
                <w:kern w:val="0"/>
                <w:sz w:val="21"/>
                <w:szCs w:val="21"/>
              </w:rPr>
            </w:pPr>
            <w:r>
              <w:rPr>
                <w:rFonts w:hint="eastAsia"/>
                <w:kern w:val="0"/>
                <w:sz w:val="21"/>
                <w:szCs w:val="21"/>
              </w:rPr>
              <w:t>*2、帮扶每日记录-&gt;月报-&gt;考核鉴定之间“附件”汇总。</w:t>
            </w:r>
          </w:p>
          <w:p>
            <w:pPr>
              <w:ind w:firstLine="315" w:firstLineChars="150"/>
              <w:jc w:val="left"/>
              <w:rPr>
                <w:rFonts w:hint="default"/>
                <w:kern w:val="0"/>
                <w:sz w:val="21"/>
                <w:szCs w:val="21"/>
                <w:lang w:val="en-US"/>
              </w:rPr>
            </w:pPr>
            <w:r>
              <w:rPr>
                <w:rFonts w:hint="default"/>
                <w:kern w:val="0"/>
                <w:sz w:val="21"/>
                <w:szCs w:val="21"/>
                <w:lang w:val="en-US"/>
              </w:rPr>
              <w:t>舍弃原系统</w:t>
            </w:r>
            <w:r>
              <w:rPr>
                <w:rFonts w:hint="eastAsia"/>
                <w:kern w:val="0"/>
                <w:sz w:val="21"/>
                <w:szCs w:val="21"/>
                <w:lang w:val="en-US" w:eastAsia="zh-CN"/>
              </w:rPr>
              <w:t>内</w:t>
            </w:r>
            <w:r>
              <w:rPr>
                <w:rFonts w:hint="default"/>
                <w:kern w:val="0"/>
                <w:sz w:val="21"/>
                <w:szCs w:val="21"/>
                <w:lang w:val="en-US"/>
              </w:rPr>
              <w:t>的附件分类栏目，</w:t>
            </w:r>
            <w:r>
              <w:rPr>
                <w:rFonts w:hint="eastAsia"/>
                <w:kern w:val="0"/>
                <w:sz w:val="21"/>
                <w:szCs w:val="21"/>
              </w:rPr>
              <w:t>帮扶队员每天</w:t>
            </w:r>
            <w:r>
              <w:rPr>
                <w:rFonts w:hint="eastAsia"/>
                <w:kern w:val="0"/>
                <w:sz w:val="21"/>
                <w:szCs w:val="21"/>
                <w:lang w:val="en-US" w:eastAsia="zh-CN"/>
              </w:rPr>
              <w:t>直接</w:t>
            </w:r>
            <w:r>
              <w:rPr>
                <w:rFonts w:hint="eastAsia"/>
                <w:kern w:val="0"/>
                <w:sz w:val="21"/>
                <w:szCs w:val="21"/>
              </w:rPr>
              <w:t>将“附件材料”上传到</w:t>
            </w:r>
            <w:r>
              <w:rPr>
                <w:rFonts w:hint="default"/>
                <w:kern w:val="0"/>
                <w:sz w:val="21"/>
                <w:szCs w:val="21"/>
                <w:lang w:val="en-US"/>
              </w:rPr>
              <w:t>相关</w:t>
            </w:r>
            <w:r>
              <w:rPr>
                <w:rFonts w:hint="eastAsia"/>
                <w:kern w:val="0"/>
                <w:sz w:val="21"/>
                <w:szCs w:val="21"/>
              </w:rPr>
              <w:t>帮扶</w:t>
            </w:r>
            <w:r>
              <w:rPr>
                <w:rFonts w:hint="eastAsia"/>
                <w:kern w:val="0"/>
                <w:sz w:val="21"/>
                <w:szCs w:val="21"/>
                <w:lang w:val="en-US" w:eastAsia="zh-CN"/>
              </w:rPr>
              <w:t>数据</w:t>
            </w:r>
            <w:r>
              <w:rPr>
                <w:rFonts w:hint="eastAsia"/>
                <w:kern w:val="0"/>
                <w:sz w:val="21"/>
                <w:szCs w:val="21"/>
              </w:rPr>
              <w:t>记录内，到月底汇总“月报”时，系统能直接将这些</w:t>
            </w:r>
            <w:r>
              <w:rPr>
                <w:rFonts w:hint="eastAsia"/>
                <w:kern w:val="0"/>
                <w:sz w:val="21"/>
                <w:szCs w:val="21"/>
                <w:lang w:val="en-US" w:eastAsia="zh-CN"/>
              </w:rPr>
              <w:t>数据</w:t>
            </w:r>
            <w:r>
              <w:rPr>
                <w:rFonts w:hint="eastAsia"/>
                <w:kern w:val="0"/>
                <w:sz w:val="21"/>
                <w:szCs w:val="21"/>
              </w:rPr>
              <w:t>记录连同相关</w:t>
            </w:r>
            <w:r>
              <w:rPr>
                <w:rFonts w:hint="eastAsia"/>
                <w:kern w:val="0"/>
                <w:sz w:val="21"/>
                <w:szCs w:val="21"/>
                <w:lang w:val="en-US" w:eastAsia="zh-CN"/>
              </w:rPr>
              <w:t>的“</w:t>
            </w:r>
            <w:r>
              <w:rPr>
                <w:rFonts w:hint="eastAsia"/>
                <w:kern w:val="0"/>
                <w:sz w:val="21"/>
                <w:szCs w:val="21"/>
              </w:rPr>
              <w:t>附件</w:t>
            </w:r>
            <w:r>
              <w:rPr>
                <w:rFonts w:hint="eastAsia"/>
                <w:kern w:val="0"/>
                <w:sz w:val="21"/>
                <w:szCs w:val="21"/>
                <w:lang w:val="en-US" w:eastAsia="zh-CN"/>
              </w:rPr>
              <w:t>材料”</w:t>
            </w:r>
            <w:r>
              <w:rPr>
                <w:rFonts w:hint="eastAsia"/>
                <w:kern w:val="0"/>
                <w:sz w:val="21"/>
                <w:szCs w:val="21"/>
              </w:rPr>
              <w:t>一起汇总，</w:t>
            </w:r>
            <w:r>
              <w:rPr>
                <w:rFonts w:hint="eastAsia"/>
                <w:kern w:val="0"/>
                <w:sz w:val="21"/>
                <w:szCs w:val="21"/>
                <w:lang w:eastAsia="zh-CN"/>
              </w:rPr>
              <w:t>“</w:t>
            </w:r>
            <w:r>
              <w:rPr>
                <w:rFonts w:hint="eastAsia"/>
                <w:kern w:val="0"/>
                <w:sz w:val="21"/>
                <w:szCs w:val="21"/>
              </w:rPr>
              <w:t>考核鉴定</w:t>
            </w:r>
            <w:r>
              <w:rPr>
                <w:rFonts w:hint="eastAsia"/>
                <w:kern w:val="0"/>
                <w:sz w:val="21"/>
                <w:szCs w:val="21"/>
                <w:lang w:eastAsia="zh-CN"/>
              </w:rPr>
              <w:t>”</w:t>
            </w:r>
            <w:r>
              <w:rPr>
                <w:rFonts w:hint="eastAsia"/>
                <w:kern w:val="0"/>
                <w:sz w:val="21"/>
                <w:szCs w:val="21"/>
              </w:rPr>
              <w:t>同理。</w:t>
            </w:r>
            <w:r>
              <w:rPr>
                <w:rFonts w:hint="default"/>
                <w:kern w:val="0"/>
                <w:sz w:val="21"/>
                <w:szCs w:val="21"/>
                <w:lang w:val="en-US"/>
              </w:rPr>
              <w:t>做到点击</w:t>
            </w:r>
            <w:bookmarkStart w:id="0" w:name="_GoBack"/>
            <w:bookmarkEnd w:id="0"/>
            <w:r>
              <w:rPr>
                <w:rFonts w:hint="eastAsia"/>
                <w:kern w:val="0"/>
                <w:sz w:val="21"/>
                <w:szCs w:val="21"/>
                <w:lang w:val="en-US" w:eastAsia="zh-CN"/>
              </w:rPr>
              <w:t>数据</w:t>
            </w:r>
            <w:r>
              <w:rPr>
                <w:rFonts w:hint="default"/>
                <w:kern w:val="0"/>
                <w:sz w:val="21"/>
                <w:szCs w:val="21"/>
                <w:lang w:val="en-US"/>
              </w:rPr>
              <w:t>记录</w:t>
            </w:r>
            <w:r>
              <w:rPr>
                <w:rFonts w:hint="eastAsia"/>
                <w:kern w:val="0"/>
                <w:sz w:val="21"/>
                <w:szCs w:val="21"/>
                <w:lang w:val="en-US" w:eastAsia="zh-CN"/>
              </w:rPr>
              <w:t>都</w:t>
            </w:r>
            <w:r>
              <w:rPr>
                <w:rFonts w:hint="default"/>
                <w:kern w:val="0"/>
                <w:sz w:val="21"/>
                <w:szCs w:val="21"/>
                <w:lang w:val="en-US"/>
              </w:rPr>
              <w:t>能弹出相关</w:t>
            </w:r>
            <w:r>
              <w:rPr>
                <w:rFonts w:hint="eastAsia"/>
                <w:kern w:val="0"/>
                <w:sz w:val="21"/>
                <w:szCs w:val="21"/>
                <w:lang w:val="en-US" w:eastAsia="zh-CN"/>
              </w:rPr>
              <w:t>“</w:t>
            </w:r>
            <w:r>
              <w:rPr>
                <w:rFonts w:hint="default"/>
                <w:kern w:val="0"/>
                <w:sz w:val="21"/>
                <w:szCs w:val="21"/>
                <w:lang w:val="en-US"/>
              </w:rPr>
              <w:t>附件</w:t>
            </w:r>
            <w:r>
              <w:rPr>
                <w:rFonts w:hint="eastAsia"/>
                <w:kern w:val="0"/>
                <w:sz w:val="21"/>
                <w:szCs w:val="21"/>
                <w:lang w:val="en-US" w:eastAsia="zh-CN"/>
              </w:rPr>
              <w:t>材料”加以</w:t>
            </w:r>
            <w:r>
              <w:rPr>
                <w:rFonts w:hint="default"/>
                <w:kern w:val="0"/>
                <w:sz w:val="21"/>
                <w:szCs w:val="21"/>
                <w:lang w:val="en-US"/>
              </w:rPr>
              <w:t>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spacing w:line="240" w:lineRule="auto"/>
              <w:jc w:val="center"/>
              <w:rPr>
                <w:kern w:val="0"/>
                <w:sz w:val="21"/>
                <w:szCs w:val="21"/>
              </w:rPr>
            </w:pPr>
          </w:p>
        </w:tc>
        <w:tc>
          <w:tcPr>
            <w:tcW w:w="1164" w:type="dxa"/>
            <w:vMerge w:val="continue"/>
            <w:tcBorders>
              <w:left w:val="single" w:color="auto" w:sz="4" w:space="0"/>
              <w:right w:val="single" w:color="auto" w:sz="4" w:space="0"/>
            </w:tcBorders>
            <w:vAlign w:val="center"/>
          </w:tcPr>
          <w:p>
            <w:pPr>
              <w:spacing w:line="240" w:lineRule="auto"/>
              <w:jc w:val="center"/>
              <w:rPr>
                <w:rFonts w:cs="Times New Roman"/>
                <w:sz w:val="21"/>
                <w:szCs w:val="21"/>
              </w:rPr>
            </w:pPr>
          </w:p>
        </w:tc>
        <w:tc>
          <w:tcPr>
            <w:tcW w:w="6916" w:type="dxa"/>
            <w:tcBorders>
              <w:top w:val="single" w:color="auto" w:sz="4" w:space="0"/>
              <w:left w:val="single" w:color="auto" w:sz="4" w:space="0"/>
              <w:bottom w:val="single" w:color="auto" w:sz="4" w:space="0"/>
              <w:right w:val="single" w:color="auto" w:sz="4" w:space="0"/>
            </w:tcBorders>
            <w:vAlign w:val="center"/>
          </w:tcPr>
          <w:p>
            <w:pPr>
              <w:jc w:val="left"/>
              <w:rPr>
                <w:kern w:val="0"/>
                <w:sz w:val="21"/>
                <w:szCs w:val="21"/>
              </w:rPr>
            </w:pPr>
            <w:r>
              <w:rPr>
                <w:rFonts w:hint="eastAsia"/>
                <w:kern w:val="0"/>
                <w:sz w:val="21"/>
                <w:szCs w:val="21"/>
              </w:rPr>
              <w:t>*3、附件材料反向索引帮扶记录。</w:t>
            </w:r>
          </w:p>
          <w:p>
            <w:pPr>
              <w:ind w:firstLine="315" w:firstLineChars="150"/>
              <w:jc w:val="left"/>
              <w:rPr>
                <w:kern w:val="0"/>
                <w:sz w:val="21"/>
                <w:szCs w:val="21"/>
              </w:rPr>
            </w:pPr>
            <w:r>
              <w:rPr>
                <w:rFonts w:hint="eastAsia"/>
                <w:kern w:val="0"/>
                <w:sz w:val="21"/>
                <w:szCs w:val="21"/>
              </w:rPr>
              <w:t>用户可以根据考核鉴定表、月报中的附件材料，点击后能够定位到上传该材料的当日帮扶记录所填写的具体数据指标。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spacing w:line="240" w:lineRule="auto"/>
              <w:jc w:val="center"/>
              <w:rPr>
                <w:kern w:val="0"/>
                <w:sz w:val="21"/>
                <w:szCs w:val="21"/>
              </w:rPr>
            </w:pPr>
          </w:p>
        </w:tc>
        <w:tc>
          <w:tcPr>
            <w:tcW w:w="1164" w:type="dxa"/>
            <w:vMerge w:val="continue"/>
            <w:tcBorders>
              <w:left w:val="single" w:color="auto" w:sz="4" w:space="0"/>
              <w:right w:val="single" w:color="auto" w:sz="4" w:space="0"/>
            </w:tcBorders>
            <w:vAlign w:val="center"/>
          </w:tcPr>
          <w:p>
            <w:pPr>
              <w:spacing w:line="240" w:lineRule="auto"/>
              <w:jc w:val="center"/>
              <w:rPr>
                <w:rFonts w:cs="Times New Roman"/>
                <w:sz w:val="21"/>
                <w:szCs w:val="21"/>
              </w:rPr>
            </w:pPr>
          </w:p>
        </w:tc>
        <w:tc>
          <w:tcPr>
            <w:tcW w:w="6916" w:type="dxa"/>
            <w:tcBorders>
              <w:top w:val="single" w:color="auto" w:sz="4" w:space="0"/>
              <w:left w:val="single" w:color="auto" w:sz="4" w:space="0"/>
              <w:bottom w:val="single" w:color="auto" w:sz="4" w:space="0"/>
              <w:right w:val="single" w:color="auto" w:sz="4" w:space="0"/>
            </w:tcBorders>
            <w:vAlign w:val="center"/>
          </w:tcPr>
          <w:p>
            <w:pPr>
              <w:jc w:val="left"/>
              <w:rPr>
                <w:rFonts w:cs="Times New Roman"/>
                <w:sz w:val="21"/>
                <w:szCs w:val="21"/>
              </w:rPr>
            </w:pPr>
            <w:r>
              <w:rPr>
                <w:rFonts w:hint="eastAsia" w:cs="Times New Roman"/>
                <w:sz w:val="21"/>
                <w:szCs w:val="21"/>
              </w:rPr>
              <w:t>4、附件材料在页面显示要以附件原本名称命名显示。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spacing w:line="240" w:lineRule="auto"/>
              <w:jc w:val="center"/>
              <w:rPr>
                <w:kern w:val="0"/>
                <w:sz w:val="21"/>
                <w:szCs w:val="21"/>
              </w:rPr>
            </w:pPr>
          </w:p>
        </w:tc>
        <w:tc>
          <w:tcPr>
            <w:tcW w:w="1164" w:type="dxa"/>
            <w:vMerge w:val="continue"/>
            <w:tcBorders>
              <w:left w:val="single" w:color="auto" w:sz="4" w:space="0"/>
              <w:right w:val="single" w:color="auto" w:sz="4" w:space="0"/>
            </w:tcBorders>
            <w:vAlign w:val="center"/>
          </w:tcPr>
          <w:p>
            <w:pPr>
              <w:spacing w:line="240" w:lineRule="auto"/>
              <w:jc w:val="center"/>
              <w:rPr>
                <w:rFonts w:cs="Times New Roman"/>
                <w:sz w:val="21"/>
                <w:szCs w:val="21"/>
              </w:rPr>
            </w:pPr>
          </w:p>
        </w:tc>
        <w:tc>
          <w:tcPr>
            <w:tcW w:w="6916" w:type="dxa"/>
            <w:tcBorders>
              <w:top w:val="single" w:color="auto" w:sz="4" w:space="0"/>
              <w:left w:val="single" w:color="auto" w:sz="4" w:space="0"/>
              <w:bottom w:val="single" w:color="auto" w:sz="4" w:space="0"/>
              <w:right w:val="single" w:color="auto" w:sz="4" w:space="0"/>
            </w:tcBorders>
            <w:vAlign w:val="center"/>
          </w:tcPr>
          <w:p>
            <w:pPr>
              <w:jc w:val="left"/>
              <w:rPr>
                <w:rFonts w:cs="Times New Roman"/>
                <w:sz w:val="21"/>
                <w:szCs w:val="21"/>
              </w:rPr>
            </w:pPr>
            <w:r>
              <w:rPr>
                <w:rFonts w:hint="eastAsia"/>
                <w:kern w:val="0"/>
                <w:sz w:val="21"/>
                <w:szCs w:val="21"/>
              </w:rPr>
              <w:t>5、自动生成指定样式的考核鉴定表并实现打印，打印出来的文档页面规范美观。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restart"/>
            <w:tcBorders>
              <w:top w:val="single" w:color="auto" w:sz="4" w:space="0"/>
              <w:left w:val="single" w:color="auto" w:sz="4" w:space="0"/>
              <w:right w:val="single" w:color="auto" w:sz="4" w:space="0"/>
            </w:tcBorders>
            <w:vAlign w:val="center"/>
          </w:tcPr>
          <w:p>
            <w:pPr>
              <w:spacing w:line="240" w:lineRule="auto"/>
              <w:jc w:val="center"/>
              <w:rPr>
                <w:kern w:val="0"/>
                <w:sz w:val="21"/>
                <w:szCs w:val="21"/>
              </w:rPr>
            </w:pPr>
            <w:r>
              <w:rPr>
                <w:rFonts w:hint="eastAsia"/>
                <w:kern w:val="0"/>
                <w:sz w:val="21"/>
                <w:szCs w:val="21"/>
              </w:rPr>
              <w:t>2</w:t>
            </w:r>
          </w:p>
        </w:tc>
        <w:tc>
          <w:tcPr>
            <w:tcW w:w="1164" w:type="dxa"/>
            <w:vMerge w:val="restart"/>
            <w:tcBorders>
              <w:top w:val="single" w:color="auto" w:sz="4" w:space="0"/>
              <w:left w:val="single" w:color="auto" w:sz="4" w:space="0"/>
              <w:right w:val="single" w:color="auto" w:sz="4" w:space="0"/>
            </w:tcBorders>
            <w:vAlign w:val="center"/>
          </w:tcPr>
          <w:p>
            <w:pPr>
              <w:spacing w:line="240" w:lineRule="auto"/>
              <w:jc w:val="center"/>
              <w:rPr>
                <w:kern w:val="0"/>
                <w:sz w:val="21"/>
                <w:szCs w:val="21"/>
              </w:rPr>
            </w:pPr>
            <w:r>
              <w:rPr>
                <w:rFonts w:hint="eastAsia"/>
                <w:kern w:val="0"/>
                <w:sz w:val="21"/>
                <w:szCs w:val="21"/>
              </w:rPr>
              <w:t>帮扶管理系统app</w:t>
            </w:r>
          </w:p>
        </w:tc>
        <w:tc>
          <w:tcPr>
            <w:tcW w:w="6916" w:type="dxa"/>
            <w:tcBorders>
              <w:top w:val="single" w:color="auto" w:sz="4" w:space="0"/>
              <w:left w:val="single" w:color="auto" w:sz="4" w:space="0"/>
              <w:bottom w:val="single" w:color="auto" w:sz="4" w:space="0"/>
              <w:right w:val="single" w:color="auto" w:sz="4" w:space="0"/>
            </w:tcBorders>
            <w:vAlign w:val="center"/>
          </w:tcPr>
          <w:p>
            <w:pPr>
              <w:rPr>
                <w:kern w:val="0"/>
                <w:sz w:val="21"/>
                <w:szCs w:val="21"/>
              </w:rPr>
            </w:pPr>
            <w:r>
              <w:rPr>
                <w:rFonts w:hint="eastAsia"/>
                <w:kern w:val="0"/>
                <w:sz w:val="21"/>
                <w:szCs w:val="21"/>
              </w:rPr>
              <w:t>通过帮扶管理APP实现帮扶工作上传、统计、查询等功能，APP操作界面设计风格美观，操作简单快捷。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spacing w:line="240" w:lineRule="auto"/>
              <w:jc w:val="center"/>
              <w:rPr>
                <w:kern w:val="0"/>
                <w:sz w:val="21"/>
                <w:szCs w:val="21"/>
              </w:rPr>
            </w:pPr>
          </w:p>
        </w:tc>
        <w:tc>
          <w:tcPr>
            <w:tcW w:w="1164" w:type="dxa"/>
            <w:vMerge w:val="continue"/>
            <w:tcBorders>
              <w:left w:val="single" w:color="auto" w:sz="4" w:space="0"/>
              <w:right w:val="single" w:color="auto" w:sz="4" w:space="0"/>
            </w:tcBorders>
            <w:vAlign w:val="center"/>
          </w:tcPr>
          <w:p>
            <w:pPr>
              <w:spacing w:line="240" w:lineRule="auto"/>
              <w:jc w:val="center"/>
              <w:rPr>
                <w:kern w:val="0"/>
                <w:sz w:val="21"/>
                <w:szCs w:val="21"/>
              </w:rPr>
            </w:pPr>
          </w:p>
        </w:tc>
        <w:tc>
          <w:tcPr>
            <w:tcW w:w="6916" w:type="dxa"/>
            <w:tcBorders>
              <w:top w:val="single" w:color="auto" w:sz="4" w:space="0"/>
              <w:left w:val="single" w:color="auto" w:sz="4" w:space="0"/>
              <w:bottom w:val="single" w:color="auto" w:sz="4" w:space="0"/>
              <w:right w:val="single" w:color="auto" w:sz="4" w:space="0"/>
            </w:tcBorders>
            <w:vAlign w:val="center"/>
          </w:tcPr>
          <w:p>
            <w:pPr>
              <w:pStyle w:val="11"/>
              <w:numPr>
                <w:ilvl w:val="0"/>
                <w:numId w:val="2"/>
              </w:numPr>
              <w:ind w:firstLineChars="0"/>
              <w:jc w:val="left"/>
              <w:rPr>
                <w:kern w:val="0"/>
                <w:sz w:val="21"/>
                <w:szCs w:val="21"/>
              </w:rPr>
            </w:pPr>
            <w:r>
              <w:rPr>
                <w:rFonts w:hint="eastAsia"/>
                <w:kern w:val="0"/>
                <w:sz w:val="21"/>
                <w:szCs w:val="21"/>
              </w:rPr>
              <w:t>帮扶软件登录：使用角色为所有使用人员。</w:t>
            </w:r>
          </w:p>
          <w:p>
            <w:pPr>
              <w:ind w:firstLine="315" w:firstLineChars="150"/>
              <w:jc w:val="left"/>
              <w:rPr>
                <w:kern w:val="0"/>
                <w:sz w:val="21"/>
                <w:szCs w:val="21"/>
              </w:rPr>
            </w:pPr>
            <w:r>
              <w:rPr>
                <w:rFonts w:hint="eastAsia"/>
                <w:kern w:val="0"/>
                <w:sz w:val="21"/>
                <w:szCs w:val="21"/>
              </w:rPr>
              <w:t>帮扶APP登录账号为微信、QQ、邮箱、手机号，与网页版登录账户密码一致，并能实现与相关软件应用的分享，</w:t>
            </w:r>
            <w:r>
              <w:rPr>
                <w:kern w:val="0"/>
                <w:sz w:val="21"/>
                <w:szCs w:val="21"/>
              </w:rPr>
              <w:t>软件内的相关内容可以通过微信QQ等APP导出，或者通过Excel表</w:t>
            </w:r>
            <w:r>
              <w:rPr>
                <w:rFonts w:hint="eastAsia"/>
                <w:kern w:val="0"/>
                <w:sz w:val="21"/>
                <w:szCs w:val="21"/>
              </w:rPr>
              <w:t>、Word等</w:t>
            </w:r>
            <w:r>
              <w:rPr>
                <w:kern w:val="0"/>
                <w:sz w:val="21"/>
                <w:szCs w:val="21"/>
              </w:rPr>
              <w:t>形式可以导出来</w:t>
            </w:r>
            <w:r>
              <w:rPr>
                <w:rFonts w:hint="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spacing w:line="240" w:lineRule="auto"/>
              <w:jc w:val="center"/>
              <w:rPr>
                <w:kern w:val="0"/>
                <w:sz w:val="21"/>
                <w:szCs w:val="21"/>
              </w:rPr>
            </w:pPr>
          </w:p>
        </w:tc>
        <w:tc>
          <w:tcPr>
            <w:tcW w:w="1164" w:type="dxa"/>
            <w:vMerge w:val="continue"/>
            <w:tcBorders>
              <w:left w:val="single" w:color="auto" w:sz="4" w:space="0"/>
              <w:right w:val="single" w:color="auto" w:sz="4" w:space="0"/>
            </w:tcBorders>
            <w:vAlign w:val="center"/>
          </w:tcPr>
          <w:p>
            <w:pPr>
              <w:spacing w:line="240" w:lineRule="auto"/>
              <w:jc w:val="center"/>
              <w:rPr>
                <w:rFonts w:cs="Times New Roman"/>
                <w:sz w:val="21"/>
                <w:szCs w:val="21"/>
              </w:rPr>
            </w:pPr>
          </w:p>
        </w:tc>
        <w:tc>
          <w:tcPr>
            <w:tcW w:w="6916" w:type="dxa"/>
            <w:tcBorders>
              <w:top w:val="single" w:color="auto" w:sz="4" w:space="0"/>
              <w:left w:val="single" w:color="auto" w:sz="4" w:space="0"/>
              <w:bottom w:val="single" w:color="auto" w:sz="4" w:space="0"/>
              <w:right w:val="single" w:color="auto" w:sz="4" w:space="0"/>
            </w:tcBorders>
            <w:vAlign w:val="center"/>
          </w:tcPr>
          <w:p>
            <w:pPr>
              <w:pStyle w:val="11"/>
              <w:numPr>
                <w:ilvl w:val="0"/>
                <w:numId w:val="2"/>
              </w:numPr>
              <w:spacing w:line="240" w:lineRule="auto"/>
              <w:ind w:firstLineChars="0"/>
              <w:jc w:val="left"/>
              <w:rPr>
                <w:kern w:val="0"/>
                <w:sz w:val="21"/>
                <w:szCs w:val="21"/>
              </w:rPr>
            </w:pPr>
            <w:r>
              <w:rPr>
                <w:rFonts w:hint="eastAsia"/>
                <w:kern w:val="0"/>
                <w:sz w:val="21"/>
                <w:szCs w:val="21"/>
              </w:rPr>
              <w:t>帮扶教学资料上传：使用角色为我院帮扶队员和受援单位科室人员。</w:t>
            </w:r>
          </w:p>
          <w:p>
            <w:pPr>
              <w:ind w:firstLine="315" w:firstLineChars="150"/>
              <w:rPr>
                <w:kern w:val="0"/>
                <w:sz w:val="21"/>
                <w:szCs w:val="21"/>
              </w:rPr>
            </w:pPr>
            <w:r>
              <w:rPr>
                <w:rFonts w:hint="eastAsia"/>
                <w:kern w:val="0"/>
                <w:sz w:val="21"/>
                <w:szCs w:val="21"/>
              </w:rPr>
              <w:t>我院帮扶队员将教学、手术等视频上传，集中分享给各受援单位医务人员，</w:t>
            </w:r>
            <w:r>
              <w:rPr>
                <w:kern w:val="0"/>
                <w:sz w:val="21"/>
                <w:szCs w:val="21"/>
              </w:rPr>
              <w:t>通过APP内的</w:t>
            </w:r>
            <w:r>
              <w:rPr>
                <w:rFonts w:hint="eastAsia"/>
                <w:kern w:val="0"/>
                <w:sz w:val="21"/>
                <w:szCs w:val="21"/>
              </w:rPr>
              <w:t>公示栏，</w:t>
            </w:r>
            <w:r>
              <w:rPr>
                <w:kern w:val="0"/>
                <w:sz w:val="21"/>
                <w:szCs w:val="21"/>
              </w:rPr>
              <w:t>下发政策</w:t>
            </w:r>
            <w:r>
              <w:rPr>
                <w:rFonts w:hint="eastAsia"/>
                <w:kern w:val="0"/>
                <w:sz w:val="21"/>
                <w:szCs w:val="21"/>
              </w:rPr>
              <w:t>、公告、通知</w:t>
            </w:r>
            <w:r>
              <w:rPr>
                <w:kern w:val="0"/>
                <w:sz w:val="21"/>
                <w:szCs w:val="21"/>
              </w:rPr>
              <w:t>，分享相关教学视频等</w:t>
            </w:r>
            <w:r>
              <w:rPr>
                <w:rFonts w:hint="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spacing w:line="240" w:lineRule="auto"/>
              <w:jc w:val="center"/>
              <w:rPr>
                <w:kern w:val="0"/>
                <w:sz w:val="21"/>
                <w:szCs w:val="21"/>
              </w:rPr>
            </w:pPr>
          </w:p>
        </w:tc>
        <w:tc>
          <w:tcPr>
            <w:tcW w:w="1164" w:type="dxa"/>
            <w:vMerge w:val="continue"/>
            <w:tcBorders>
              <w:left w:val="single" w:color="auto" w:sz="4" w:space="0"/>
              <w:right w:val="single" w:color="auto" w:sz="4" w:space="0"/>
            </w:tcBorders>
            <w:vAlign w:val="center"/>
          </w:tcPr>
          <w:p>
            <w:pPr>
              <w:spacing w:line="240" w:lineRule="auto"/>
              <w:jc w:val="center"/>
              <w:rPr>
                <w:rFonts w:cs="Times New Roman"/>
                <w:sz w:val="21"/>
                <w:szCs w:val="21"/>
              </w:rPr>
            </w:pPr>
          </w:p>
        </w:tc>
        <w:tc>
          <w:tcPr>
            <w:tcW w:w="6916" w:type="dxa"/>
            <w:tcBorders>
              <w:top w:val="single" w:color="auto" w:sz="4" w:space="0"/>
              <w:left w:val="single" w:color="auto" w:sz="4" w:space="0"/>
              <w:bottom w:val="single" w:color="auto" w:sz="4" w:space="0"/>
              <w:right w:val="single" w:color="auto" w:sz="4" w:space="0"/>
            </w:tcBorders>
            <w:vAlign w:val="center"/>
          </w:tcPr>
          <w:p>
            <w:pPr>
              <w:rPr>
                <w:kern w:val="0"/>
                <w:sz w:val="21"/>
                <w:szCs w:val="21"/>
              </w:rPr>
            </w:pPr>
            <w:r>
              <w:rPr>
                <w:rFonts w:hint="eastAsia"/>
                <w:kern w:val="0"/>
                <w:sz w:val="21"/>
                <w:szCs w:val="21"/>
              </w:rPr>
              <w:t>3、帮扶工作热词查询：使用角色为我院帮扶队员和受援医院医务人员。</w:t>
            </w:r>
          </w:p>
          <w:p>
            <w:pPr>
              <w:ind w:firstLine="315" w:firstLineChars="150"/>
              <w:jc w:val="left"/>
              <w:rPr>
                <w:kern w:val="0"/>
                <w:sz w:val="21"/>
                <w:szCs w:val="21"/>
              </w:rPr>
            </w:pPr>
            <w:r>
              <w:rPr>
                <w:rFonts w:hint="eastAsia"/>
                <w:kern w:val="0"/>
                <w:sz w:val="21"/>
                <w:szCs w:val="21"/>
              </w:rPr>
              <w:t>设置帮扶工作热词查询窗口，方便医务人员查询帮扶工作热词、重点词或者医学相关问题，提供帮扶工作、国家帮扶政策和制度相关的网络热词，点击直接通过搜索引擎连接到互联网或相关APP查询。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817" w:type="dxa"/>
            <w:vMerge w:val="continue"/>
            <w:tcBorders>
              <w:left w:val="single" w:color="auto" w:sz="4" w:space="0"/>
              <w:right w:val="single" w:color="auto" w:sz="4" w:space="0"/>
            </w:tcBorders>
            <w:vAlign w:val="center"/>
          </w:tcPr>
          <w:p>
            <w:pPr>
              <w:spacing w:line="240" w:lineRule="auto"/>
              <w:jc w:val="center"/>
              <w:rPr>
                <w:kern w:val="0"/>
                <w:sz w:val="21"/>
                <w:szCs w:val="21"/>
              </w:rPr>
            </w:pPr>
          </w:p>
        </w:tc>
        <w:tc>
          <w:tcPr>
            <w:tcW w:w="1164" w:type="dxa"/>
            <w:vMerge w:val="continue"/>
            <w:tcBorders>
              <w:left w:val="single" w:color="auto" w:sz="4" w:space="0"/>
              <w:right w:val="single" w:color="auto" w:sz="4" w:space="0"/>
            </w:tcBorders>
            <w:vAlign w:val="center"/>
          </w:tcPr>
          <w:p>
            <w:pPr>
              <w:spacing w:line="240" w:lineRule="auto"/>
              <w:jc w:val="center"/>
              <w:rPr>
                <w:rFonts w:cs="Times New Roman"/>
                <w:sz w:val="21"/>
                <w:szCs w:val="21"/>
              </w:rPr>
            </w:pPr>
          </w:p>
        </w:tc>
        <w:tc>
          <w:tcPr>
            <w:tcW w:w="6916" w:type="dxa"/>
            <w:tcBorders>
              <w:top w:val="single" w:color="auto" w:sz="4" w:space="0"/>
              <w:left w:val="single" w:color="auto" w:sz="4" w:space="0"/>
              <w:bottom w:val="single" w:color="auto" w:sz="4" w:space="0"/>
              <w:right w:val="single" w:color="auto" w:sz="4" w:space="0"/>
            </w:tcBorders>
            <w:vAlign w:val="center"/>
          </w:tcPr>
          <w:p>
            <w:pPr>
              <w:rPr>
                <w:kern w:val="0"/>
                <w:sz w:val="21"/>
                <w:szCs w:val="21"/>
              </w:rPr>
            </w:pPr>
            <w:r>
              <w:rPr>
                <w:rFonts w:hint="eastAsia"/>
                <w:kern w:val="0"/>
                <w:sz w:val="21"/>
                <w:szCs w:val="21"/>
              </w:rPr>
              <w:t>4、帮扶新闻上传：使用角色为帮扶队员和我院管理人员。</w:t>
            </w:r>
          </w:p>
          <w:p>
            <w:pPr>
              <w:ind w:firstLine="315" w:firstLineChars="150"/>
              <w:rPr>
                <w:kern w:val="0"/>
                <w:sz w:val="21"/>
                <w:szCs w:val="21"/>
              </w:rPr>
            </w:pPr>
            <w:r>
              <w:rPr>
                <w:rFonts w:hint="eastAsia"/>
                <w:kern w:val="0"/>
                <w:sz w:val="21"/>
                <w:szCs w:val="21"/>
              </w:rPr>
              <w:t>帮扶队员将帮扶新闻上传后，我院管理人员进行校稿，并能通过下载、分享至其他软件等途径将新闻导出APP。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17" w:type="dxa"/>
            <w:vMerge w:val="continue"/>
            <w:tcBorders>
              <w:left w:val="single" w:color="auto" w:sz="4" w:space="0"/>
              <w:right w:val="single" w:color="auto" w:sz="4" w:space="0"/>
            </w:tcBorders>
            <w:vAlign w:val="center"/>
          </w:tcPr>
          <w:p>
            <w:pPr>
              <w:spacing w:line="240" w:lineRule="auto"/>
              <w:jc w:val="center"/>
              <w:rPr>
                <w:kern w:val="0"/>
                <w:sz w:val="21"/>
                <w:szCs w:val="21"/>
              </w:rPr>
            </w:pPr>
          </w:p>
        </w:tc>
        <w:tc>
          <w:tcPr>
            <w:tcW w:w="1164" w:type="dxa"/>
            <w:vMerge w:val="continue"/>
            <w:tcBorders>
              <w:left w:val="single" w:color="auto" w:sz="4" w:space="0"/>
              <w:right w:val="single" w:color="auto" w:sz="4" w:space="0"/>
            </w:tcBorders>
            <w:vAlign w:val="center"/>
          </w:tcPr>
          <w:p>
            <w:pPr>
              <w:spacing w:line="240" w:lineRule="auto"/>
              <w:jc w:val="center"/>
              <w:rPr>
                <w:rFonts w:cs="Times New Roman"/>
                <w:sz w:val="21"/>
                <w:szCs w:val="21"/>
              </w:rPr>
            </w:pPr>
          </w:p>
        </w:tc>
        <w:tc>
          <w:tcPr>
            <w:tcW w:w="6916" w:type="dxa"/>
            <w:tcBorders>
              <w:top w:val="single" w:color="auto" w:sz="4" w:space="0"/>
              <w:left w:val="single" w:color="auto" w:sz="4" w:space="0"/>
              <w:bottom w:val="single" w:color="auto" w:sz="4" w:space="0"/>
              <w:right w:val="single" w:color="auto" w:sz="4" w:space="0"/>
            </w:tcBorders>
            <w:vAlign w:val="center"/>
          </w:tcPr>
          <w:p>
            <w:pPr>
              <w:rPr>
                <w:kern w:val="0"/>
                <w:sz w:val="21"/>
                <w:szCs w:val="21"/>
              </w:rPr>
            </w:pPr>
            <w:r>
              <w:rPr>
                <w:rFonts w:hint="eastAsia"/>
                <w:kern w:val="0"/>
                <w:sz w:val="21"/>
                <w:szCs w:val="21"/>
              </w:rPr>
              <w:t>*5、帮扶工作量上传与填写：使用角色为我院帮扶队员。</w:t>
            </w:r>
          </w:p>
          <w:p>
            <w:pPr>
              <w:ind w:firstLine="315" w:firstLineChars="150"/>
              <w:rPr>
                <w:kern w:val="0"/>
                <w:sz w:val="21"/>
                <w:szCs w:val="21"/>
              </w:rPr>
            </w:pPr>
            <w:r>
              <w:rPr>
                <w:rFonts w:hint="eastAsia"/>
                <w:kern w:val="0"/>
                <w:sz w:val="21"/>
                <w:szCs w:val="21"/>
              </w:rPr>
              <w:t>主要包含：每日工作量录入、附件上传、月报汇总、考核鉴定等。帮扶每日记录能汇总为月报，月报汇总为考核鉴定。</w:t>
            </w:r>
          </w:p>
          <w:p>
            <w:pPr>
              <w:rPr>
                <w:kern w:val="0"/>
                <w:sz w:val="21"/>
                <w:szCs w:val="21"/>
              </w:rPr>
            </w:pPr>
            <w:r>
              <w:rPr>
                <w:rFonts w:hint="eastAsia"/>
                <w:kern w:val="0"/>
                <w:sz w:val="21"/>
                <w:szCs w:val="21"/>
              </w:rPr>
              <w:t xml:space="preserve">   录入的工作量是医疗工作中量化的数据指标，每日帮扶记录、月报、考核鉴定是对这些数据指标的记录、汇总、统计。</w:t>
            </w:r>
          </w:p>
          <w:p>
            <w:pPr>
              <w:ind w:firstLine="315" w:firstLineChars="150"/>
              <w:rPr>
                <w:kern w:val="0"/>
                <w:sz w:val="21"/>
                <w:szCs w:val="21"/>
              </w:rPr>
            </w:pPr>
            <w:r>
              <w:rPr>
                <w:rFonts w:hint="eastAsia"/>
                <w:kern w:val="0"/>
                <w:sz w:val="21"/>
                <w:szCs w:val="21"/>
              </w:rPr>
              <w:t>月报汇总的日期节点可以后台管理员自定义设置，考核鉴定汇总的日期则按照派遣的起始日期进行汇总。</w:t>
            </w:r>
          </w:p>
          <w:p>
            <w:pPr>
              <w:ind w:firstLine="315" w:firstLineChars="150"/>
              <w:rPr>
                <w:kern w:val="0"/>
                <w:sz w:val="21"/>
                <w:szCs w:val="21"/>
              </w:rPr>
            </w:pPr>
            <w:r>
              <w:rPr>
                <w:rFonts w:hint="eastAsia"/>
                <w:kern w:val="0"/>
                <w:sz w:val="21"/>
                <w:szCs w:val="21"/>
              </w:rPr>
              <w:t>附件上传到每个相应的工作记录内，确保点击该工作记录时可以弹出相关附件材料；每个工作量里的附件均能在汇总月报时，统一汇总到当月月报中去。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spacing w:line="240" w:lineRule="auto"/>
              <w:jc w:val="center"/>
              <w:rPr>
                <w:kern w:val="0"/>
                <w:sz w:val="21"/>
                <w:szCs w:val="21"/>
              </w:rPr>
            </w:pPr>
          </w:p>
        </w:tc>
        <w:tc>
          <w:tcPr>
            <w:tcW w:w="1164" w:type="dxa"/>
            <w:vMerge w:val="continue"/>
            <w:tcBorders>
              <w:left w:val="single" w:color="auto" w:sz="4" w:space="0"/>
              <w:right w:val="single" w:color="auto" w:sz="4" w:space="0"/>
            </w:tcBorders>
            <w:vAlign w:val="center"/>
          </w:tcPr>
          <w:p>
            <w:pPr>
              <w:spacing w:line="240" w:lineRule="auto"/>
              <w:jc w:val="center"/>
              <w:rPr>
                <w:rFonts w:cs="Times New Roman"/>
                <w:sz w:val="21"/>
                <w:szCs w:val="21"/>
              </w:rPr>
            </w:pPr>
          </w:p>
        </w:tc>
        <w:tc>
          <w:tcPr>
            <w:tcW w:w="6916" w:type="dxa"/>
            <w:tcBorders>
              <w:top w:val="single" w:color="auto" w:sz="4" w:space="0"/>
              <w:left w:val="single" w:color="auto" w:sz="4" w:space="0"/>
              <w:bottom w:val="single" w:color="auto" w:sz="4" w:space="0"/>
              <w:right w:val="single" w:color="auto" w:sz="4" w:space="0"/>
            </w:tcBorders>
            <w:vAlign w:val="center"/>
          </w:tcPr>
          <w:p>
            <w:pPr>
              <w:rPr>
                <w:kern w:val="0"/>
                <w:sz w:val="21"/>
                <w:szCs w:val="21"/>
              </w:rPr>
            </w:pPr>
            <w:r>
              <w:rPr>
                <w:rFonts w:hint="eastAsia"/>
                <w:kern w:val="0"/>
                <w:sz w:val="21"/>
                <w:szCs w:val="21"/>
              </w:rPr>
              <w:t>6、帮扶记录未录入监测：使用角色为我院管理人员。</w:t>
            </w:r>
          </w:p>
          <w:p>
            <w:pPr>
              <w:ind w:firstLine="315" w:firstLineChars="150"/>
              <w:rPr>
                <w:kern w:val="0"/>
                <w:sz w:val="21"/>
                <w:szCs w:val="21"/>
              </w:rPr>
            </w:pPr>
            <w:r>
              <w:rPr>
                <w:rFonts w:hint="eastAsia"/>
                <w:kern w:val="0"/>
                <w:sz w:val="21"/>
                <w:szCs w:val="21"/>
              </w:rPr>
              <w:t>帮扶管理人员可通过该功能了解每天帮扶队员的帮扶工作录入情况，可以查询某天或者某段时间的未录入人员。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spacing w:line="240" w:lineRule="auto"/>
              <w:jc w:val="center"/>
              <w:rPr>
                <w:kern w:val="0"/>
                <w:sz w:val="21"/>
                <w:szCs w:val="21"/>
              </w:rPr>
            </w:pPr>
          </w:p>
        </w:tc>
        <w:tc>
          <w:tcPr>
            <w:tcW w:w="1164" w:type="dxa"/>
            <w:vMerge w:val="continue"/>
            <w:tcBorders>
              <w:left w:val="single" w:color="auto" w:sz="4" w:space="0"/>
              <w:right w:val="single" w:color="auto" w:sz="4" w:space="0"/>
            </w:tcBorders>
            <w:vAlign w:val="center"/>
          </w:tcPr>
          <w:p>
            <w:pPr>
              <w:spacing w:line="240" w:lineRule="auto"/>
              <w:jc w:val="center"/>
              <w:rPr>
                <w:rFonts w:cs="Times New Roman"/>
                <w:sz w:val="21"/>
                <w:szCs w:val="21"/>
              </w:rPr>
            </w:pPr>
          </w:p>
        </w:tc>
        <w:tc>
          <w:tcPr>
            <w:tcW w:w="6916" w:type="dxa"/>
            <w:tcBorders>
              <w:top w:val="single" w:color="auto" w:sz="4" w:space="0"/>
              <w:left w:val="single" w:color="auto" w:sz="4" w:space="0"/>
              <w:bottom w:val="single" w:color="auto" w:sz="4" w:space="0"/>
              <w:right w:val="single" w:color="auto" w:sz="4" w:space="0"/>
            </w:tcBorders>
            <w:vAlign w:val="center"/>
          </w:tcPr>
          <w:p>
            <w:pPr>
              <w:rPr>
                <w:kern w:val="0"/>
                <w:sz w:val="21"/>
                <w:szCs w:val="21"/>
              </w:rPr>
            </w:pPr>
            <w:r>
              <w:rPr>
                <w:rFonts w:hint="eastAsia"/>
                <w:kern w:val="0"/>
                <w:sz w:val="21"/>
                <w:szCs w:val="21"/>
              </w:rPr>
              <w:t>7、帮扶评分：使用角色为我院管理人员和受援单位管理人员。</w:t>
            </w:r>
          </w:p>
          <w:p>
            <w:pPr>
              <w:ind w:firstLine="420" w:firstLineChars="200"/>
              <w:rPr>
                <w:kern w:val="0"/>
                <w:sz w:val="21"/>
                <w:szCs w:val="21"/>
              </w:rPr>
            </w:pPr>
            <w:r>
              <w:rPr>
                <w:rFonts w:hint="eastAsia"/>
                <w:kern w:val="0"/>
                <w:sz w:val="21"/>
                <w:szCs w:val="21"/>
              </w:rPr>
              <w:t>帮扶队员考核鉴定分值依据每月月报数据，使用西南医院特定算法评估打分。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spacing w:line="240" w:lineRule="auto"/>
              <w:jc w:val="center"/>
              <w:rPr>
                <w:kern w:val="0"/>
                <w:sz w:val="21"/>
                <w:szCs w:val="21"/>
              </w:rPr>
            </w:pPr>
          </w:p>
        </w:tc>
        <w:tc>
          <w:tcPr>
            <w:tcW w:w="1164" w:type="dxa"/>
            <w:vMerge w:val="continue"/>
            <w:tcBorders>
              <w:left w:val="single" w:color="auto" w:sz="4" w:space="0"/>
              <w:right w:val="single" w:color="auto" w:sz="4" w:space="0"/>
            </w:tcBorders>
            <w:vAlign w:val="center"/>
          </w:tcPr>
          <w:p>
            <w:pPr>
              <w:spacing w:line="240" w:lineRule="auto"/>
              <w:jc w:val="center"/>
              <w:rPr>
                <w:rFonts w:cs="Times New Roman"/>
                <w:sz w:val="21"/>
                <w:szCs w:val="21"/>
              </w:rPr>
            </w:pPr>
          </w:p>
        </w:tc>
        <w:tc>
          <w:tcPr>
            <w:tcW w:w="6916" w:type="dxa"/>
            <w:tcBorders>
              <w:top w:val="single" w:color="auto" w:sz="4" w:space="0"/>
              <w:left w:val="single" w:color="auto" w:sz="4" w:space="0"/>
              <w:bottom w:val="single" w:color="auto" w:sz="4" w:space="0"/>
              <w:right w:val="single" w:color="auto" w:sz="4" w:space="0"/>
            </w:tcBorders>
            <w:vAlign w:val="center"/>
          </w:tcPr>
          <w:p>
            <w:pPr>
              <w:rPr>
                <w:kern w:val="0"/>
                <w:sz w:val="21"/>
                <w:szCs w:val="21"/>
              </w:rPr>
            </w:pPr>
            <w:r>
              <w:rPr>
                <w:rFonts w:hint="eastAsia"/>
                <w:kern w:val="0"/>
                <w:sz w:val="21"/>
                <w:szCs w:val="21"/>
              </w:rPr>
              <w:t>8、工作审批：使用角色为派出单位管理人员和受援单位。</w:t>
            </w:r>
          </w:p>
          <w:p>
            <w:pPr>
              <w:ind w:firstLine="420" w:firstLineChars="200"/>
              <w:rPr>
                <w:kern w:val="0"/>
                <w:sz w:val="21"/>
                <w:szCs w:val="21"/>
              </w:rPr>
            </w:pPr>
            <w:r>
              <w:rPr>
                <w:rFonts w:hint="eastAsia"/>
                <w:kern w:val="0"/>
                <w:sz w:val="21"/>
                <w:szCs w:val="21"/>
              </w:rPr>
              <w:t>西南医院管理人员及受援单位管理人员针对帮扶队员的每月帮扶工作月报、考核鉴定、附件完整性进行审批。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spacing w:line="240" w:lineRule="auto"/>
              <w:jc w:val="center"/>
              <w:rPr>
                <w:kern w:val="0"/>
                <w:sz w:val="21"/>
                <w:szCs w:val="21"/>
              </w:rPr>
            </w:pPr>
          </w:p>
        </w:tc>
        <w:tc>
          <w:tcPr>
            <w:tcW w:w="1164" w:type="dxa"/>
            <w:vMerge w:val="continue"/>
            <w:tcBorders>
              <w:left w:val="single" w:color="auto" w:sz="4" w:space="0"/>
              <w:right w:val="single" w:color="auto" w:sz="4" w:space="0"/>
            </w:tcBorders>
            <w:vAlign w:val="center"/>
          </w:tcPr>
          <w:p>
            <w:pPr>
              <w:spacing w:line="240" w:lineRule="auto"/>
              <w:jc w:val="center"/>
              <w:rPr>
                <w:rFonts w:cs="Times New Roman"/>
                <w:sz w:val="21"/>
                <w:szCs w:val="21"/>
              </w:rPr>
            </w:pPr>
          </w:p>
        </w:tc>
        <w:tc>
          <w:tcPr>
            <w:tcW w:w="6916" w:type="dxa"/>
            <w:tcBorders>
              <w:top w:val="single" w:color="auto" w:sz="4" w:space="0"/>
              <w:left w:val="single" w:color="auto" w:sz="4" w:space="0"/>
              <w:bottom w:val="single" w:color="auto" w:sz="4" w:space="0"/>
              <w:right w:val="single" w:color="auto" w:sz="4" w:space="0"/>
            </w:tcBorders>
            <w:vAlign w:val="center"/>
          </w:tcPr>
          <w:p>
            <w:pPr>
              <w:rPr>
                <w:kern w:val="0"/>
                <w:sz w:val="21"/>
                <w:szCs w:val="21"/>
              </w:rPr>
            </w:pPr>
            <w:r>
              <w:rPr>
                <w:rFonts w:hint="eastAsia"/>
                <w:kern w:val="0"/>
                <w:sz w:val="21"/>
                <w:szCs w:val="21"/>
              </w:rPr>
              <w:t>*9、查询统计：使用角色为我院管理人员和受援单位管理人员。</w:t>
            </w:r>
          </w:p>
          <w:p>
            <w:pPr>
              <w:ind w:firstLine="315" w:firstLineChars="150"/>
              <w:rPr>
                <w:kern w:val="0"/>
                <w:sz w:val="21"/>
                <w:szCs w:val="21"/>
              </w:rPr>
            </w:pPr>
            <w:r>
              <w:rPr>
                <w:rFonts w:hint="eastAsia"/>
                <w:kern w:val="0"/>
                <w:sz w:val="21"/>
                <w:szCs w:val="21"/>
              </w:rPr>
              <w:t>通过图表将帮扶记录中的数据项可视化处理，分别细化到每日帮扶工作量汇总、月报统计汇总，通过Excel表格、数据图等形式来完成数据处理，精确到按人汇总、按月汇总、按日汇总、按受援单位汇总。受援单位只能看自己单位的工作量汇总，不能看到其他医院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17" w:type="dxa"/>
            <w:vMerge w:val="continue"/>
            <w:tcBorders>
              <w:left w:val="single" w:color="auto" w:sz="4" w:space="0"/>
              <w:right w:val="single" w:color="auto" w:sz="4" w:space="0"/>
            </w:tcBorders>
            <w:vAlign w:val="center"/>
          </w:tcPr>
          <w:p>
            <w:pPr>
              <w:spacing w:line="240" w:lineRule="auto"/>
              <w:jc w:val="center"/>
              <w:rPr>
                <w:kern w:val="0"/>
                <w:sz w:val="21"/>
                <w:szCs w:val="21"/>
              </w:rPr>
            </w:pPr>
          </w:p>
        </w:tc>
        <w:tc>
          <w:tcPr>
            <w:tcW w:w="1164" w:type="dxa"/>
            <w:vMerge w:val="continue"/>
            <w:tcBorders>
              <w:left w:val="single" w:color="auto" w:sz="4" w:space="0"/>
              <w:right w:val="single" w:color="auto" w:sz="4" w:space="0"/>
            </w:tcBorders>
            <w:vAlign w:val="center"/>
          </w:tcPr>
          <w:p>
            <w:pPr>
              <w:spacing w:line="240" w:lineRule="auto"/>
              <w:jc w:val="center"/>
              <w:rPr>
                <w:rFonts w:cs="Times New Roman"/>
                <w:sz w:val="21"/>
                <w:szCs w:val="21"/>
              </w:rPr>
            </w:pPr>
          </w:p>
        </w:tc>
        <w:tc>
          <w:tcPr>
            <w:tcW w:w="6916" w:type="dxa"/>
            <w:tcBorders>
              <w:top w:val="single" w:color="auto" w:sz="4" w:space="0"/>
              <w:left w:val="single" w:color="auto" w:sz="4" w:space="0"/>
              <w:bottom w:val="single" w:color="auto" w:sz="4" w:space="0"/>
              <w:right w:val="single" w:color="auto" w:sz="4" w:space="0"/>
            </w:tcBorders>
            <w:vAlign w:val="center"/>
          </w:tcPr>
          <w:p>
            <w:pPr>
              <w:rPr>
                <w:kern w:val="0"/>
                <w:sz w:val="21"/>
                <w:szCs w:val="21"/>
              </w:rPr>
            </w:pPr>
            <w:r>
              <w:rPr>
                <w:rFonts w:hint="eastAsia"/>
                <w:kern w:val="0"/>
                <w:sz w:val="21"/>
                <w:szCs w:val="21"/>
              </w:rPr>
              <w:t>10、系统设置与权限管理：使用角色为我院管理人员。</w:t>
            </w:r>
          </w:p>
          <w:p>
            <w:pPr>
              <w:ind w:firstLine="420" w:firstLineChars="200"/>
              <w:jc w:val="left"/>
              <w:rPr>
                <w:kern w:val="0"/>
                <w:sz w:val="21"/>
                <w:szCs w:val="21"/>
              </w:rPr>
            </w:pPr>
            <w:r>
              <w:rPr>
                <w:rFonts w:hint="eastAsia"/>
                <w:kern w:val="0"/>
                <w:sz w:val="21"/>
                <w:szCs w:val="21"/>
              </w:rPr>
              <w:t>管理人员登录网页版后台可以完成对APP各项基本权限操作设置，如</w:t>
            </w:r>
            <w:r>
              <w:rPr>
                <w:kern w:val="0"/>
                <w:sz w:val="21"/>
                <w:szCs w:val="21"/>
              </w:rPr>
              <w:t>后台人员信息录入与管理、密码管理和人员权限管理等</w:t>
            </w:r>
            <w:r>
              <w:rPr>
                <w:rFonts w:hint="eastAsia"/>
                <w:kern w:val="0"/>
                <w:sz w:val="21"/>
                <w:szCs w:val="21"/>
              </w:rPr>
              <w:t>，系统需要建立权限系统，管理员可以根据实际情况对各用户进行角色设置，对各角色进行权限设置。</w:t>
            </w:r>
          </w:p>
        </w:tc>
      </w:tr>
    </w:tbl>
    <w:p>
      <w:pPr>
        <w:spacing w:line="240" w:lineRule="auto"/>
        <w:rPr>
          <w:sz w:val="20"/>
          <w:szCs w:val="21"/>
          <w:lang w:val="es-AR" w:bidi="ne-NP"/>
        </w:rPr>
      </w:pPr>
      <w:r>
        <w:rPr>
          <w:rFonts w:hint="eastAsia"/>
          <w:sz w:val="20"/>
          <w:szCs w:val="21"/>
          <w:lang w:val="es-AR" w:bidi="ne-NP"/>
        </w:rPr>
        <w:t>可设置关键参数，加“*”标记，一般不超过1/3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37687"/>
    <w:rsid w:val="505335EA"/>
    <w:rsid w:val="56751D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opLinePunct/>
      <w:autoSpaceDE w:val="0"/>
      <w:adjustRightInd w:val="0"/>
      <w:spacing w:line="360" w:lineRule="auto"/>
      <w:jc w:val="both"/>
    </w:pPr>
    <w:rPr>
      <w:rFonts w:ascii="宋体" w:hAnsi="宋体" w:eastAsia="宋体" w:cs="宋体"/>
      <w:kern w:val="2"/>
      <w:sz w:val="24"/>
      <w:szCs w:val="24"/>
      <w:lang w:val="en-US" w:eastAsia="zh-CN" w:bidi="ar-SA"/>
    </w:rPr>
  </w:style>
  <w:style w:type="character" w:default="1" w:styleId="9">
    <w:name w:val="Default Paragraph Fon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link w:val="14"/>
    <w:qFormat/>
    <w:uiPriority w:val="99"/>
    <w:pPr>
      <w:jc w:val="left"/>
    </w:pPr>
  </w:style>
  <w:style w:type="paragraph" w:styleId="3">
    <w:name w:val="Balloon Text"/>
    <w:basedOn w:val="1"/>
    <w:link w:val="16"/>
    <w:qFormat/>
    <w:uiPriority w:val="99"/>
    <w:pPr>
      <w:spacing w:line="240" w:lineRule="auto"/>
    </w:pPr>
    <w:rPr>
      <w:sz w:val="18"/>
      <w:szCs w:val="18"/>
    </w:rPr>
  </w:style>
  <w:style w:type="paragraph" w:styleId="4">
    <w:name w:val="footer"/>
    <w:basedOn w:val="1"/>
    <w:link w:val="13"/>
    <w:qFormat/>
    <w:uiPriority w:val="99"/>
    <w:pPr>
      <w:tabs>
        <w:tab w:val="center" w:pos="4153"/>
        <w:tab w:val="right" w:pos="8306"/>
      </w:tabs>
      <w:snapToGrid w:val="0"/>
      <w:spacing w:line="240" w:lineRule="auto"/>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annotation subject"/>
    <w:basedOn w:val="2"/>
    <w:next w:val="2"/>
    <w:link w:val="15"/>
    <w:qFormat/>
    <w:uiPriority w:val="99"/>
    <w:rPr>
      <w:b/>
      <w:bCs/>
    </w:rPr>
  </w:style>
  <w:style w:type="table" w:styleId="8">
    <w:name w:val="Table Grid"/>
    <w:basedOn w:val="7"/>
    <w:uiPriority w:val="9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annotation reference"/>
    <w:basedOn w:val="9"/>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Char"/>
    <w:basedOn w:val="9"/>
    <w:link w:val="5"/>
    <w:qFormat/>
    <w:uiPriority w:val="99"/>
    <w:rPr>
      <w:rFonts w:ascii="宋体" w:hAnsi="宋体" w:eastAsia="宋体" w:cs="宋体"/>
      <w:sz w:val="18"/>
      <w:szCs w:val="18"/>
    </w:rPr>
  </w:style>
  <w:style w:type="character" w:customStyle="1" w:styleId="13">
    <w:name w:val="页脚 Char"/>
    <w:basedOn w:val="9"/>
    <w:link w:val="4"/>
    <w:uiPriority w:val="99"/>
    <w:rPr>
      <w:rFonts w:ascii="宋体" w:hAnsi="宋体" w:eastAsia="宋体" w:cs="宋体"/>
      <w:sz w:val="18"/>
      <w:szCs w:val="18"/>
    </w:rPr>
  </w:style>
  <w:style w:type="character" w:customStyle="1" w:styleId="14">
    <w:name w:val="批注文字 Char"/>
    <w:basedOn w:val="9"/>
    <w:link w:val="2"/>
    <w:uiPriority w:val="99"/>
    <w:rPr>
      <w:rFonts w:ascii="宋体" w:hAnsi="宋体" w:eastAsia="宋体" w:cs="宋体"/>
      <w:sz w:val="24"/>
      <w:szCs w:val="24"/>
    </w:rPr>
  </w:style>
  <w:style w:type="character" w:customStyle="1" w:styleId="15">
    <w:name w:val="批注主题 Char"/>
    <w:basedOn w:val="14"/>
    <w:link w:val="6"/>
    <w:qFormat/>
    <w:uiPriority w:val="99"/>
    <w:rPr>
      <w:b/>
      <w:bCs/>
    </w:rPr>
  </w:style>
  <w:style w:type="character" w:customStyle="1" w:styleId="16">
    <w:name w:val="批注框文本 Char"/>
    <w:basedOn w:val="9"/>
    <w:link w:val="3"/>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AE020E-18CB-4112-A283-3AF709DB3A8C}">
  <ds:schemaRefs/>
</ds:datastoreItem>
</file>

<file path=customXml/itemProps3.xml><?xml version="1.0" encoding="utf-8"?>
<ds:datastoreItem xmlns:ds="http://schemas.openxmlformats.org/officeDocument/2006/customXml" ds:itemID="{4F26EFC5-1F44-4F11-9600-D445B22A42ED}">
  <ds:schemaRefs/>
</ds:datastoreItem>
</file>

<file path=customXml/itemProps4.xml><?xml version="1.0" encoding="utf-8"?>
<ds:datastoreItem xmlns:ds="http://schemas.openxmlformats.org/officeDocument/2006/customXml" ds:itemID="{74A69FE7-7938-4EAB-A928-712AA7896861}">
  <ds:schemaRefs/>
</ds:datastoreItem>
</file>

<file path=customXml/itemProps5.xml><?xml version="1.0" encoding="utf-8"?>
<ds:datastoreItem xmlns:ds="http://schemas.openxmlformats.org/officeDocument/2006/customXml" ds:itemID="{2EAF287B-7807-494C-9E30-D8E5C43D149D}">
  <ds:schemaRefs/>
</ds:datastoreItem>
</file>

<file path=customXml/itemProps6.xml><?xml version="1.0" encoding="utf-8"?>
<ds:datastoreItem xmlns:ds="http://schemas.openxmlformats.org/officeDocument/2006/customXml" ds:itemID="{73CEC0C8-75CF-4D15-AF59-FE6BB86A2461}">
  <ds:schemaRefs/>
</ds:datastoreItem>
</file>

<file path=customXml/itemProps7.xml><?xml version="1.0" encoding="utf-8"?>
<ds:datastoreItem xmlns:ds="http://schemas.openxmlformats.org/officeDocument/2006/customXml" ds:itemID="{8880F8D4-4091-4458-BE9F-B48DC46E4CF1}">
  <ds:schemaRefs/>
</ds:datastoreItem>
</file>

<file path=customXml/itemProps8.xml><?xml version="1.0" encoding="utf-8"?>
<ds:datastoreItem xmlns:ds="http://schemas.openxmlformats.org/officeDocument/2006/customXml" ds:itemID="{6125D4AE-9E52-419D-943A-76B4AF0440C9}">
  <ds:schemaRefs/>
</ds:datastoreItem>
</file>

<file path=customXml/itemProps9.xml><?xml version="1.0" encoding="utf-8"?>
<ds:datastoreItem xmlns:ds="http://schemas.openxmlformats.org/officeDocument/2006/customXml" ds:itemID="{44738B91-5262-47FF-9666-9F1E6AFA35EC}">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4</Pages>
  <Words>2115</Words>
  <Characters>2199</Characters>
  <Paragraphs>131</Paragraphs>
  <TotalTime>3</TotalTime>
  <ScaleCrop>false</ScaleCrop>
  <LinksUpToDate>false</LinksUpToDate>
  <CharactersWithSpaces>2242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2018-09-11T21:41:00Z</dcterms:created>
  <dc:creator>Administrator</dc:creator>
  <cp:lastModifiedBy>阿晖</cp:lastModifiedBy>
  <cp:lastPrinted>2020-04-17T03:43:00Z</cp:lastPrinted>
  <dcterms:modified xsi:type="dcterms:W3CDTF">2020-04-26T06:52:07Z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