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u w:val="single"/>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双恒电位仪</w:t>
      </w:r>
      <w:r>
        <w:rPr>
          <w:rFonts w:hint="eastAsia" w:ascii="宋体" w:hAnsi="宋体" w:eastAsia="宋体" w:cs="Times New Roman"/>
          <w:kern w:val="0"/>
          <w:sz w:val="36"/>
          <w:szCs w:val="36"/>
          <w:u w:val="single"/>
          <w:lang w:val="en-US" w:eastAsia="zh-CN"/>
        </w:rPr>
        <w:t xml:space="preserve">  </w:t>
      </w:r>
    </w:p>
    <w:p>
      <w:pPr>
        <w:ind w:firstLine="3510" w:firstLineChars="1000"/>
        <w:rPr>
          <w:rFonts w:ascii="宋体" w:hAnsi="宋体" w:eastAsia="宋体" w:cs="Times New Roman"/>
          <w:kern w:val="0"/>
          <w:sz w:val="36"/>
          <w:szCs w:val="36"/>
        </w:rPr>
      </w:pPr>
      <w:r>
        <w:rPr>
          <w:rFonts w:hint="eastAsia" w:ascii="宋体" w:hAnsi="宋体" w:eastAsia="宋体" w:cs="Times New Roman"/>
          <w:kern w:val="0"/>
          <w:sz w:val="36"/>
          <w:szCs w:val="36"/>
          <w:u w:val="single"/>
          <w:lang w:eastAsia="zh-CN"/>
        </w:rPr>
        <w:t>（电化学分析工作站）</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2021-JL13(03)-W30026</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双恒电位仪（电化学分析工作站）</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2021-JL13(03)-W30026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双恒电位仪（电化学分析工作站）</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2021-JL13(03)-W30026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双恒电位仪（电化学分析工作站）</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8.6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24</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bookmarkStart w:id="27" w:name="_GoBack"/>
      <w:bookmarkEnd w:id="27"/>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24</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7780284"/>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双恒电位仪（电化学分析工作站）</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85612601"/>
      <w:bookmarkStart w:id="11" w:name="_Toc37780285"/>
      <w:bookmarkStart w:id="12" w:name="_Toc390713968"/>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390713969"/>
      <w:bookmarkStart w:id="17" w:name="_Toc435540981"/>
      <w:bookmarkStart w:id="18" w:name="_Toc37780286"/>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240432233"/>
      <w:bookmarkStart w:id="21" w:name="_Toc37172691"/>
      <w:bookmarkStart w:id="22" w:name="_Toc285612604"/>
      <w:bookmarkStart w:id="23" w:name="_Toc37780287"/>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bCs/>
          <w:kern w:val="0"/>
          <w:sz w:val="44"/>
          <w:szCs w:val="44"/>
        </w:rPr>
      </w:pPr>
      <w:r>
        <w:rPr>
          <w:bCs/>
          <w:kern w:val="0"/>
          <w:sz w:val="44"/>
          <w:szCs w:val="44"/>
        </w:rPr>
        <w:t>双恒电位仪（电化学分析工作站）</w:t>
      </w:r>
    </w:p>
    <w:p>
      <w:pPr>
        <w:spacing w:line="520" w:lineRule="exact"/>
        <w:jc w:val="center"/>
        <w:rPr>
          <w:bCs/>
          <w:kern w:val="0"/>
          <w:sz w:val="32"/>
          <w:szCs w:val="32"/>
        </w:rPr>
      </w:pPr>
      <w:r>
        <w:rPr>
          <w:bCs/>
          <w:kern w:val="0"/>
          <w:sz w:val="44"/>
          <w:szCs w:val="44"/>
        </w:rPr>
        <w:t>技术参数确认表</w:t>
      </w:r>
    </w:p>
    <w:tbl>
      <w:tblPr>
        <w:tblStyle w:val="17"/>
        <w:tblW w:w="9087" w:type="dxa"/>
        <w:tblInd w:w="209" w:type="dxa"/>
        <w:tblLayout w:type="fixed"/>
        <w:tblCellMar>
          <w:top w:w="0" w:type="dxa"/>
          <w:left w:w="108" w:type="dxa"/>
          <w:bottom w:w="0" w:type="dxa"/>
          <w:right w:w="108" w:type="dxa"/>
        </w:tblCellMar>
      </w:tblPr>
      <w:tblGrid>
        <w:gridCol w:w="725"/>
        <w:gridCol w:w="2092"/>
        <w:gridCol w:w="5566"/>
        <w:gridCol w:w="704"/>
      </w:tblGrid>
      <w:tr>
        <w:tblPrEx>
          <w:tblCellMar>
            <w:top w:w="0" w:type="dxa"/>
            <w:left w:w="108" w:type="dxa"/>
            <w:bottom w:w="0" w:type="dxa"/>
            <w:right w:w="108" w:type="dxa"/>
          </w:tblCellMar>
        </w:tblPrEx>
        <w:trPr>
          <w:trHeight w:val="824" w:hRule="atLeast"/>
        </w:trPr>
        <w:tc>
          <w:tcPr>
            <w:tcW w:w="72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序号</w:t>
            </w:r>
          </w:p>
        </w:tc>
        <w:tc>
          <w:tcPr>
            <w:tcW w:w="2092"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技术和性能参数名称</w:t>
            </w:r>
          </w:p>
        </w:tc>
        <w:tc>
          <w:tcPr>
            <w:tcW w:w="5566"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技术参数和性能要求</w:t>
            </w:r>
          </w:p>
        </w:tc>
        <w:tc>
          <w:tcPr>
            <w:tcW w:w="704"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eastAsia="幼圆"/>
                <w:b/>
                <w:bCs/>
                <w:kern w:val="0"/>
                <w:sz w:val="20"/>
                <w:szCs w:val="21"/>
              </w:rPr>
            </w:pPr>
            <w:r>
              <w:rPr>
                <w:b/>
                <w:bCs/>
                <w:kern w:val="0"/>
                <w:sz w:val="20"/>
                <w:szCs w:val="21"/>
              </w:rPr>
              <w:t>备注</w:t>
            </w:r>
          </w:p>
        </w:tc>
      </w:tr>
      <w:tr>
        <w:tblPrEx>
          <w:tblCellMar>
            <w:top w:w="0" w:type="dxa"/>
            <w:left w:w="108" w:type="dxa"/>
            <w:bottom w:w="0" w:type="dxa"/>
            <w:right w:w="108" w:type="dxa"/>
          </w:tblCellMar>
        </w:tblPrEx>
        <w:trPr>
          <w:trHeight w:val="844"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1</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设备使用需求</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　</w:t>
            </w:r>
          </w:p>
        </w:tc>
      </w:tr>
      <w:tr>
        <w:tblPrEx>
          <w:tblCellMar>
            <w:top w:w="0" w:type="dxa"/>
            <w:left w:w="108" w:type="dxa"/>
            <w:bottom w:w="0" w:type="dxa"/>
            <w:right w:w="108" w:type="dxa"/>
          </w:tblCellMar>
        </w:tblPrEx>
        <w:trPr>
          <w:trHeight w:val="1038"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1.1</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设备用途</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0"/>
                <w:szCs w:val="21"/>
              </w:rPr>
            </w:pPr>
            <w:r>
              <w:rPr>
                <w:sz w:val="20"/>
                <w:szCs w:val="21"/>
                <w:lang w:bidi="ar"/>
              </w:rPr>
              <w:t>主要用于</w:t>
            </w:r>
            <w:r>
              <w:rPr>
                <w:rFonts w:hint="eastAsia"/>
                <w:sz w:val="20"/>
                <w:szCs w:val="21"/>
                <w:lang w:bidi="ar"/>
              </w:rPr>
              <w:t>基于生物传感技术的药物基因多态性（包括SNP等）、</w:t>
            </w:r>
            <w:r>
              <w:rPr>
                <w:color w:val="000000"/>
                <w:sz w:val="20"/>
                <w:szCs w:val="20"/>
              </w:rPr>
              <w:t>药物</w:t>
            </w:r>
            <w:r>
              <w:rPr>
                <w:rFonts w:hint="eastAsia"/>
                <w:color w:val="000000"/>
                <w:sz w:val="20"/>
                <w:szCs w:val="20"/>
              </w:rPr>
              <w:t>、抗药抗体等</w:t>
            </w:r>
            <w:r>
              <w:rPr>
                <w:color w:val="000000"/>
                <w:sz w:val="20"/>
                <w:szCs w:val="20"/>
              </w:rPr>
              <w:t>检测分析</w:t>
            </w:r>
            <w:r>
              <w:rPr>
                <w:rFonts w:hint="eastAsia"/>
                <w:color w:val="000000"/>
                <w:sz w:val="20"/>
                <w:szCs w:val="20"/>
              </w:rPr>
              <w:t>以及临床病原菌鉴定和快速药敏等</w:t>
            </w:r>
            <w:r>
              <w:rPr>
                <w:color w:val="000000"/>
                <w:sz w:val="20"/>
                <w:szCs w:val="20"/>
              </w:rPr>
              <w:t>研究</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　</w:t>
            </w:r>
          </w:p>
        </w:tc>
      </w:tr>
      <w:tr>
        <w:tblPrEx>
          <w:tblCellMar>
            <w:top w:w="0" w:type="dxa"/>
            <w:left w:w="108" w:type="dxa"/>
            <w:bottom w:w="0" w:type="dxa"/>
            <w:right w:w="108" w:type="dxa"/>
          </w:tblCellMar>
        </w:tblPrEx>
        <w:trPr>
          <w:trHeight w:val="613" w:hRule="atLeast"/>
        </w:trPr>
        <w:tc>
          <w:tcPr>
            <w:tcW w:w="725"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1.2</w:t>
            </w:r>
          </w:p>
        </w:tc>
        <w:tc>
          <w:tcPr>
            <w:tcW w:w="2092"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color w:val="000000"/>
                <w:kern w:val="0"/>
                <w:sz w:val="20"/>
                <w:szCs w:val="21"/>
              </w:rPr>
            </w:pPr>
            <w:r>
              <w:rPr>
                <w:color w:val="000000"/>
                <w:kern w:val="0"/>
                <w:sz w:val="20"/>
                <w:szCs w:val="21"/>
              </w:rPr>
              <w:t>实验对象</w:t>
            </w:r>
          </w:p>
        </w:tc>
        <w:tc>
          <w:tcPr>
            <w:tcW w:w="556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0"/>
                <w:szCs w:val="21"/>
              </w:rPr>
            </w:pPr>
            <w:r>
              <w:rPr>
                <w:rFonts w:hint="eastAsia"/>
                <w:kern w:val="0"/>
                <w:sz w:val="20"/>
                <w:szCs w:val="21"/>
              </w:rPr>
              <w:t>纳米修饰的电极和丝网印刷电极</w:t>
            </w:r>
          </w:p>
        </w:tc>
        <w:tc>
          <w:tcPr>
            <w:tcW w:w="704"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　</w:t>
            </w:r>
          </w:p>
        </w:tc>
      </w:tr>
      <w:tr>
        <w:tblPrEx>
          <w:tblCellMar>
            <w:top w:w="0" w:type="dxa"/>
            <w:left w:w="108" w:type="dxa"/>
            <w:bottom w:w="0" w:type="dxa"/>
            <w:right w:w="108" w:type="dxa"/>
          </w:tblCellMar>
        </w:tblPrEx>
        <w:trPr>
          <w:trHeight w:val="484"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Cs/>
                <w:kern w:val="0"/>
                <w:sz w:val="20"/>
                <w:szCs w:val="21"/>
              </w:rPr>
            </w:pPr>
            <w:r>
              <w:rPr>
                <w:bCs/>
                <w:kern w:val="0"/>
                <w:sz w:val="20"/>
                <w:szCs w:val="21"/>
              </w:rPr>
              <w:t>1.3</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Cs/>
                <w:kern w:val="0"/>
                <w:sz w:val="20"/>
                <w:szCs w:val="21"/>
              </w:rPr>
            </w:pPr>
            <w:r>
              <w:rPr>
                <w:bCs/>
                <w:kern w:val="0"/>
                <w:sz w:val="20"/>
                <w:szCs w:val="21"/>
              </w:rPr>
              <w:t>特殊功能需求</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b/>
                <w:bCs/>
                <w:kern w:val="0"/>
                <w:sz w:val="20"/>
                <w:szCs w:val="21"/>
              </w:rPr>
            </w:pPr>
            <w:r>
              <w:rPr>
                <w:b/>
                <w:bCs/>
                <w:kern w:val="0"/>
                <w:sz w:val="20"/>
                <w:szCs w:val="21"/>
              </w:rPr>
              <w:t>　</w:t>
            </w:r>
          </w:p>
        </w:tc>
      </w:tr>
      <w:tr>
        <w:tblPrEx>
          <w:tblCellMar>
            <w:top w:w="0" w:type="dxa"/>
            <w:left w:w="108" w:type="dxa"/>
            <w:bottom w:w="0" w:type="dxa"/>
            <w:right w:w="108" w:type="dxa"/>
          </w:tblCellMar>
        </w:tblPrEx>
        <w:trPr>
          <w:trHeight w:val="99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kern w:val="0"/>
                <w:sz w:val="20"/>
                <w:szCs w:val="21"/>
              </w:rPr>
            </w:pPr>
            <w:r>
              <w:rPr>
                <w:b/>
                <w:kern w:val="0"/>
                <w:sz w:val="20"/>
                <w:szCs w:val="21"/>
              </w:rPr>
              <w:t>2</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主要技术参数</w:t>
            </w:r>
            <w:r>
              <w:rPr>
                <w:b/>
                <w:bCs/>
                <w:kern w:val="0"/>
                <w:sz w:val="20"/>
                <w:szCs w:val="21"/>
              </w:rPr>
              <w:br w:type="textWrapping"/>
            </w:r>
            <w:r>
              <w:rPr>
                <w:b/>
                <w:bCs/>
                <w:kern w:val="0"/>
                <w:sz w:val="20"/>
                <w:szCs w:val="21"/>
              </w:rPr>
              <w:t>（一行只写一个参数）</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　</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　</w:t>
            </w:r>
          </w:p>
        </w:tc>
      </w:tr>
      <w:tr>
        <w:tblPrEx>
          <w:tblCellMar>
            <w:top w:w="0" w:type="dxa"/>
            <w:left w:w="108" w:type="dxa"/>
            <w:bottom w:w="0" w:type="dxa"/>
            <w:right w:w="108" w:type="dxa"/>
          </w:tblCellMar>
        </w:tblPrEx>
        <w:trPr>
          <w:trHeight w:val="1437"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2.1</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★参数1</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rFonts w:hint="eastAsia"/>
                <w:sz w:val="20"/>
                <w:szCs w:val="21"/>
              </w:rPr>
            </w:pPr>
            <w:r>
              <w:rPr>
                <w:rFonts w:hint="eastAsia"/>
                <w:sz w:val="20"/>
                <w:szCs w:val="21"/>
              </w:rPr>
              <w:t>三/四电极结构；</w:t>
            </w:r>
          </w:p>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rFonts w:hint="eastAsia"/>
                <w:sz w:val="20"/>
                <w:szCs w:val="21"/>
              </w:rPr>
            </w:pPr>
            <w:r>
              <w:rPr>
                <w:rFonts w:hint="eastAsia"/>
                <w:sz w:val="20"/>
                <w:szCs w:val="21"/>
              </w:rPr>
              <w:t>两个通道最大电位：±10V；</w:t>
            </w:r>
          </w:p>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rFonts w:hint="eastAsia"/>
                <w:sz w:val="20"/>
                <w:szCs w:val="21"/>
              </w:rPr>
            </w:pPr>
            <w:r>
              <w:rPr>
                <w:rFonts w:hint="eastAsia"/>
                <w:sz w:val="20"/>
                <w:szCs w:val="21"/>
              </w:rPr>
              <w:t>测量电流范围：±12pA~±0.25A，12量程；最大电流：±250mA连续，±350mA峰值；</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16"/>
                <w:szCs w:val="16"/>
              </w:rPr>
            </w:pPr>
          </w:p>
        </w:tc>
      </w:tr>
      <w:tr>
        <w:tblPrEx>
          <w:tblCellMar>
            <w:top w:w="0" w:type="dxa"/>
            <w:left w:w="108" w:type="dxa"/>
            <w:bottom w:w="0" w:type="dxa"/>
            <w:right w:w="108" w:type="dxa"/>
          </w:tblCellMar>
        </w:tblPrEx>
        <w:trPr>
          <w:trHeight w:val="999"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2.2</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★参数2</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sz w:val="20"/>
                <w:szCs w:val="20"/>
              </w:rPr>
            </w:pPr>
            <w:r>
              <w:rPr>
                <w:sz w:val="20"/>
                <w:szCs w:val="20"/>
              </w:rPr>
              <w:t>CV和LSV扫描速度：0.00</w:t>
            </w:r>
            <w:r>
              <w:rPr>
                <w:rFonts w:hint="eastAsia"/>
                <w:sz w:val="20"/>
                <w:szCs w:val="20"/>
              </w:rPr>
              <w:t>0</w:t>
            </w:r>
            <w:r>
              <w:rPr>
                <w:sz w:val="20"/>
                <w:szCs w:val="20"/>
              </w:rPr>
              <w:t>1</w:t>
            </w:r>
            <w:r>
              <w:rPr>
                <w:rFonts w:hint="eastAsia"/>
                <w:sz w:val="20"/>
                <w:szCs w:val="20"/>
              </w:rPr>
              <w:t>m</w:t>
            </w:r>
            <w:r>
              <w:rPr>
                <w:sz w:val="20"/>
                <w:szCs w:val="20"/>
              </w:rPr>
              <w:t>V/s至10,000V/s，双通道同步扫描及采样至10,000V/s；</w:t>
            </w:r>
          </w:p>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sz w:val="20"/>
                <w:szCs w:val="20"/>
              </w:rPr>
            </w:pPr>
            <w:r>
              <w:rPr>
                <w:sz w:val="20"/>
                <w:szCs w:val="20"/>
              </w:rPr>
              <w:t>扫描时的电位增量：CA和i-t的最小采样间隔：1ms，双通道同步；</w:t>
            </w:r>
          </w:p>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rFonts w:hint="eastAsia"/>
                <w:sz w:val="20"/>
                <w:szCs w:val="20"/>
              </w:rPr>
            </w:pPr>
            <w:r>
              <w:rPr>
                <w:rFonts w:hint="eastAsia"/>
                <w:sz w:val="20"/>
                <w:szCs w:val="20"/>
              </w:rPr>
              <w:t>SWV频率：1~100kHz；</w:t>
            </w:r>
          </w:p>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sz w:val="20"/>
                <w:szCs w:val="20"/>
              </w:rPr>
            </w:pPr>
            <w:r>
              <w:rPr>
                <w:sz w:val="20"/>
                <w:szCs w:val="20"/>
              </w:rPr>
              <w:t>交流阻抗：0.00001</w:t>
            </w:r>
            <w:r>
              <w:rPr>
                <w:rFonts w:hint="eastAsia"/>
                <w:sz w:val="20"/>
                <w:szCs w:val="20"/>
              </w:rPr>
              <w:t>~</w:t>
            </w:r>
            <w:r>
              <w:rPr>
                <w:sz w:val="20"/>
                <w:szCs w:val="20"/>
              </w:rPr>
              <w:t>1MHz；含有交流阻抗数字模拟器和拟合程序；</w:t>
            </w:r>
          </w:p>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sz w:val="20"/>
                <w:szCs w:val="20"/>
              </w:rPr>
            </w:pPr>
            <w:r>
              <w:rPr>
                <w:sz w:val="20"/>
                <w:szCs w:val="20"/>
              </w:rPr>
              <w:t>电解池控制：通氮，搅拌；</w:t>
            </w:r>
          </w:p>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sz w:val="20"/>
                <w:szCs w:val="21"/>
              </w:rPr>
            </w:pPr>
            <w:r>
              <w:rPr>
                <w:sz w:val="20"/>
                <w:szCs w:val="20"/>
              </w:rPr>
              <w:t>旋转电极控制电压输出：0-10V对用于0-10000rpm的转速</w:t>
            </w:r>
            <w:r>
              <w:rPr>
                <w:rFonts w:hint="eastAsia"/>
                <w:sz w:val="20"/>
                <w:szCs w:val="20"/>
              </w:rPr>
              <w:t>达到不低于0.001%的准确度</w:t>
            </w:r>
            <w:r>
              <w:rPr>
                <w:sz w:val="20"/>
                <w:szCs w:val="20"/>
              </w:rPr>
              <w:t>；</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20"/>
                <w:szCs w:val="21"/>
              </w:rPr>
            </w:pPr>
          </w:p>
        </w:tc>
      </w:tr>
      <w:tr>
        <w:tblPrEx>
          <w:tblCellMar>
            <w:top w:w="0" w:type="dxa"/>
            <w:left w:w="108" w:type="dxa"/>
            <w:bottom w:w="0" w:type="dxa"/>
            <w:right w:w="108" w:type="dxa"/>
          </w:tblCellMar>
        </w:tblPrEx>
        <w:trPr>
          <w:trHeight w:val="958"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2.3</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bookmarkStart w:id="26" w:name="_Hlk536390667"/>
            <w:r>
              <w:rPr>
                <w:kern w:val="0"/>
                <w:sz w:val="20"/>
                <w:szCs w:val="21"/>
              </w:rPr>
              <w:t>参数</w:t>
            </w:r>
            <w:bookmarkEnd w:id="26"/>
            <w:r>
              <w:rPr>
                <w:kern w:val="0"/>
                <w:sz w:val="20"/>
                <w:szCs w:val="21"/>
              </w:rPr>
              <w:t>3</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sz w:val="20"/>
                <w:szCs w:val="21"/>
              </w:rPr>
            </w:pPr>
            <w:r>
              <w:rPr>
                <w:sz w:val="20"/>
                <w:szCs w:val="21"/>
              </w:rPr>
              <w:t>波形和数据：信号发生更新速率：10MHz，16位分辨，双通道同步采样；</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kern w:val="0"/>
                <w:sz w:val="16"/>
                <w:szCs w:val="16"/>
              </w:rPr>
            </w:pPr>
          </w:p>
        </w:tc>
      </w:tr>
      <w:tr>
        <w:tblPrEx>
          <w:tblCellMar>
            <w:top w:w="0" w:type="dxa"/>
            <w:left w:w="108" w:type="dxa"/>
            <w:bottom w:w="0" w:type="dxa"/>
            <w:right w:w="108" w:type="dxa"/>
          </w:tblCellMar>
        </w:tblPrEx>
        <w:trPr>
          <w:trHeight w:val="1199"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2.4</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kern w:val="0"/>
                <w:sz w:val="20"/>
                <w:szCs w:val="21"/>
              </w:rPr>
              <w:t>参数4</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sz w:val="20"/>
                <w:szCs w:val="21"/>
              </w:rPr>
            </w:pPr>
            <w:r>
              <w:rPr>
                <w:sz w:val="20"/>
                <w:szCs w:val="21"/>
                <w:shd w:val="clear" w:color="auto" w:fill="FFFFFF"/>
              </w:rPr>
              <w:t>必备功能：循环伏安法，线性扫描伏安法，阶梯波伏安法，计时电流法，计时电量法，差分脉冲伏安法，方波伏安法，傅里叶变换交流伏安法，电流-时间曲线，差分脉冲电流检测，电位溶出分析，开路电压-时间曲线，计时电位法，电位溶出分析，交流阻抗测量，电化学噪声测量等测定功能模块。</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16"/>
                <w:szCs w:val="16"/>
              </w:rPr>
            </w:pPr>
          </w:p>
        </w:tc>
      </w:tr>
      <w:tr>
        <w:tblPrEx>
          <w:tblCellMar>
            <w:top w:w="0" w:type="dxa"/>
            <w:left w:w="108" w:type="dxa"/>
            <w:bottom w:w="0" w:type="dxa"/>
            <w:right w:w="108" w:type="dxa"/>
          </w:tblCellMar>
        </w:tblPrEx>
        <w:trPr>
          <w:trHeight w:val="81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kern w:val="0"/>
                <w:sz w:val="20"/>
                <w:szCs w:val="21"/>
              </w:rPr>
            </w:pPr>
            <w:r>
              <w:rPr>
                <w:b/>
                <w:kern w:val="0"/>
                <w:sz w:val="20"/>
                <w:szCs w:val="21"/>
              </w:rPr>
              <w:t>3</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配置需求</w:t>
            </w:r>
            <w:r>
              <w:rPr>
                <w:b/>
                <w:bCs/>
                <w:kern w:val="0"/>
                <w:sz w:val="20"/>
                <w:szCs w:val="21"/>
              </w:rPr>
              <w:br w:type="textWrapping"/>
            </w:r>
            <w:r>
              <w:rPr>
                <w:b/>
                <w:bCs/>
                <w:kern w:val="0"/>
                <w:sz w:val="20"/>
                <w:szCs w:val="21"/>
              </w:rPr>
              <w:t>（一行只写一个配置）</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ind w:left="357" w:firstLine="360"/>
              <w:textAlignment w:val="auto"/>
              <w:rPr>
                <w:sz w:val="20"/>
                <w:szCs w:val="21"/>
              </w:rPr>
            </w:pP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23"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3.1</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配置1</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rFonts w:hint="eastAsia"/>
                <w:sz w:val="20"/>
                <w:szCs w:val="21"/>
                <w:shd w:val="clear" w:color="auto" w:fill="FFFFFF"/>
              </w:rPr>
            </w:pPr>
            <w:r>
              <w:rPr>
                <w:sz w:val="20"/>
                <w:szCs w:val="21"/>
                <w:shd w:val="clear" w:color="auto" w:fill="FFFFFF"/>
              </w:rPr>
              <w:t>主机1台</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17"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3.2</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配置2</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00" w:lineRule="atLeast"/>
              <w:textAlignment w:val="auto"/>
              <w:rPr>
                <w:sz w:val="20"/>
                <w:szCs w:val="21"/>
                <w:shd w:val="clear" w:color="auto" w:fill="FFFFFF"/>
              </w:rPr>
            </w:pPr>
            <w:r>
              <w:rPr>
                <w:sz w:val="20"/>
                <w:szCs w:val="21"/>
                <w:shd w:val="clear" w:color="auto" w:fill="FFFFFF"/>
              </w:rPr>
              <w:t>皮安微电流放大器和屏蔽箱</w:t>
            </w:r>
            <w:r>
              <w:rPr>
                <w:rFonts w:hint="eastAsia"/>
                <w:sz w:val="20"/>
                <w:szCs w:val="21"/>
                <w:shd w:val="clear" w:color="auto" w:fill="FFFFFF"/>
              </w:rPr>
              <w:t>，</w:t>
            </w:r>
            <w:r>
              <w:rPr>
                <w:sz w:val="20"/>
                <w:szCs w:val="21"/>
                <w:shd w:val="clear" w:color="auto" w:fill="FFFFFF"/>
              </w:rPr>
              <w:t>1套</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06"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kern w:val="0"/>
                <w:sz w:val="20"/>
                <w:szCs w:val="21"/>
              </w:rPr>
            </w:pPr>
            <w:r>
              <w:rPr>
                <w:kern w:val="0"/>
                <w:sz w:val="20"/>
                <w:szCs w:val="21"/>
              </w:rPr>
              <w:t>3.3</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配置3</w:t>
            </w:r>
          </w:p>
        </w:tc>
        <w:tc>
          <w:tcPr>
            <w:tcW w:w="5566" w:type="dxa"/>
            <w:tcBorders>
              <w:top w:val="nil"/>
              <w:left w:val="nil"/>
              <w:bottom w:val="single" w:color="auto" w:sz="4" w:space="0"/>
              <w:right w:val="single" w:color="auto" w:sz="4" w:space="0"/>
            </w:tcBorders>
            <w:noWrap w:val="0"/>
            <w:vAlign w:val="center"/>
          </w:tcPr>
          <w:p>
            <w:pPr>
              <w:pStyle w:val="46"/>
              <w:keepNext w:val="0"/>
              <w:keepLines w:val="0"/>
              <w:pageBreakBefore w:val="0"/>
              <w:widowControl/>
              <w:kinsoku/>
              <w:wordWrap/>
              <w:overflowPunct/>
              <w:topLinePunct w:val="0"/>
              <w:autoSpaceDE/>
              <w:autoSpaceDN/>
              <w:bidi w:val="0"/>
              <w:adjustRightInd/>
              <w:snapToGrid/>
              <w:spacing w:line="200" w:lineRule="atLeast"/>
              <w:ind w:firstLine="0" w:firstLineChars="0"/>
              <w:textAlignment w:val="auto"/>
              <w:rPr>
                <w:rFonts w:ascii="Times New Roman" w:hAnsi="Times New Roman" w:eastAsia="宋体"/>
                <w:sz w:val="22"/>
                <w:szCs w:val="22"/>
                <w:shd w:val="clear" w:color="auto" w:fill="FFFFFF"/>
              </w:rPr>
            </w:pPr>
            <w:r>
              <w:rPr>
                <w:rFonts w:ascii="Times New Roman" w:hAnsi="Times New Roman" w:eastAsia="宋体"/>
                <w:kern w:val="0"/>
                <w:sz w:val="22"/>
                <w:szCs w:val="22"/>
              </w:rPr>
              <w:t>PC主机（显卡兼用性佳，</w:t>
            </w:r>
            <w:r>
              <w:rPr>
                <w:rFonts w:hint="eastAsia" w:ascii="Times New Roman" w:hAnsi="Times New Roman" w:eastAsia="宋体"/>
                <w:sz w:val="22"/>
                <w:szCs w:val="22"/>
              </w:rPr>
              <w:t>WIN7或10操作系统，CPU</w:t>
            </w:r>
            <w:r>
              <w:rPr>
                <w:rFonts w:ascii="Times New Roman" w:hAnsi="Times New Roman" w:eastAsia="宋体"/>
                <w:kern w:val="0"/>
                <w:sz w:val="22"/>
                <w:szCs w:val="22"/>
              </w:rPr>
              <w:t>处理器intel i5八代以上，内存≥4G，固态硬盘240G以上</w:t>
            </w:r>
            <w:r>
              <w:rPr>
                <w:rFonts w:hint="eastAsia" w:ascii="Times New Roman" w:hAnsi="Times New Roman" w:eastAsia="宋体"/>
                <w:kern w:val="0"/>
                <w:sz w:val="22"/>
                <w:szCs w:val="22"/>
              </w:rPr>
              <w:t>和/或</w:t>
            </w:r>
            <w:r>
              <w:rPr>
                <w:rFonts w:ascii="Times New Roman" w:hAnsi="Times New Roman" w:eastAsia="宋体"/>
                <w:kern w:val="0"/>
                <w:sz w:val="22"/>
                <w:szCs w:val="22"/>
              </w:rPr>
              <w:t>机械硬盘1TB及以上），1台</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kern w:val="0"/>
                <w:sz w:val="20"/>
                <w:szCs w:val="21"/>
              </w:rPr>
            </w:pPr>
          </w:p>
        </w:tc>
      </w:tr>
      <w:tr>
        <w:tblPrEx>
          <w:tblCellMar>
            <w:top w:w="0" w:type="dxa"/>
            <w:left w:w="108" w:type="dxa"/>
            <w:bottom w:w="0" w:type="dxa"/>
            <w:right w:w="108" w:type="dxa"/>
          </w:tblCellMar>
        </w:tblPrEx>
        <w:trPr>
          <w:trHeight w:val="575"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4</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r>
              <w:rPr>
                <w:b/>
                <w:bCs/>
                <w:kern w:val="0"/>
                <w:sz w:val="20"/>
                <w:szCs w:val="21"/>
              </w:rPr>
              <w:t>售后服务</w:t>
            </w:r>
          </w:p>
        </w:tc>
        <w:tc>
          <w:tcPr>
            <w:tcW w:w="5566" w:type="dxa"/>
            <w:tcBorders>
              <w:top w:val="nil"/>
              <w:left w:val="nil"/>
              <w:bottom w:val="single" w:color="auto" w:sz="4" w:space="0"/>
              <w:right w:val="single" w:color="auto" w:sz="4" w:space="0"/>
            </w:tcBorders>
            <w:noWrap w:val="0"/>
            <w:vAlign w:val="center"/>
          </w:tcPr>
          <w:p>
            <w:pPr>
              <w:pStyle w:val="46"/>
              <w:keepNext w:val="0"/>
              <w:keepLines w:val="0"/>
              <w:pageBreakBefore w:val="0"/>
              <w:widowControl/>
              <w:kinsoku/>
              <w:wordWrap/>
              <w:overflowPunct/>
              <w:topLinePunct w:val="0"/>
              <w:autoSpaceDE/>
              <w:autoSpaceDN/>
              <w:bidi w:val="0"/>
              <w:adjustRightInd/>
              <w:snapToGrid/>
              <w:spacing w:line="200" w:lineRule="atLeast"/>
              <w:ind w:firstLine="0" w:firstLineChars="0"/>
              <w:textAlignment w:val="auto"/>
              <w:rPr>
                <w:rFonts w:ascii="Times New Roman" w:hAnsi="Times New Roman"/>
                <w:sz w:val="20"/>
                <w:szCs w:val="21"/>
              </w:rPr>
            </w:pP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b/>
                <w:bCs/>
                <w:kern w:val="0"/>
                <w:sz w:val="20"/>
                <w:szCs w:val="21"/>
              </w:rPr>
            </w:pPr>
          </w:p>
        </w:tc>
      </w:tr>
      <w:tr>
        <w:tblPrEx>
          <w:tblCellMar>
            <w:top w:w="0" w:type="dxa"/>
            <w:left w:w="108" w:type="dxa"/>
            <w:bottom w:w="0" w:type="dxa"/>
            <w:right w:w="108" w:type="dxa"/>
          </w:tblCellMar>
        </w:tblPrEx>
        <w:trPr>
          <w:trHeight w:val="429"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4.1</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保修年限</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kern w:val="0"/>
                <w:sz w:val="20"/>
                <w:szCs w:val="21"/>
              </w:rPr>
              <w:t>≥3年</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1255"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4.2</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出现故障回应时间</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kern w:val="0"/>
                <w:sz w:val="20"/>
                <w:szCs w:val="21"/>
              </w:rPr>
            </w:pPr>
            <w:r>
              <w:rPr>
                <w:kern w:val="0"/>
                <w:sz w:val="20"/>
                <w:szCs w:val="21"/>
              </w:rPr>
              <w:t>维修到达现场时间≤</w:t>
            </w:r>
            <w:r>
              <w:rPr>
                <w:rFonts w:hint="eastAsia"/>
                <w:kern w:val="0"/>
                <w:sz w:val="20"/>
                <w:szCs w:val="21"/>
              </w:rPr>
              <w:t>6</w:t>
            </w:r>
            <w:r>
              <w:rPr>
                <w:kern w:val="0"/>
                <w:sz w:val="20"/>
                <w:szCs w:val="21"/>
              </w:rPr>
              <w:t>小时（本地）</w:t>
            </w:r>
          </w:p>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kern w:val="0"/>
                <w:sz w:val="20"/>
                <w:szCs w:val="21"/>
              </w:rPr>
              <w:t>维修到达现场时间≤24小时（外地</w:t>
            </w:r>
            <w:r>
              <w:rPr>
                <w:rFonts w:hint="eastAsia"/>
                <w:kern w:val="0"/>
                <w:sz w:val="20"/>
                <w:szCs w:val="21"/>
              </w:rPr>
              <w:t>）</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3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4.3</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维修支持</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kern w:val="0"/>
                <w:sz w:val="20"/>
                <w:szCs w:val="21"/>
              </w:rPr>
              <w:t>配件供应时间≥10年</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3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4.4</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耗材及零配件</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sz w:val="20"/>
                <w:szCs w:val="21"/>
              </w:rPr>
              <w:t>提供耗材及主要零配件目录（含报价）</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3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4.5</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维修资料</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kern w:val="0"/>
                <w:sz w:val="20"/>
                <w:szCs w:val="21"/>
              </w:rPr>
              <w:t>提供详细操作手册、维修保养手册、安装手册等</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3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4.6</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维修工具</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1053"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4.7</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预防性维修</w:t>
            </w:r>
            <w:r>
              <w:rPr>
                <w:kern w:val="0"/>
                <w:sz w:val="20"/>
                <w:szCs w:val="21"/>
              </w:rPr>
              <w:br w:type="textWrapping"/>
            </w:r>
            <w:r>
              <w:rPr>
                <w:kern w:val="0"/>
                <w:sz w:val="20"/>
                <w:szCs w:val="21"/>
              </w:rPr>
              <w:t>/定期维护保养</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kern w:val="0"/>
                <w:sz w:val="20"/>
                <w:szCs w:val="21"/>
              </w:rPr>
              <w:t>保修期内提供定期维护保养服务</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3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4.8</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维修密码支持</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kern w:val="0"/>
                <w:sz w:val="20"/>
                <w:szCs w:val="21"/>
              </w:rPr>
              <w:t>开放</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3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4.9</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升级</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kern w:val="0"/>
                <w:sz w:val="20"/>
                <w:szCs w:val="21"/>
              </w:rPr>
              <w:t>终身免费软件升级</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3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4.10</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使用培训</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sz w:val="20"/>
                <w:szCs w:val="21"/>
              </w:rPr>
              <w:t>支持</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r>
        <w:tblPrEx>
          <w:tblCellMar>
            <w:top w:w="0" w:type="dxa"/>
            <w:left w:w="108" w:type="dxa"/>
            <w:bottom w:w="0" w:type="dxa"/>
            <w:right w:w="108" w:type="dxa"/>
          </w:tblCellMar>
        </w:tblPrEx>
        <w:trPr>
          <w:trHeight w:val="630" w:hRule="atLeast"/>
        </w:trPr>
        <w:tc>
          <w:tcPr>
            <w:tcW w:w="72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4.11</w:t>
            </w:r>
          </w:p>
        </w:tc>
        <w:tc>
          <w:tcPr>
            <w:tcW w:w="2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r>
              <w:rPr>
                <w:kern w:val="0"/>
                <w:sz w:val="20"/>
                <w:szCs w:val="21"/>
              </w:rPr>
              <w:t>工程师培训</w:t>
            </w:r>
          </w:p>
        </w:tc>
        <w:tc>
          <w:tcPr>
            <w:tcW w:w="5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sz w:val="20"/>
                <w:szCs w:val="21"/>
              </w:rPr>
            </w:pPr>
            <w:r>
              <w:rPr>
                <w:sz w:val="20"/>
                <w:szCs w:val="21"/>
              </w:rPr>
              <w:t>支持</w:t>
            </w:r>
          </w:p>
        </w:tc>
        <w:tc>
          <w:tcPr>
            <w:tcW w:w="704"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kern w:val="0"/>
                <w:sz w:val="20"/>
                <w:szCs w:val="21"/>
              </w:rPr>
            </w:pPr>
          </w:p>
        </w:tc>
      </w:tr>
    </w:tbl>
    <w:p>
      <w:pPr>
        <w:keepNext w:val="0"/>
        <w:keepLines w:val="0"/>
        <w:pageBreakBefore w:val="0"/>
        <w:kinsoku/>
        <w:wordWrap/>
        <w:overflowPunct/>
        <w:topLinePunct w:val="0"/>
        <w:autoSpaceDE/>
        <w:autoSpaceDN/>
        <w:bidi w:val="0"/>
        <w:spacing w:line="240" w:lineRule="atLeast"/>
        <w:jc w:val="center"/>
        <w:textAlignment w:val="auto"/>
        <w:rPr>
          <w:sz w:val="20"/>
          <w:szCs w:val="21"/>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8D1"/>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0116"/>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1900088"/>
    <w:rsid w:val="16771E6C"/>
    <w:rsid w:val="1F1C3038"/>
    <w:rsid w:val="48ED6FEB"/>
    <w:rsid w:val="65E422FF"/>
    <w:rsid w:val="727B2297"/>
    <w:rsid w:val="7A663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23258</Words>
  <Characters>4548</Characters>
  <Lines>37</Lines>
  <Paragraphs>55</Paragraphs>
  <TotalTime>2</TotalTime>
  <ScaleCrop>false</ScaleCrop>
  <LinksUpToDate>false</LinksUpToDate>
  <CharactersWithSpaces>27751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2021-02-08T11:03:00Z</dcterms:created>
  <dc:creator>Administrator</dc:creator>
  <cp:lastModifiedBy>150----7325</cp:lastModifiedBy>
  <cp:lastPrinted>2020-10-12T06:44:00Z</cp:lastPrinted>
  <dcterms:modified xsi:type="dcterms:W3CDTF">2021-02-20T08:58:02Z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