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29D" w:rsidRPr="00B1129D" w:rsidRDefault="00B1129D" w:rsidP="00B1129D">
      <w:pPr>
        <w:widowControl w:val="0"/>
        <w:spacing w:after="0" w:line="440" w:lineRule="exact"/>
        <w:jc w:val="center"/>
        <w:rPr>
          <w:rFonts w:ascii="宋体" w:eastAsia="宋体" w:hAnsi="宋体" w:cs="宋体"/>
          <w:bCs/>
          <w:sz w:val="32"/>
          <w:szCs w:val="32"/>
        </w:rPr>
      </w:pPr>
      <w:r w:rsidRPr="00B1129D">
        <w:rPr>
          <w:rFonts w:ascii="宋体" w:eastAsia="宋体" w:hAnsi="宋体" w:cs="宋体" w:hint="eastAsia"/>
          <w:bCs/>
          <w:sz w:val="32"/>
          <w:szCs w:val="32"/>
        </w:rPr>
        <w:t>X射线质量评估系统技术要求</w:t>
      </w:r>
    </w:p>
    <w:tbl>
      <w:tblPr>
        <w:tblW w:w="932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227"/>
        <w:gridCol w:w="4267"/>
        <w:gridCol w:w="2126"/>
      </w:tblGrid>
      <w:tr w:rsidR="00B1129D" w:rsidRPr="00B1129D" w:rsidTr="00B8302F">
        <w:trPr>
          <w:trHeight w:val="824"/>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b/>
                <w:bCs/>
                <w:kern w:val="2"/>
                <w:sz w:val="21"/>
                <w:szCs w:val="21"/>
              </w:rPr>
            </w:pPr>
            <w:r w:rsidRPr="00B1129D">
              <w:rPr>
                <w:rFonts w:ascii="宋体" w:eastAsia="宋体" w:hAnsi="宋体" w:cs="宋体" w:hint="eastAsia"/>
                <w:b/>
                <w:bCs/>
                <w:kern w:val="2"/>
                <w:sz w:val="21"/>
                <w:szCs w:val="21"/>
              </w:rPr>
              <w:t>序号</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b/>
                <w:bCs/>
                <w:kern w:val="2"/>
                <w:sz w:val="21"/>
                <w:szCs w:val="21"/>
              </w:rPr>
            </w:pPr>
            <w:r w:rsidRPr="00B1129D">
              <w:rPr>
                <w:rFonts w:ascii="宋体" w:eastAsia="宋体" w:hAnsi="宋体" w:cs="宋体" w:hint="eastAsia"/>
                <w:b/>
                <w:bCs/>
                <w:kern w:val="2"/>
                <w:sz w:val="21"/>
                <w:szCs w:val="21"/>
              </w:rPr>
              <w:t>技术和性能参数名称</w:t>
            </w:r>
          </w:p>
        </w:tc>
        <w:tc>
          <w:tcPr>
            <w:tcW w:w="4267" w:type="dxa"/>
            <w:vAlign w:val="center"/>
            <w:hideMark/>
          </w:tcPr>
          <w:p w:rsidR="00B1129D" w:rsidRPr="00B1129D" w:rsidRDefault="00B1129D" w:rsidP="00B1129D">
            <w:pPr>
              <w:widowControl w:val="0"/>
              <w:spacing w:after="0" w:line="360" w:lineRule="atLeast"/>
              <w:jc w:val="center"/>
              <w:rPr>
                <w:rFonts w:ascii="宋体" w:eastAsia="宋体" w:hAnsi="宋体" w:cs="宋体"/>
                <w:b/>
                <w:bCs/>
                <w:kern w:val="2"/>
                <w:sz w:val="21"/>
                <w:szCs w:val="21"/>
              </w:rPr>
            </w:pPr>
            <w:r w:rsidRPr="00B1129D">
              <w:rPr>
                <w:rFonts w:ascii="宋体" w:eastAsia="宋体" w:hAnsi="宋体" w:cs="宋体" w:hint="eastAsia"/>
                <w:b/>
                <w:bCs/>
                <w:kern w:val="2"/>
                <w:sz w:val="21"/>
                <w:szCs w:val="21"/>
              </w:rPr>
              <w:t>技术参数和性能要求</w:t>
            </w:r>
          </w:p>
        </w:tc>
        <w:tc>
          <w:tcPr>
            <w:tcW w:w="2126" w:type="dxa"/>
            <w:vAlign w:val="center"/>
            <w:hideMark/>
          </w:tcPr>
          <w:p w:rsidR="00B1129D" w:rsidRPr="00B1129D" w:rsidRDefault="00B1129D" w:rsidP="00B1129D">
            <w:pPr>
              <w:widowControl w:val="0"/>
              <w:spacing w:after="0" w:line="360" w:lineRule="atLeast"/>
              <w:jc w:val="center"/>
              <w:rPr>
                <w:rFonts w:ascii="宋体" w:eastAsia="宋体" w:hAnsi="宋体" w:cs="宋体"/>
                <w:b/>
                <w:bCs/>
                <w:kern w:val="2"/>
                <w:sz w:val="21"/>
                <w:szCs w:val="21"/>
              </w:rPr>
            </w:pPr>
            <w:r w:rsidRPr="00B1129D">
              <w:rPr>
                <w:rFonts w:ascii="宋体" w:eastAsia="宋体" w:hAnsi="宋体" w:cs="宋体" w:hint="eastAsia"/>
                <w:b/>
                <w:bCs/>
                <w:kern w:val="2"/>
                <w:sz w:val="21"/>
                <w:szCs w:val="21"/>
              </w:rPr>
              <w:t>备注</w:t>
            </w:r>
          </w:p>
        </w:tc>
      </w:tr>
      <w:tr w:rsidR="00B1129D" w:rsidRPr="00B1129D" w:rsidTr="00B8302F">
        <w:trPr>
          <w:trHeight w:val="512"/>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1</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设备使用需求</w:t>
            </w:r>
          </w:p>
        </w:tc>
        <w:tc>
          <w:tcPr>
            <w:tcW w:w="4267" w:type="dxa"/>
            <w:vAlign w:val="center"/>
          </w:tcPr>
          <w:p w:rsidR="00B1129D" w:rsidRPr="00B1129D" w:rsidRDefault="00B1129D" w:rsidP="00B1129D">
            <w:pPr>
              <w:widowControl w:val="0"/>
              <w:spacing w:after="0" w:line="360" w:lineRule="atLeast"/>
              <w:jc w:val="both"/>
              <w:rPr>
                <w:rFonts w:ascii="宋体" w:eastAsia="宋体" w:hAnsi="宋体" w:cs="宋体"/>
                <w:kern w:val="2"/>
                <w:sz w:val="21"/>
                <w:szCs w:val="21"/>
              </w:rPr>
            </w:pP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1038"/>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1.1</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设备用途</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主要用于计量、校准、质控检测医用拍片机、透视机、牙科机、全景牙科机、牙科CT机、CR机、DR机、小型便携式X光机、DSA（数字减影系统）、10种以上不同靶材的乳腺机、扫描乳腺机、CT机等医疗设备。</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990"/>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主要技术参数</w:t>
            </w:r>
            <w:bookmarkStart w:id="0" w:name="_GoBack"/>
            <w:bookmarkEnd w:id="0"/>
          </w:p>
        </w:tc>
        <w:tc>
          <w:tcPr>
            <w:tcW w:w="4267"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1039"/>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2.1</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★参数1</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SURVER（散漏射线）探头：量程</w:t>
            </w:r>
            <w:r w:rsidRPr="00B1129D">
              <w:rPr>
                <w:rFonts w:ascii="宋体" w:eastAsia="宋体" w:hAnsi="宋体" w:cs="宋体" w:hint="eastAsia"/>
                <w:kern w:val="2"/>
                <w:sz w:val="21"/>
                <w:szCs w:val="21"/>
                <w:lang w:val="el-GR"/>
              </w:rPr>
              <w:t>0 μ</w:t>
            </w:r>
            <w:r w:rsidRPr="00B1129D">
              <w:rPr>
                <w:rFonts w:ascii="宋体" w:eastAsia="宋体" w:hAnsi="宋体" w:cs="宋体" w:hint="eastAsia"/>
                <w:kern w:val="2"/>
                <w:sz w:val="21"/>
                <w:szCs w:val="21"/>
              </w:rPr>
              <w:t>Sv/h – 150mSv/h，不确定度：10%。</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1058"/>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2.2</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★参数2</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CR\DR普放探头：剂量率量程1nGy/s-9999mGy/s，不确定度5 %</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hRule="exact" w:val="1317"/>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2.3</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★参数3</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CT探头：剂量率量程</w:t>
            </w:r>
            <w:r w:rsidRPr="00B1129D">
              <w:rPr>
                <w:rFonts w:ascii="宋体" w:eastAsia="宋体" w:hAnsi="宋体" w:cs="宋体" w:hint="eastAsia"/>
                <w:kern w:val="2"/>
                <w:sz w:val="21"/>
                <w:szCs w:val="21"/>
                <w:lang w:val="el-GR"/>
              </w:rPr>
              <w:t>20 μ</w:t>
            </w:r>
            <w:r w:rsidRPr="00B1129D">
              <w:rPr>
                <w:rFonts w:ascii="宋体" w:eastAsia="宋体" w:hAnsi="宋体" w:cs="宋体" w:hint="eastAsia"/>
                <w:kern w:val="2"/>
                <w:sz w:val="21"/>
                <w:szCs w:val="21"/>
              </w:rPr>
              <w:t>Gy/s – 250mGy/s，不确定度5 %</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1202"/>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2.4</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★参数4</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MAM乳腺探头：曝光时间：1 ms – 999 s 分辨率：0.1 ms</w:t>
            </w:r>
          </w:p>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不确定度0.5%。</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983"/>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2.5</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★参数5</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光探头：亮度量程0.05 – 50 000 cd/m2；光探头为国家一级光度计，具备一级CPA证书。</w:t>
            </w:r>
          </w:p>
        </w:tc>
        <w:tc>
          <w:tcPr>
            <w:tcW w:w="2126"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910"/>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2.6</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参数6</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主机可分别与普放探头、CT探头、乳腺探头搭配使用，主机可在线升级主机软件，不必返厂，探头可独立校准。</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1125"/>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2.7</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参数7</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一次曝光多个参数可同时获得:最大值，平均值，实际峰值电压，剂量，剂量率，曝光时间，半值层。曝光后，通过触摸屏平板工作站以及专用质控软件，实现无线传输数据，测量结果直接显示在平板工作站上。</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853"/>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lastRenderedPageBreak/>
              <w:t>2.8</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参数8</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主机具有USB接口、网络接口，可以远程进行软件升级和故障诊断。具备外置USB蓝牙适配器（数据传输距离更长），同时也可以蓝牙适配器相匹配。</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523"/>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2.9</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参数9</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主机能自动保存10000次以上曝光数据，不会因通讯故障而丢失，配备专业数据处理软件，用于显示存储分析检测数据、波形，生成测试报告，并可以通过蓝牙无线连接或有线连接与主机进行实时通讯与双向控制。主机具有自检测功能和检测指导功能。</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hRule="exact" w:val="668"/>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2.10</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参数10</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CR\DR普放探头：</w:t>
            </w:r>
          </w:p>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千伏值：40-150 kVp ，不确定度2%</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417"/>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2.11</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参数11</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半值层：1 – 14 mm Al，不确定度10 %</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270"/>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2.12</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参数12</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曝光时间：1ms-999s，不确定度0.5%或0.1ms</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348"/>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2.13</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参数13</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CT探头：</w:t>
            </w:r>
          </w:p>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 xml:space="preserve">剂量长度CTDI:100 </w:t>
            </w:r>
            <w:r w:rsidRPr="00B1129D">
              <w:rPr>
                <w:rFonts w:ascii="宋体" w:eastAsia="宋体" w:hAnsi="宋体" w:cs="宋体" w:hint="eastAsia"/>
                <w:kern w:val="2"/>
                <w:sz w:val="21"/>
                <w:szCs w:val="21"/>
                <w:lang w:val="el-GR"/>
              </w:rPr>
              <w:t>μ</w:t>
            </w:r>
            <w:r w:rsidRPr="00B1129D">
              <w:rPr>
                <w:rFonts w:ascii="宋体" w:eastAsia="宋体" w:hAnsi="宋体" w:cs="宋体" w:hint="eastAsia"/>
                <w:kern w:val="2"/>
                <w:sz w:val="21"/>
                <w:szCs w:val="21"/>
              </w:rPr>
              <w:t>Gycm - 9999 Gycm，不确定度5%</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383"/>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2.14</w:t>
            </w:r>
          </w:p>
        </w:tc>
        <w:tc>
          <w:tcPr>
            <w:tcW w:w="2227" w:type="dxa"/>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参数14</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千伏值：80 -150kV，不确定度2%</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327"/>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2.15</w:t>
            </w:r>
          </w:p>
        </w:tc>
        <w:tc>
          <w:tcPr>
            <w:tcW w:w="2227" w:type="dxa"/>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参数15</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能量响应5%，径向均匀性± 2 %，轴向均匀性± 3 %,</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393"/>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2.16</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参数16</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MAM乳腺探头：千伏值：20- 40 kVp ，</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473"/>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2.17</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参数17</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半值层：0.2 – 3.6 mm Al，不确定度10%</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296"/>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2.18</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参数18</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剂量量程</w:t>
            </w:r>
            <w:r w:rsidRPr="00B1129D">
              <w:rPr>
                <w:rFonts w:ascii="宋体" w:eastAsia="宋体" w:hAnsi="宋体" w:cs="宋体" w:hint="eastAsia"/>
                <w:kern w:val="2"/>
                <w:sz w:val="21"/>
                <w:szCs w:val="21"/>
                <w:lang w:val="el-GR"/>
              </w:rPr>
              <w:t>1 μ</w:t>
            </w:r>
            <w:r w:rsidRPr="00B1129D">
              <w:rPr>
                <w:rFonts w:ascii="宋体" w:eastAsia="宋体" w:hAnsi="宋体" w:cs="宋体" w:hint="eastAsia"/>
                <w:kern w:val="2"/>
                <w:sz w:val="21"/>
                <w:szCs w:val="21"/>
              </w:rPr>
              <w:t>Gy – 9999 Gy，不确定度5 %</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462"/>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2.19</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参数19</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光探头：照度量程 (自动) 0.05 – 50 000 lux，不确定度3%</w:t>
            </w:r>
          </w:p>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余弦角响应最大误差1.7 %</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387"/>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2.20</w:t>
            </w:r>
          </w:p>
        </w:tc>
        <w:tc>
          <w:tcPr>
            <w:tcW w:w="2227" w:type="dxa"/>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参数20</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散漏射线探头：响应时间：0.01s，</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750"/>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3</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配置需求</w:t>
            </w:r>
          </w:p>
        </w:tc>
        <w:tc>
          <w:tcPr>
            <w:tcW w:w="4267" w:type="dxa"/>
            <w:vAlign w:val="center"/>
          </w:tcPr>
          <w:p w:rsidR="00B1129D" w:rsidRPr="00B1129D" w:rsidRDefault="00B1129D" w:rsidP="00B1129D">
            <w:pPr>
              <w:widowControl w:val="0"/>
              <w:spacing w:after="0" w:line="360" w:lineRule="atLeast"/>
              <w:jc w:val="both"/>
              <w:rPr>
                <w:rFonts w:ascii="宋体" w:eastAsia="宋体" w:hAnsi="宋体" w:cs="宋体"/>
                <w:kern w:val="2"/>
                <w:sz w:val="21"/>
                <w:szCs w:val="21"/>
              </w:rPr>
            </w:pP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hRule="exact" w:val="537"/>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3.1</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配置1</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主机及探头一套</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hRule="exact" w:val="573"/>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3.2</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配置2</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支架一套</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hRule="exact" w:val="435"/>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 xml:space="preserve">3.3 </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配置3</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蓝牙适配器一个</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hRule="exact" w:val="413"/>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3.4</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配置4</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电源适配器一个</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hRule="exact" w:val="566"/>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lastRenderedPageBreak/>
              <w:t>3.5</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配置5</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真空吸盘一个</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hRule="exact" w:val="410"/>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3.6</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配置6</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1米USB数据线一根</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hRule="exact" w:val="437"/>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3.7</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配置7</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5米USB数据线一根</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hRule="exact" w:val="576"/>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3.8</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配置8</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5米USB数据延长线一根</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hRule="exact" w:val="557"/>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3.9</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配置9</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专业质控软件一套</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hRule="exact" w:val="579"/>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3.10</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配置10</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平板电脑一台</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hRule="exact" w:val="431"/>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3.11</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配置11</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便携箱一个</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hRule="exact" w:val="439"/>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3.12</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配置12</w:t>
            </w:r>
          </w:p>
        </w:tc>
        <w:tc>
          <w:tcPr>
            <w:tcW w:w="4267" w:type="dxa"/>
            <w:vAlign w:val="center"/>
            <w:hideMark/>
          </w:tcPr>
          <w:p w:rsidR="00B1129D" w:rsidRPr="00B1129D" w:rsidRDefault="00B1129D" w:rsidP="00B1129D">
            <w:pPr>
              <w:widowControl w:val="0"/>
              <w:spacing w:after="0" w:line="360" w:lineRule="atLeast"/>
              <w:jc w:val="both"/>
              <w:rPr>
                <w:rFonts w:ascii="宋体" w:eastAsia="宋体" w:hAnsi="宋体" w:cs="宋体"/>
                <w:kern w:val="2"/>
                <w:sz w:val="21"/>
                <w:szCs w:val="21"/>
              </w:rPr>
            </w:pPr>
            <w:r w:rsidRPr="00B1129D">
              <w:rPr>
                <w:rFonts w:ascii="宋体" w:eastAsia="宋体" w:hAnsi="宋体" w:cs="宋体" w:hint="eastAsia"/>
                <w:kern w:val="2"/>
                <w:sz w:val="21"/>
                <w:szCs w:val="21"/>
              </w:rPr>
              <w:t>设备检定证书一套</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373"/>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4</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售后服务</w:t>
            </w:r>
          </w:p>
        </w:tc>
        <w:tc>
          <w:tcPr>
            <w:tcW w:w="4267" w:type="dxa"/>
            <w:vAlign w:val="center"/>
          </w:tcPr>
          <w:p w:rsidR="00B1129D" w:rsidRPr="00B1129D" w:rsidRDefault="00B1129D" w:rsidP="00B1129D">
            <w:pPr>
              <w:widowControl w:val="0"/>
              <w:spacing w:after="0" w:line="360" w:lineRule="atLeast"/>
              <w:jc w:val="both"/>
              <w:rPr>
                <w:rFonts w:ascii="宋体" w:eastAsia="宋体" w:hAnsi="宋体" w:cs="宋体"/>
                <w:kern w:val="2"/>
                <w:sz w:val="21"/>
                <w:szCs w:val="21"/>
              </w:rPr>
            </w:pP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407"/>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4.1</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保修年限</w:t>
            </w:r>
          </w:p>
        </w:tc>
        <w:tc>
          <w:tcPr>
            <w:tcW w:w="4267" w:type="dxa"/>
            <w:vAlign w:val="center"/>
            <w:hideMark/>
          </w:tcPr>
          <w:p w:rsidR="00B1129D" w:rsidRPr="00B1129D" w:rsidRDefault="00B1129D" w:rsidP="00B1129D">
            <w:pPr>
              <w:widowControl w:val="0"/>
              <w:spacing w:after="0" w:line="360" w:lineRule="atLeast"/>
              <w:rPr>
                <w:rFonts w:ascii="宋体" w:eastAsia="宋体" w:hAnsi="宋体" w:cs="宋体"/>
                <w:kern w:val="2"/>
                <w:sz w:val="21"/>
                <w:szCs w:val="21"/>
              </w:rPr>
            </w:pPr>
            <w:r w:rsidRPr="00B1129D">
              <w:rPr>
                <w:rFonts w:ascii="宋体" w:eastAsia="宋体" w:hAnsi="宋体" w:cs="宋体" w:hint="eastAsia"/>
                <w:kern w:val="2"/>
                <w:sz w:val="21"/>
                <w:szCs w:val="21"/>
              </w:rPr>
              <w:t>≥3年</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609"/>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4.2</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出现故障回应时间</w:t>
            </w:r>
          </w:p>
        </w:tc>
        <w:tc>
          <w:tcPr>
            <w:tcW w:w="4267" w:type="dxa"/>
            <w:vAlign w:val="center"/>
            <w:hideMark/>
          </w:tcPr>
          <w:p w:rsidR="00B1129D" w:rsidRPr="00B1129D" w:rsidRDefault="00B1129D" w:rsidP="00B1129D">
            <w:pPr>
              <w:widowControl w:val="0"/>
              <w:spacing w:after="0" w:line="360" w:lineRule="atLeast"/>
              <w:rPr>
                <w:rFonts w:ascii="宋体" w:eastAsia="宋体" w:hAnsi="宋体" w:cs="宋体"/>
                <w:kern w:val="2"/>
                <w:sz w:val="21"/>
                <w:szCs w:val="21"/>
              </w:rPr>
            </w:pPr>
            <w:r w:rsidRPr="00B1129D">
              <w:rPr>
                <w:rFonts w:ascii="宋体" w:eastAsia="宋体" w:hAnsi="宋体" w:cs="宋体" w:hint="eastAsia"/>
                <w:kern w:val="2"/>
                <w:sz w:val="21"/>
                <w:szCs w:val="21"/>
              </w:rPr>
              <w:t>维修到达现场时间≤6小时（本地）</w:t>
            </w:r>
            <w:r w:rsidRPr="00B1129D">
              <w:rPr>
                <w:rFonts w:ascii="宋体" w:eastAsia="宋体" w:hAnsi="宋体" w:cs="宋体" w:hint="eastAsia"/>
                <w:kern w:val="2"/>
                <w:sz w:val="21"/>
                <w:szCs w:val="21"/>
              </w:rPr>
              <w:br/>
              <w:t>维修到达现场时间≤24小时（外地）</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351"/>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4.3</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维修支持</w:t>
            </w:r>
          </w:p>
        </w:tc>
        <w:tc>
          <w:tcPr>
            <w:tcW w:w="4267" w:type="dxa"/>
            <w:vAlign w:val="center"/>
            <w:hideMark/>
          </w:tcPr>
          <w:p w:rsidR="00B1129D" w:rsidRPr="00B1129D" w:rsidRDefault="00B1129D" w:rsidP="00B1129D">
            <w:pPr>
              <w:widowControl w:val="0"/>
              <w:spacing w:after="0" w:line="360" w:lineRule="atLeast"/>
              <w:rPr>
                <w:rFonts w:ascii="宋体" w:eastAsia="宋体" w:hAnsi="宋体" w:cs="宋体"/>
                <w:kern w:val="2"/>
                <w:sz w:val="21"/>
                <w:szCs w:val="21"/>
              </w:rPr>
            </w:pPr>
            <w:r w:rsidRPr="00B1129D">
              <w:rPr>
                <w:rFonts w:ascii="宋体" w:eastAsia="宋体" w:hAnsi="宋体" w:cs="宋体" w:hint="eastAsia"/>
                <w:kern w:val="2"/>
                <w:sz w:val="21"/>
                <w:szCs w:val="21"/>
              </w:rPr>
              <w:t>配件供应时间≥10年</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284"/>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4.4</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出现故障回应时间</w:t>
            </w:r>
          </w:p>
        </w:tc>
        <w:tc>
          <w:tcPr>
            <w:tcW w:w="4267" w:type="dxa"/>
            <w:vAlign w:val="center"/>
            <w:hideMark/>
          </w:tcPr>
          <w:p w:rsidR="00B1129D" w:rsidRPr="00B1129D" w:rsidRDefault="00B1129D" w:rsidP="00B1129D">
            <w:pPr>
              <w:widowControl w:val="0"/>
              <w:spacing w:after="0" w:line="360" w:lineRule="atLeast"/>
              <w:rPr>
                <w:rFonts w:ascii="宋体" w:eastAsia="宋体" w:hAnsi="宋体" w:cs="宋体"/>
                <w:kern w:val="2"/>
                <w:sz w:val="21"/>
                <w:szCs w:val="21"/>
              </w:rPr>
            </w:pPr>
            <w:r w:rsidRPr="00B1129D">
              <w:rPr>
                <w:rFonts w:ascii="宋体" w:eastAsia="宋体" w:hAnsi="宋体" w:cs="宋体" w:hint="eastAsia"/>
                <w:kern w:val="2"/>
                <w:sz w:val="21"/>
                <w:szCs w:val="21"/>
              </w:rPr>
              <w:t>维修到达现场时间≤ 2小时</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233"/>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4.5</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耗材及零配件</w:t>
            </w:r>
          </w:p>
        </w:tc>
        <w:tc>
          <w:tcPr>
            <w:tcW w:w="4267" w:type="dxa"/>
            <w:vAlign w:val="center"/>
            <w:hideMark/>
          </w:tcPr>
          <w:p w:rsidR="00B1129D" w:rsidRPr="00B1129D" w:rsidRDefault="00B1129D" w:rsidP="00B1129D">
            <w:pPr>
              <w:widowControl w:val="0"/>
              <w:spacing w:after="0" w:line="360" w:lineRule="atLeast"/>
              <w:rPr>
                <w:rFonts w:ascii="宋体" w:eastAsia="宋体" w:hAnsi="宋体" w:cs="宋体"/>
                <w:kern w:val="2"/>
                <w:sz w:val="21"/>
                <w:szCs w:val="21"/>
              </w:rPr>
            </w:pPr>
            <w:r w:rsidRPr="00B1129D">
              <w:rPr>
                <w:rFonts w:ascii="宋体" w:eastAsia="宋体" w:hAnsi="宋体" w:cs="宋体" w:hint="eastAsia"/>
                <w:kern w:val="2"/>
                <w:sz w:val="21"/>
                <w:szCs w:val="21"/>
              </w:rPr>
              <w:t>提供耗材及主要零配件目录（含报价）</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351"/>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4.6</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维修资料</w:t>
            </w:r>
          </w:p>
        </w:tc>
        <w:tc>
          <w:tcPr>
            <w:tcW w:w="4267" w:type="dxa"/>
            <w:vAlign w:val="center"/>
            <w:hideMark/>
          </w:tcPr>
          <w:p w:rsidR="00B1129D" w:rsidRPr="00B1129D" w:rsidRDefault="00B1129D" w:rsidP="00B1129D">
            <w:pPr>
              <w:widowControl w:val="0"/>
              <w:spacing w:after="0" w:line="360" w:lineRule="atLeast"/>
              <w:rPr>
                <w:rFonts w:ascii="宋体" w:eastAsia="宋体" w:hAnsi="宋体" w:cs="宋体"/>
                <w:kern w:val="2"/>
                <w:sz w:val="21"/>
                <w:szCs w:val="21"/>
              </w:rPr>
            </w:pPr>
            <w:r w:rsidRPr="00B1129D">
              <w:rPr>
                <w:rFonts w:ascii="宋体" w:eastAsia="宋体" w:hAnsi="宋体" w:cs="宋体" w:hint="eastAsia"/>
                <w:kern w:val="2"/>
                <w:sz w:val="21"/>
                <w:szCs w:val="21"/>
              </w:rPr>
              <w:t>提供详细操作手册、维修保养手册、安装手册等</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271"/>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4.7</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维修工具</w:t>
            </w:r>
          </w:p>
        </w:tc>
        <w:tc>
          <w:tcPr>
            <w:tcW w:w="4267" w:type="dxa"/>
            <w:vAlign w:val="center"/>
            <w:hideMark/>
          </w:tcPr>
          <w:p w:rsidR="00B1129D" w:rsidRPr="00B1129D" w:rsidRDefault="00B1129D" w:rsidP="00B1129D">
            <w:pPr>
              <w:widowControl w:val="0"/>
              <w:spacing w:after="0" w:line="360" w:lineRule="atLeast"/>
              <w:rPr>
                <w:rFonts w:ascii="宋体" w:eastAsia="宋体" w:hAnsi="宋体" w:cs="宋体"/>
                <w:kern w:val="2"/>
                <w:sz w:val="21"/>
                <w:szCs w:val="21"/>
              </w:rPr>
            </w:pPr>
            <w:r w:rsidRPr="00B1129D">
              <w:rPr>
                <w:rFonts w:ascii="宋体" w:eastAsia="宋体" w:hAnsi="宋体" w:cs="宋体" w:hint="eastAsia"/>
                <w:kern w:val="2"/>
                <w:sz w:val="21"/>
                <w:szCs w:val="21"/>
              </w:rPr>
              <w:t>提供维修专用工具1套</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389"/>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4.8</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预防性维修</w:t>
            </w:r>
            <w:r w:rsidRPr="00B1129D">
              <w:rPr>
                <w:rFonts w:ascii="宋体" w:eastAsia="宋体" w:hAnsi="宋体" w:cs="宋体" w:hint="eastAsia"/>
                <w:kern w:val="2"/>
                <w:sz w:val="21"/>
                <w:szCs w:val="21"/>
              </w:rPr>
              <w:br/>
              <w:t>/定期维护保养</w:t>
            </w:r>
          </w:p>
        </w:tc>
        <w:tc>
          <w:tcPr>
            <w:tcW w:w="4267" w:type="dxa"/>
            <w:vAlign w:val="center"/>
            <w:hideMark/>
          </w:tcPr>
          <w:p w:rsidR="00B1129D" w:rsidRPr="00B1129D" w:rsidRDefault="00B1129D" w:rsidP="00B1129D">
            <w:pPr>
              <w:widowControl w:val="0"/>
              <w:spacing w:after="0" w:line="360" w:lineRule="atLeast"/>
              <w:rPr>
                <w:rFonts w:ascii="宋体" w:eastAsia="宋体" w:hAnsi="宋体" w:cs="宋体"/>
                <w:kern w:val="2"/>
                <w:sz w:val="21"/>
                <w:szCs w:val="21"/>
              </w:rPr>
            </w:pPr>
            <w:r w:rsidRPr="00B1129D">
              <w:rPr>
                <w:rFonts w:ascii="宋体" w:eastAsia="宋体" w:hAnsi="宋体" w:cs="宋体" w:hint="eastAsia"/>
                <w:kern w:val="2"/>
                <w:sz w:val="21"/>
                <w:szCs w:val="21"/>
              </w:rPr>
              <w:t>保修期内提供定期维护保养服务方案</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313"/>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4.9</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维修密码支持</w:t>
            </w:r>
          </w:p>
        </w:tc>
        <w:tc>
          <w:tcPr>
            <w:tcW w:w="4267" w:type="dxa"/>
            <w:vAlign w:val="center"/>
            <w:hideMark/>
          </w:tcPr>
          <w:p w:rsidR="00B1129D" w:rsidRPr="00B1129D" w:rsidRDefault="00B1129D" w:rsidP="00B1129D">
            <w:pPr>
              <w:widowControl w:val="0"/>
              <w:spacing w:after="0" w:line="360" w:lineRule="atLeast"/>
              <w:rPr>
                <w:rFonts w:ascii="宋体" w:eastAsia="宋体" w:hAnsi="宋体" w:cs="宋体"/>
                <w:kern w:val="2"/>
                <w:sz w:val="21"/>
                <w:szCs w:val="21"/>
              </w:rPr>
            </w:pPr>
            <w:r w:rsidRPr="00B1129D">
              <w:rPr>
                <w:rFonts w:ascii="宋体" w:eastAsia="宋体" w:hAnsi="宋体" w:cs="宋体" w:hint="eastAsia"/>
                <w:kern w:val="2"/>
                <w:sz w:val="21"/>
                <w:szCs w:val="21"/>
              </w:rPr>
              <w:t>开放</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274"/>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4.10</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升级</w:t>
            </w:r>
          </w:p>
        </w:tc>
        <w:tc>
          <w:tcPr>
            <w:tcW w:w="4267" w:type="dxa"/>
            <w:vAlign w:val="center"/>
            <w:hideMark/>
          </w:tcPr>
          <w:p w:rsidR="00B1129D" w:rsidRPr="00B1129D" w:rsidRDefault="00B1129D" w:rsidP="00B1129D">
            <w:pPr>
              <w:widowControl w:val="0"/>
              <w:spacing w:after="0" w:line="360" w:lineRule="atLeast"/>
              <w:rPr>
                <w:rFonts w:ascii="宋体" w:eastAsia="宋体" w:hAnsi="宋体" w:cs="宋体"/>
                <w:kern w:val="2"/>
                <w:sz w:val="21"/>
                <w:szCs w:val="21"/>
              </w:rPr>
            </w:pPr>
            <w:r w:rsidRPr="00B1129D">
              <w:rPr>
                <w:rFonts w:ascii="宋体" w:eastAsia="宋体" w:hAnsi="宋体" w:cs="宋体" w:hint="eastAsia"/>
                <w:kern w:val="2"/>
                <w:sz w:val="21"/>
                <w:szCs w:val="21"/>
              </w:rPr>
              <w:t>终身免费软件升级</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281"/>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4.11</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使用培训</w:t>
            </w:r>
          </w:p>
        </w:tc>
        <w:tc>
          <w:tcPr>
            <w:tcW w:w="4267" w:type="dxa"/>
            <w:vAlign w:val="center"/>
            <w:hideMark/>
          </w:tcPr>
          <w:p w:rsidR="00B1129D" w:rsidRPr="00B1129D" w:rsidRDefault="00B1129D" w:rsidP="00B1129D">
            <w:pPr>
              <w:widowControl w:val="0"/>
              <w:spacing w:after="0" w:line="360" w:lineRule="atLeast"/>
              <w:rPr>
                <w:rFonts w:ascii="宋体" w:eastAsia="宋体" w:hAnsi="宋体" w:cs="宋体"/>
                <w:kern w:val="2"/>
                <w:sz w:val="21"/>
                <w:szCs w:val="21"/>
              </w:rPr>
            </w:pPr>
            <w:r w:rsidRPr="00B1129D">
              <w:rPr>
                <w:rFonts w:ascii="宋体" w:eastAsia="宋体" w:hAnsi="宋体" w:cs="宋体" w:hint="eastAsia"/>
                <w:kern w:val="2"/>
                <w:sz w:val="21"/>
                <w:szCs w:val="21"/>
              </w:rPr>
              <w:t>支持</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r w:rsidR="00B1129D" w:rsidRPr="00B1129D" w:rsidTr="00B8302F">
        <w:trPr>
          <w:trHeight w:val="385"/>
          <w:jc w:val="center"/>
        </w:trPr>
        <w:tc>
          <w:tcPr>
            <w:tcW w:w="709"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4.12</w:t>
            </w:r>
          </w:p>
        </w:tc>
        <w:tc>
          <w:tcPr>
            <w:tcW w:w="2227" w:type="dxa"/>
            <w:vAlign w:val="center"/>
            <w:hideMark/>
          </w:tcPr>
          <w:p w:rsidR="00B1129D" w:rsidRPr="00B1129D" w:rsidRDefault="00B1129D" w:rsidP="00B1129D">
            <w:pPr>
              <w:widowControl w:val="0"/>
              <w:spacing w:after="0" w:line="360" w:lineRule="atLeast"/>
              <w:jc w:val="center"/>
              <w:rPr>
                <w:rFonts w:ascii="宋体" w:eastAsia="宋体" w:hAnsi="宋体" w:cs="宋体"/>
                <w:kern w:val="2"/>
                <w:sz w:val="21"/>
                <w:szCs w:val="21"/>
              </w:rPr>
            </w:pPr>
            <w:r w:rsidRPr="00B1129D">
              <w:rPr>
                <w:rFonts w:ascii="宋体" w:eastAsia="宋体" w:hAnsi="宋体" w:cs="宋体" w:hint="eastAsia"/>
                <w:kern w:val="2"/>
                <w:sz w:val="21"/>
                <w:szCs w:val="21"/>
              </w:rPr>
              <w:t>工程师培训</w:t>
            </w:r>
          </w:p>
        </w:tc>
        <w:tc>
          <w:tcPr>
            <w:tcW w:w="4267" w:type="dxa"/>
            <w:vAlign w:val="center"/>
            <w:hideMark/>
          </w:tcPr>
          <w:p w:rsidR="00B1129D" w:rsidRPr="00B1129D" w:rsidRDefault="00B1129D" w:rsidP="00B1129D">
            <w:pPr>
              <w:widowControl w:val="0"/>
              <w:spacing w:after="0" w:line="360" w:lineRule="atLeast"/>
              <w:rPr>
                <w:rFonts w:ascii="宋体" w:eastAsia="宋体" w:hAnsi="宋体" w:cs="宋体"/>
                <w:kern w:val="2"/>
                <w:sz w:val="21"/>
                <w:szCs w:val="21"/>
              </w:rPr>
            </w:pPr>
            <w:r w:rsidRPr="00B1129D">
              <w:rPr>
                <w:rFonts w:ascii="宋体" w:eastAsia="宋体" w:hAnsi="宋体" w:cs="宋体" w:hint="eastAsia"/>
                <w:kern w:val="2"/>
                <w:sz w:val="21"/>
                <w:szCs w:val="21"/>
              </w:rPr>
              <w:t>支持</w:t>
            </w:r>
          </w:p>
        </w:tc>
        <w:tc>
          <w:tcPr>
            <w:tcW w:w="2126" w:type="dxa"/>
            <w:vAlign w:val="center"/>
          </w:tcPr>
          <w:p w:rsidR="00B1129D" w:rsidRPr="00B1129D" w:rsidRDefault="00B1129D" w:rsidP="00B1129D">
            <w:pPr>
              <w:widowControl w:val="0"/>
              <w:spacing w:after="0" w:line="360" w:lineRule="atLeast"/>
              <w:jc w:val="center"/>
              <w:rPr>
                <w:rFonts w:ascii="宋体" w:eastAsia="宋体" w:hAnsi="宋体" w:cs="宋体"/>
                <w:kern w:val="2"/>
                <w:sz w:val="21"/>
                <w:szCs w:val="21"/>
              </w:rPr>
            </w:pP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3EF" w:rsidRDefault="002933EF" w:rsidP="00B1129D">
      <w:pPr>
        <w:spacing w:after="0"/>
      </w:pPr>
      <w:r>
        <w:separator/>
      </w:r>
    </w:p>
  </w:endnote>
  <w:endnote w:type="continuationSeparator" w:id="0">
    <w:p w:rsidR="002933EF" w:rsidRDefault="002933EF" w:rsidP="00B1129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3EF" w:rsidRDefault="002933EF" w:rsidP="00B1129D">
      <w:pPr>
        <w:spacing w:after="0"/>
      </w:pPr>
      <w:r>
        <w:separator/>
      </w:r>
    </w:p>
  </w:footnote>
  <w:footnote w:type="continuationSeparator" w:id="0">
    <w:p w:rsidR="002933EF" w:rsidRDefault="002933EF" w:rsidP="00B1129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933EF"/>
    <w:rsid w:val="00323B43"/>
    <w:rsid w:val="003D37D8"/>
    <w:rsid w:val="00426133"/>
    <w:rsid w:val="004358AB"/>
    <w:rsid w:val="008B7726"/>
    <w:rsid w:val="00B1129D"/>
    <w:rsid w:val="00D31D50"/>
    <w:rsid w:val="00F41D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129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1129D"/>
    <w:rPr>
      <w:rFonts w:ascii="Tahoma" w:hAnsi="Tahoma"/>
      <w:sz w:val="18"/>
      <w:szCs w:val="18"/>
    </w:rPr>
  </w:style>
  <w:style w:type="paragraph" w:styleId="a4">
    <w:name w:val="footer"/>
    <w:basedOn w:val="a"/>
    <w:link w:val="Char0"/>
    <w:uiPriority w:val="99"/>
    <w:semiHidden/>
    <w:unhideWhenUsed/>
    <w:rsid w:val="00B1129D"/>
    <w:pPr>
      <w:tabs>
        <w:tab w:val="center" w:pos="4153"/>
        <w:tab w:val="right" w:pos="8306"/>
      </w:tabs>
    </w:pPr>
    <w:rPr>
      <w:sz w:val="18"/>
      <w:szCs w:val="18"/>
    </w:rPr>
  </w:style>
  <w:style w:type="character" w:customStyle="1" w:styleId="Char0">
    <w:name w:val="页脚 Char"/>
    <w:basedOn w:val="a0"/>
    <w:link w:val="a4"/>
    <w:uiPriority w:val="99"/>
    <w:semiHidden/>
    <w:rsid w:val="00B1129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2020-09-04T01:03:00Z</dcterms:modified>
</cp:coreProperties>
</file>