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全自动台式灭菌器</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2021-JL13(03)-W30100</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全自动台式灭菌器</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2021-JL13(03)-W30100</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全自动台式灭菌器</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2021-JL13(03)-W30100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全自动台式灭菌器</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13.5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bookmarkStart w:id="26" w:name="_GoBack"/>
      <w:bookmarkEnd w:id="26"/>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全自动台式灭菌器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37780285"/>
      <w:bookmarkStart w:id="11" w:name="_Toc285612601"/>
      <w:bookmarkStart w:id="12" w:name="_Toc435540980"/>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全自动台式灭菌器技术要求</w:t>
      </w:r>
    </w:p>
    <w:tbl>
      <w:tblPr>
        <w:tblStyle w:val="17"/>
        <w:tblW w:w="90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
        <w:gridCol w:w="2248"/>
        <w:gridCol w:w="5345"/>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tblHeader/>
          <w:jc w:val="center"/>
        </w:trPr>
        <w:tc>
          <w:tcPr>
            <w:tcW w:w="770" w:type="dxa"/>
            <w:tcBorders>
              <w:top w:val="single" w:color="000000" w:sz="8" w:space="0"/>
              <w:left w:val="single" w:color="000000" w:sz="8" w:space="0"/>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序号</w:t>
            </w:r>
          </w:p>
        </w:tc>
        <w:tc>
          <w:tcPr>
            <w:tcW w:w="2248" w:type="dxa"/>
            <w:tcBorders>
              <w:top w:val="single" w:color="000000" w:sz="8" w:space="0"/>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技术和性能参数</w:t>
            </w:r>
          </w:p>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名称</w:t>
            </w:r>
          </w:p>
        </w:tc>
        <w:tc>
          <w:tcPr>
            <w:tcW w:w="5345" w:type="dxa"/>
            <w:tcBorders>
              <w:top w:val="single" w:color="000000" w:sz="8" w:space="0"/>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技术参数和性能要求</w:t>
            </w:r>
          </w:p>
        </w:tc>
        <w:tc>
          <w:tcPr>
            <w:tcW w:w="724" w:type="dxa"/>
            <w:tcBorders>
              <w:top w:val="single" w:color="000000" w:sz="8" w:space="0"/>
              <w:left w:val="nil"/>
              <w:bottom w:val="single" w:color="000000" w:sz="4" w:space="0"/>
              <w:right w:val="single" w:color="000000" w:sz="8"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1</w:t>
            </w:r>
          </w:p>
        </w:tc>
        <w:tc>
          <w:tcPr>
            <w:tcW w:w="2248"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设备使用需求</w:t>
            </w:r>
          </w:p>
        </w:tc>
        <w:tc>
          <w:tcPr>
            <w:tcW w:w="5345"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asciiTheme="minorEastAsia" w:hAnsiTheme="minorEastAsia"/>
                <w:kern w:val="0"/>
                <w:szCs w:val="21"/>
              </w:rPr>
              <w:t>无</w:t>
            </w:r>
          </w:p>
        </w:tc>
        <w:tc>
          <w:tcPr>
            <w:tcW w:w="724" w:type="dxa"/>
            <w:tcBorders>
              <w:top w:val="nil"/>
              <w:left w:val="nil"/>
              <w:bottom w:val="single" w:color="000000" w:sz="4" w:space="0"/>
              <w:right w:val="single" w:color="000000" w:sz="8"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8"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1.1</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设备用途</w:t>
            </w:r>
          </w:p>
        </w:tc>
        <w:tc>
          <w:tcPr>
            <w:tcW w:w="5345" w:type="dxa"/>
            <w:tcBorders>
              <w:top w:val="nil"/>
              <w:left w:val="nil"/>
              <w:bottom w:val="single" w:color="000000" w:sz="4" w:space="0"/>
              <w:right w:val="single" w:color="000000" w:sz="4" w:space="0"/>
            </w:tcBorders>
            <w:vAlign w:val="center"/>
          </w:tcPr>
          <w:p>
            <w:pPr>
              <w:ind w:left="76" w:leftChars="38"/>
              <w:rPr>
                <w:rStyle w:val="51"/>
                <w:rFonts w:asciiTheme="minorEastAsia" w:hAnsiTheme="minorEastAsia"/>
                <w:kern w:val="0"/>
                <w:szCs w:val="21"/>
              </w:rPr>
            </w:pPr>
            <w:r>
              <w:rPr>
                <w:rStyle w:val="51"/>
                <w:rFonts w:asciiTheme="minorEastAsia" w:hAnsiTheme="minorEastAsia"/>
                <w:kern w:val="0"/>
                <w:szCs w:val="21"/>
              </w:rPr>
              <w:t>以压力蒸汽为介质的全自动高温高压快速灭菌设备。可以更快速彻底地对手术器械进行消毒灭菌。</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770" w:type="dxa"/>
            <w:tcBorders>
              <w:top w:val="single" w:color="000000" w:sz="4" w:space="0"/>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1.2</w:t>
            </w:r>
          </w:p>
        </w:tc>
        <w:tc>
          <w:tcPr>
            <w:tcW w:w="2248" w:type="dxa"/>
            <w:tcBorders>
              <w:top w:val="single" w:color="000000" w:sz="4" w:space="0"/>
              <w:left w:val="nil"/>
              <w:bottom w:val="single" w:color="000000" w:sz="4" w:space="0"/>
              <w:right w:val="single" w:color="000000" w:sz="4" w:space="0"/>
            </w:tcBorders>
            <w:vAlign w:val="center"/>
          </w:tcPr>
          <w:p>
            <w:pPr>
              <w:jc w:val="center"/>
              <w:rPr>
                <w:rStyle w:val="51"/>
                <w:rFonts w:asciiTheme="minorEastAsia" w:hAnsiTheme="minorEastAsia"/>
                <w:color w:val="000000"/>
                <w:kern w:val="0"/>
                <w:szCs w:val="21"/>
              </w:rPr>
            </w:pPr>
            <w:r>
              <w:rPr>
                <w:rStyle w:val="51"/>
                <w:rFonts w:asciiTheme="minorEastAsia" w:hAnsiTheme="minorEastAsia"/>
                <w:color w:val="000000"/>
                <w:kern w:val="0"/>
                <w:szCs w:val="21"/>
              </w:rPr>
              <w:t>实验对象</w:t>
            </w:r>
          </w:p>
        </w:tc>
        <w:tc>
          <w:tcPr>
            <w:tcW w:w="5345" w:type="dxa"/>
            <w:tcBorders>
              <w:top w:val="single" w:color="000000" w:sz="4" w:space="0"/>
              <w:left w:val="nil"/>
              <w:bottom w:val="single" w:color="000000" w:sz="4" w:space="0"/>
              <w:right w:val="single" w:color="000000" w:sz="4" w:space="0"/>
            </w:tcBorders>
            <w:vAlign w:val="center"/>
          </w:tcPr>
          <w:p>
            <w:pPr>
              <w:jc w:val="center"/>
              <w:rPr>
                <w:rStyle w:val="51"/>
                <w:rFonts w:asciiTheme="minorEastAsia" w:hAnsiTheme="minorEastAsia"/>
                <w:kern w:val="0"/>
                <w:szCs w:val="21"/>
              </w:rPr>
            </w:pPr>
          </w:p>
        </w:tc>
        <w:tc>
          <w:tcPr>
            <w:tcW w:w="724" w:type="dxa"/>
            <w:tcBorders>
              <w:top w:val="single" w:color="000000" w:sz="4" w:space="0"/>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2"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cs="宋体" w:asciiTheme="minorEastAsia" w:hAnsiTheme="minorEastAsia"/>
                <w:bCs/>
                <w:kern w:val="0"/>
                <w:szCs w:val="21"/>
              </w:rPr>
            </w:pPr>
            <w:r>
              <w:rPr>
                <w:rStyle w:val="51"/>
                <w:rFonts w:cs="宋体" w:asciiTheme="minorEastAsia" w:hAnsiTheme="minorEastAsia"/>
                <w:bCs/>
                <w:kern w:val="0"/>
                <w:szCs w:val="21"/>
              </w:rPr>
              <w:t>1.3</w:t>
            </w:r>
          </w:p>
        </w:tc>
        <w:tc>
          <w:tcPr>
            <w:tcW w:w="2248"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Cs/>
                <w:kern w:val="0"/>
                <w:szCs w:val="21"/>
              </w:rPr>
            </w:pPr>
            <w:r>
              <w:rPr>
                <w:rStyle w:val="51"/>
                <w:rFonts w:cs="宋体" w:asciiTheme="minorEastAsia" w:hAnsiTheme="minorEastAsia"/>
                <w:bCs/>
                <w:kern w:val="0"/>
                <w:szCs w:val="21"/>
              </w:rPr>
              <w:t>特殊功能需求</w:t>
            </w:r>
          </w:p>
        </w:tc>
        <w:tc>
          <w:tcPr>
            <w:tcW w:w="5345"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p>
        </w:tc>
        <w:tc>
          <w:tcPr>
            <w:tcW w:w="724" w:type="dxa"/>
            <w:tcBorders>
              <w:top w:val="nil"/>
              <w:left w:val="nil"/>
              <w:bottom w:val="single" w:color="000000" w:sz="4" w:space="0"/>
              <w:right w:val="single" w:color="000000" w:sz="8" w:space="0"/>
            </w:tcBorders>
            <w:vAlign w:val="center"/>
          </w:tcPr>
          <w:p>
            <w:pPr>
              <w:rPr>
                <w:rStyle w:val="51"/>
                <w:rFonts w:cs="宋体" w:asciiTheme="minorEastAsia" w:hAnsiTheme="minorEastAsia"/>
                <w:b/>
                <w:bCs/>
                <w:kern w:val="0"/>
                <w:szCs w:val="21"/>
              </w:rPr>
            </w:pPr>
            <w:r>
              <w:rPr>
                <w:rStyle w:val="51"/>
                <w:rFonts w:cs="宋体" w:asciiTheme="minorEastAsia" w:hAnsiTheme="minorEastAsia"/>
                <w:b/>
                <w:bCs/>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b/>
                <w:kern w:val="0"/>
                <w:szCs w:val="21"/>
              </w:rPr>
            </w:pPr>
            <w:r>
              <w:rPr>
                <w:rStyle w:val="51"/>
                <w:rFonts w:asciiTheme="minorEastAsia" w:hAnsiTheme="minorEastAsia"/>
                <w:b/>
                <w:kern w:val="0"/>
                <w:szCs w:val="21"/>
              </w:rPr>
              <w:t>2</w:t>
            </w:r>
          </w:p>
        </w:tc>
        <w:tc>
          <w:tcPr>
            <w:tcW w:w="2248"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主要技术参数</w:t>
            </w:r>
            <w:r>
              <w:rPr>
                <w:rStyle w:val="51"/>
                <w:rFonts w:cs="宋体" w:asciiTheme="minorEastAsia" w:hAnsiTheme="minorEastAsia"/>
                <w:b/>
                <w:bCs/>
                <w:kern w:val="0"/>
                <w:szCs w:val="21"/>
              </w:rPr>
              <w:br w:type="textWrapping" w:clear="all"/>
            </w:r>
            <w:r>
              <w:rPr>
                <w:rStyle w:val="51"/>
                <w:rFonts w:cs="宋体" w:asciiTheme="minorEastAsia" w:hAnsiTheme="minorEastAsia"/>
                <w:b/>
                <w:bCs/>
                <w:kern w:val="0"/>
                <w:szCs w:val="21"/>
              </w:rPr>
              <w:t>（一行只写一个参数）</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3"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2.1</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★参数1</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容积≥45L，采用全夹套结构，蒸汽提前存储。</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7"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2.2</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★参数2</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厂家具备生产特种设备高标准资质</w:t>
            </w:r>
            <w:r>
              <w:rPr>
                <w:rStyle w:val="51"/>
                <w:rFonts w:hint="eastAsia" w:asciiTheme="minorEastAsia" w:hAnsiTheme="minorEastAsia"/>
                <w:kern w:val="0"/>
                <w:szCs w:val="21"/>
              </w:rPr>
              <w:t>，</w:t>
            </w:r>
            <w:r>
              <w:rPr>
                <w:rStyle w:val="51"/>
                <w:rFonts w:asciiTheme="minorEastAsia" w:hAnsiTheme="minorEastAsia"/>
                <w:kern w:val="0"/>
                <w:szCs w:val="21"/>
              </w:rPr>
              <w:t>B级小型灭菌器设计寿命≥8年</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2.3</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★参数3</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主体、夹套均采用304或316不锈钢</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2"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2.4</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参数4</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实际工作温度：121℃—134℃，多种程序选择</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2.5</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szCs w:val="21"/>
              </w:rPr>
            </w:pPr>
            <w:r>
              <w:rPr>
                <w:rStyle w:val="51"/>
                <w:rFonts w:asciiTheme="minorEastAsia" w:hAnsiTheme="minorEastAsia"/>
                <w:kern w:val="0"/>
                <w:szCs w:val="21"/>
              </w:rPr>
              <w:t>参数5</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门密封方式：自胀式门胶圈，采用透明医用硅橡胶模压而成；</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2.6</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szCs w:val="21"/>
              </w:rPr>
            </w:pPr>
            <w:r>
              <w:rPr>
                <w:rStyle w:val="51"/>
                <w:rFonts w:asciiTheme="minorEastAsia" w:hAnsiTheme="minorEastAsia"/>
                <w:kern w:val="0"/>
                <w:szCs w:val="21"/>
              </w:rPr>
              <w:t>参数6</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蒸汽产生方式：储能式蒸发器与夹套一体，提前存储蒸汽</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1"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2.7</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参数7</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储水装置：内置双水箱，不外排蒸汽可实现汽水内循环，可根据科室需求切换为单水箱；</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2.8</w:t>
            </w:r>
          </w:p>
        </w:tc>
        <w:tc>
          <w:tcPr>
            <w:tcW w:w="2248" w:type="dxa"/>
            <w:tcBorders>
              <w:top w:val="nil"/>
              <w:left w:val="nil"/>
              <w:bottom w:val="single" w:color="000000" w:sz="4" w:space="0"/>
              <w:right w:val="single" w:color="000000" w:sz="4" w:space="0"/>
            </w:tcBorders>
          </w:tcPr>
          <w:p>
            <w:pPr>
              <w:jc w:val="center"/>
              <w:rPr>
                <w:rStyle w:val="51"/>
                <w:rFonts w:asciiTheme="minorEastAsia" w:hAnsiTheme="minorEastAsia"/>
                <w:szCs w:val="21"/>
              </w:rPr>
            </w:pPr>
            <w:r>
              <w:rPr>
                <w:rStyle w:val="51"/>
                <w:rFonts w:asciiTheme="minorEastAsia" w:hAnsiTheme="minorEastAsia"/>
                <w:kern w:val="0"/>
                <w:szCs w:val="21"/>
              </w:rPr>
              <w:t>参数8</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散热器：内置2个体积大于0.0024立方米的散热器</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2.9</w:t>
            </w:r>
          </w:p>
        </w:tc>
        <w:tc>
          <w:tcPr>
            <w:tcW w:w="2248" w:type="dxa"/>
            <w:tcBorders>
              <w:top w:val="nil"/>
              <w:left w:val="nil"/>
              <w:bottom w:val="single" w:color="000000" w:sz="4" w:space="0"/>
              <w:right w:val="single" w:color="000000" w:sz="4" w:space="0"/>
            </w:tcBorders>
          </w:tcPr>
          <w:p>
            <w:pPr>
              <w:jc w:val="center"/>
              <w:rPr>
                <w:rStyle w:val="51"/>
                <w:rFonts w:asciiTheme="minorEastAsia" w:hAnsiTheme="minorEastAsia"/>
                <w:szCs w:val="21"/>
              </w:rPr>
            </w:pPr>
            <w:r>
              <w:rPr>
                <w:rStyle w:val="51"/>
                <w:rFonts w:asciiTheme="minorEastAsia" w:hAnsiTheme="minorEastAsia"/>
                <w:kern w:val="0"/>
                <w:szCs w:val="21"/>
              </w:rPr>
              <w:t>参数9</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流程控制：置换、脉动、升温、灭菌、排汽、干燥全过程自动控制；</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2.10</w:t>
            </w:r>
          </w:p>
        </w:tc>
        <w:tc>
          <w:tcPr>
            <w:tcW w:w="2248" w:type="dxa"/>
            <w:tcBorders>
              <w:top w:val="nil"/>
              <w:left w:val="nil"/>
              <w:bottom w:val="single" w:color="000000" w:sz="4" w:space="0"/>
              <w:right w:val="single" w:color="000000" w:sz="4" w:space="0"/>
            </w:tcBorders>
          </w:tcPr>
          <w:p>
            <w:pPr>
              <w:jc w:val="center"/>
              <w:rPr>
                <w:rStyle w:val="51"/>
                <w:rFonts w:asciiTheme="minorEastAsia" w:hAnsiTheme="minorEastAsia"/>
                <w:szCs w:val="21"/>
              </w:rPr>
            </w:pPr>
            <w:r>
              <w:rPr>
                <w:rStyle w:val="51"/>
                <w:rFonts w:asciiTheme="minorEastAsia" w:hAnsiTheme="minorEastAsia"/>
                <w:kern w:val="0"/>
                <w:szCs w:val="21"/>
              </w:rPr>
              <w:t>参数10</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记录方式：内置微型热敏打印机</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2.11</w:t>
            </w:r>
          </w:p>
        </w:tc>
        <w:tc>
          <w:tcPr>
            <w:tcW w:w="2248" w:type="dxa"/>
            <w:tcBorders>
              <w:top w:val="nil"/>
              <w:left w:val="nil"/>
              <w:bottom w:val="single" w:color="000000" w:sz="4" w:space="0"/>
              <w:right w:val="single" w:color="000000" w:sz="4" w:space="0"/>
            </w:tcBorders>
          </w:tcPr>
          <w:p>
            <w:pPr>
              <w:jc w:val="center"/>
              <w:rPr>
                <w:rStyle w:val="51"/>
                <w:rFonts w:asciiTheme="minorEastAsia" w:hAnsiTheme="minorEastAsia"/>
                <w:kern w:val="0"/>
                <w:szCs w:val="21"/>
              </w:rPr>
            </w:pPr>
            <w:r>
              <w:rPr>
                <w:rStyle w:val="51"/>
                <w:rFonts w:asciiTheme="minorEastAsia" w:hAnsiTheme="minorEastAsia"/>
                <w:kern w:val="0"/>
                <w:szCs w:val="21"/>
              </w:rPr>
              <w:t>参数11</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程序种类：不少于裸露程序、包装程序、橡胶程序、自定义程序、液体程序、N类快速、B类快速、嗜血程序、BD&amp;Helix、真空测试、预热程序、干燥程序；</w:t>
            </w:r>
          </w:p>
        </w:tc>
        <w:tc>
          <w:tcPr>
            <w:tcW w:w="724" w:type="dxa"/>
            <w:tcBorders>
              <w:top w:val="nil"/>
              <w:left w:val="nil"/>
              <w:bottom w:val="single" w:color="000000" w:sz="4" w:space="0"/>
              <w:right w:val="single" w:color="000000" w:sz="8" w:space="0"/>
            </w:tcBorders>
            <w:vAlign w:val="center"/>
          </w:tcPr>
          <w:p>
            <w:pP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2.12</w:t>
            </w:r>
          </w:p>
        </w:tc>
        <w:tc>
          <w:tcPr>
            <w:tcW w:w="2248" w:type="dxa"/>
            <w:tcBorders>
              <w:top w:val="nil"/>
              <w:left w:val="nil"/>
              <w:bottom w:val="single" w:color="000000" w:sz="4" w:space="0"/>
              <w:right w:val="single" w:color="000000" w:sz="4" w:space="0"/>
            </w:tcBorders>
          </w:tcPr>
          <w:p>
            <w:pPr>
              <w:jc w:val="center"/>
              <w:rPr>
                <w:rStyle w:val="51"/>
                <w:rFonts w:asciiTheme="minorEastAsia" w:hAnsiTheme="minorEastAsia"/>
                <w:kern w:val="0"/>
                <w:szCs w:val="21"/>
              </w:rPr>
            </w:pPr>
            <w:r>
              <w:rPr>
                <w:rStyle w:val="51"/>
                <w:rFonts w:asciiTheme="minorEastAsia" w:hAnsiTheme="minorEastAsia"/>
                <w:kern w:val="0"/>
                <w:szCs w:val="21"/>
              </w:rPr>
              <w:t>参数12</w:t>
            </w:r>
          </w:p>
        </w:tc>
        <w:tc>
          <w:tcPr>
            <w:tcW w:w="5345" w:type="dxa"/>
            <w:tcBorders>
              <w:top w:val="nil"/>
              <w:left w:val="nil"/>
              <w:bottom w:val="single" w:color="000000" w:sz="4" w:space="0"/>
              <w:right w:val="single" w:color="000000" w:sz="4" w:space="0"/>
            </w:tcBorders>
            <w:vAlign w:val="center"/>
          </w:tcPr>
          <w:p>
            <w:pPr>
              <w:ind w:left="76" w:leftChars="38"/>
              <w:jc w:val="center"/>
              <w:rPr>
                <w:rStyle w:val="51"/>
                <w:rFonts w:asciiTheme="minorEastAsia" w:hAnsiTheme="minorEastAsia"/>
                <w:kern w:val="0"/>
                <w:szCs w:val="21"/>
              </w:rPr>
            </w:pPr>
            <w:r>
              <w:rPr>
                <w:rStyle w:val="51"/>
                <w:rFonts w:asciiTheme="minorEastAsia" w:hAnsiTheme="minorEastAsia"/>
                <w:kern w:val="0"/>
                <w:szCs w:val="21"/>
              </w:rPr>
              <w:t xml:space="preserve">热敏打印机记录：程序运行过程中的相关信息通过内置热敏打印机打印出来；    </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b/>
                <w:kern w:val="0"/>
                <w:szCs w:val="21"/>
              </w:rPr>
            </w:pPr>
            <w:r>
              <w:rPr>
                <w:rStyle w:val="51"/>
                <w:rFonts w:asciiTheme="minorEastAsia" w:hAnsiTheme="minorEastAsia"/>
                <w:b/>
                <w:kern w:val="0"/>
                <w:szCs w:val="21"/>
              </w:rPr>
              <w:t>3</w:t>
            </w:r>
          </w:p>
        </w:tc>
        <w:tc>
          <w:tcPr>
            <w:tcW w:w="2248"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配置需求</w:t>
            </w:r>
            <w:r>
              <w:rPr>
                <w:rStyle w:val="51"/>
                <w:rFonts w:cs="宋体" w:asciiTheme="minorEastAsia" w:hAnsiTheme="minorEastAsia"/>
                <w:b/>
                <w:bCs/>
                <w:kern w:val="0"/>
                <w:szCs w:val="21"/>
              </w:rPr>
              <w:br w:type="textWrapping" w:clear="all"/>
            </w:r>
            <w:r>
              <w:rPr>
                <w:rStyle w:val="51"/>
                <w:rFonts w:cs="宋体" w:asciiTheme="minorEastAsia" w:hAnsiTheme="minorEastAsia"/>
                <w:b/>
                <w:bCs/>
                <w:kern w:val="0"/>
                <w:szCs w:val="21"/>
              </w:rPr>
              <w:t>（一行只写一个配置）</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3.1</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配置1</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蒸汽灭菌器主机一台</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3.2</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配置2</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内置热敏打印机一台</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3.3</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配置3</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八层托盘一套</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4</w:t>
            </w:r>
          </w:p>
        </w:tc>
        <w:tc>
          <w:tcPr>
            <w:tcW w:w="2248"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售后服务</w:t>
            </w:r>
          </w:p>
        </w:tc>
        <w:tc>
          <w:tcPr>
            <w:tcW w:w="5345" w:type="dxa"/>
            <w:tcBorders>
              <w:top w:val="nil"/>
              <w:left w:val="nil"/>
              <w:bottom w:val="single" w:color="000000" w:sz="4" w:space="0"/>
              <w:right w:val="single" w:color="000000" w:sz="4" w:space="0"/>
            </w:tcBorders>
            <w:vAlign w:val="center"/>
          </w:tcPr>
          <w:p>
            <w:pPr>
              <w:jc w:val="center"/>
              <w:rPr>
                <w:rStyle w:val="51"/>
                <w:rFonts w:cs="宋体" w:asciiTheme="minorEastAsia" w:hAnsiTheme="minorEastAsia"/>
                <w:b/>
                <w:bCs/>
                <w:kern w:val="0"/>
                <w:szCs w:val="21"/>
              </w:rPr>
            </w:pPr>
          </w:p>
        </w:tc>
        <w:tc>
          <w:tcPr>
            <w:tcW w:w="724" w:type="dxa"/>
            <w:tcBorders>
              <w:top w:val="nil"/>
              <w:left w:val="nil"/>
              <w:bottom w:val="single" w:color="000000" w:sz="4" w:space="0"/>
              <w:right w:val="single" w:color="000000" w:sz="8" w:space="0"/>
            </w:tcBorders>
            <w:vAlign w:val="center"/>
          </w:tcPr>
          <w:p>
            <w:pPr>
              <w:jc w:val="center"/>
              <w:rPr>
                <w:rStyle w:val="51"/>
                <w:rFonts w:cs="宋体" w:asciiTheme="minorEastAsia" w:hAnsiTheme="minorEastAsia"/>
                <w:b/>
                <w:bCs/>
                <w:kern w:val="0"/>
                <w:szCs w:val="21"/>
              </w:rPr>
            </w:pPr>
            <w:r>
              <w:rPr>
                <w:rStyle w:val="51"/>
                <w:rFonts w:cs="宋体" w:asciiTheme="minorEastAsia" w:hAnsiTheme="minorEastAsia"/>
                <w:b/>
                <w:bCs/>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4.1</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保修年限</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≥3年</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4.2</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出现故障回应时间</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电话响应时间≤ 6小时</w:t>
            </w:r>
            <w:r>
              <w:rPr>
                <w:rStyle w:val="51"/>
                <w:rFonts w:asciiTheme="minorEastAsia" w:hAnsiTheme="minorEastAsia"/>
                <w:kern w:val="0"/>
                <w:szCs w:val="21"/>
              </w:rPr>
              <w:br w:type="textWrapping" w:clear="all"/>
            </w:r>
            <w:r>
              <w:rPr>
                <w:rStyle w:val="51"/>
                <w:rFonts w:asciiTheme="minorEastAsia" w:hAnsiTheme="minorEastAsia"/>
                <w:kern w:val="0"/>
                <w:szCs w:val="21"/>
              </w:rPr>
              <w:t>维修到达现场时间≤24小时</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4.3</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维修支持</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配件供应时间≥10年</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4.4</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耗材及零配件</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提供耗材及主要零配件目录（含报价）</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4.5</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维修资料</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提供详细操作手册、维修保养手册等</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4.6</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维修工具</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4.7</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预防性维修</w:t>
            </w:r>
            <w:r>
              <w:rPr>
                <w:rStyle w:val="51"/>
                <w:rFonts w:asciiTheme="minorEastAsia" w:hAnsiTheme="minorEastAsia"/>
                <w:kern w:val="0"/>
                <w:szCs w:val="21"/>
              </w:rPr>
              <w:br w:type="textWrapping" w:clear="all"/>
            </w:r>
            <w:r>
              <w:rPr>
                <w:rStyle w:val="51"/>
                <w:rFonts w:asciiTheme="minorEastAsia" w:hAnsiTheme="minorEastAsia"/>
                <w:kern w:val="0"/>
                <w:szCs w:val="21"/>
              </w:rPr>
              <w:t>/定期维护保养</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保修期内提供定期维护保养服务</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4.8</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维修密码支持</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开放</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4.9</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升级</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终身免费软件升级</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4.10</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使用培训</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支持</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770" w:type="dxa"/>
            <w:tcBorders>
              <w:top w:val="nil"/>
              <w:left w:val="single" w:color="000000" w:sz="8" w:space="0"/>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4.11</w:t>
            </w:r>
          </w:p>
        </w:tc>
        <w:tc>
          <w:tcPr>
            <w:tcW w:w="2248"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工程师培训</w:t>
            </w:r>
          </w:p>
        </w:tc>
        <w:tc>
          <w:tcPr>
            <w:tcW w:w="5345" w:type="dxa"/>
            <w:tcBorders>
              <w:top w:val="nil"/>
              <w:left w:val="nil"/>
              <w:bottom w:val="single" w:color="000000" w:sz="4" w:space="0"/>
              <w:right w:val="single" w:color="000000" w:sz="4"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支持</w:t>
            </w:r>
          </w:p>
        </w:tc>
        <w:tc>
          <w:tcPr>
            <w:tcW w:w="724" w:type="dxa"/>
            <w:tcBorders>
              <w:top w:val="nil"/>
              <w:left w:val="nil"/>
              <w:bottom w:val="single" w:color="000000" w:sz="4" w:space="0"/>
              <w:right w:val="single" w:color="000000" w:sz="8" w:space="0"/>
            </w:tcBorders>
            <w:vAlign w:val="center"/>
          </w:tcPr>
          <w:p>
            <w:pPr>
              <w:jc w:val="center"/>
              <w:rPr>
                <w:rStyle w:val="51"/>
                <w:rFonts w:asciiTheme="minorEastAsia" w:hAnsiTheme="minorEastAsia"/>
                <w:kern w:val="0"/>
                <w:szCs w:val="21"/>
              </w:rPr>
            </w:pPr>
            <w:r>
              <w:rPr>
                <w:rStyle w:val="51"/>
                <w:rFonts w:asciiTheme="minorEastAsia" w:hAnsiTheme="minorEastAsia"/>
                <w:kern w:val="0"/>
                <w:szCs w:val="21"/>
              </w:rPr>
              <w:t>　</w:t>
            </w: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0C145923"/>
    <w:rsid w:val="0F6A7FF6"/>
    <w:rsid w:val="15DC1786"/>
    <w:rsid w:val="16771E6C"/>
    <w:rsid w:val="1E737B7E"/>
    <w:rsid w:val="1EEF51FE"/>
    <w:rsid w:val="1F1C3038"/>
    <w:rsid w:val="20521273"/>
    <w:rsid w:val="206A76A7"/>
    <w:rsid w:val="26FB1FAF"/>
    <w:rsid w:val="28721247"/>
    <w:rsid w:val="2F4E531A"/>
    <w:rsid w:val="379E0C32"/>
    <w:rsid w:val="3A90392D"/>
    <w:rsid w:val="3BB30E33"/>
    <w:rsid w:val="464E6EBE"/>
    <w:rsid w:val="47881864"/>
    <w:rsid w:val="48ED6FEB"/>
    <w:rsid w:val="541A0AD3"/>
    <w:rsid w:val="54507F18"/>
    <w:rsid w:val="5B544D90"/>
    <w:rsid w:val="60931FBB"/>
    <w:rsid w:val="648F679F"/>
    <w:rsid w:val="694C5498"/>
    <w:rsid w:val="6F4B72CD"/>
    <w:rsid w:val="76BA7B85"/>
    <w:rsid w:val="77872ADF"/>
    <w:rsid w:val="77D158CD"/>
    <w:rsid w:val="7EB54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character" w:customStyle="1" w:styleId="51">
    <w:name w:val="NormalCharacter"/>
    <w:qFormat/>
    <w:uiPriority w:val="0"/>
  </w:style>
  <w:style w:type="paragraph" w:customStyle="1" w:styleId="52">
    <w:name w:val="Null"/>
    <w:qFormat/>
    <w:uiPriority w:val="0"/>
    <w:pPr>
      <w:jc w:val="both"/>
      <w:textAlignment w:val="baseline"/>
    </w:pPr>
    <w:rPr>
      <w:rFonts w:ascii="Times New Roman" w:hAnsi="Times New Roman" w:eastAsia="宋体" w:cs="Times New Roman"/>
      <w:kern w:val="2"/>
      <w:sz w:val="24"/>
      <w:szCs w:val="24"/>
      <w:lang w:val="en-US" w:eastAsia="zh-CN" w:bidi="ar-SA"/>
    </w:rPr>
  </w:style>
  <w:style w:type="paragraph" w:customStyle="1" w:styleId="53">
    <w:name w:val="179"/>
    <w:basedOn w:val="1"/>
    <w:qFormat/>
    <w:uiPriority w:val="0"/>
    <w:pPr>
      <w:widowControl/>
      <w:ind w:firstLine="420" w:firstLineChars="200"/>
      <w:textAlignment w:val="baseline"/>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