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 xml:space="preserve">基础设备 </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2020-JL13（03）-W10007</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九</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eastAsiaTheme="minorEastAsia"/>
          <w:b/>
          <w:bCs/>
          <w:kern w:val="0"/>
          <w:sz w:val="28"/>
          <w:szCs w:val="28"/>
          <w:lang w:eastAsia="zh-CN"/>
        </w:rPr>
      </w:pPr>
      <w:r>
        <w:rPr>
          <w:rFonts w:hint="eastAsia" w:ascii="Tahoma" w:hAnsi="Tahoma" w:cs="Tahoma"/>
          <w:b/>
          <w:bCs/>
          <w:kern w:val="0"/>
          <w:sz w:val="28"/>
          <w:szCs w:val="28"/>
        </w:rPr>
        <w:t>关于</w:t>
      </w:r>
      <w:r>
        <w:rPr>
          <w:rFonts w:hint="eastAsia" w:ascii="Tahoma" w:hAnsi="Tahoma" w:cs="Tahoma"/>
          <w:b/>
          <w:bCs/>
          <w:kern w:val="0"/>
          <w:sz w:val="28"/>
          <w:szCs w:val="28"/>
          <w:lang w:eastAsia="zh-CN"/>
        </w:rPr>
        <w:t>基础设备</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kern w:val="0"/>
          <w:sz w:val="28"/>
          <w:szCs w:val="28"/>
          <w:lang w:eastAsia="zh-CN"/>
        </w:rPr>
        <w:t>2020-JL13（03）-W10007</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lang w:eastAsia="zh-CN"/>
        </w:rPr>
        <w:t>基础设备</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eastAsia="zh-CN"/>
        </w:rPr>
        <w:t>2020-JL13（03）-W10007</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614"/>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呼吸机</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2</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推注泵</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2</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双相手动除颤仪</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心电监护仪</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5</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输液泵</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2</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6</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心电图机</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4</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429"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color w:val="FF0000"/>
              </w:rPr>
              <w:t xml:space="preserve"> </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（八）具备生产许可证、特许经营许可证、医疗器械注册证、质量管理体系认证、</w:t>
      </w:r>
      <w:r>
        <w:rPr>
          <w:rFonts w:cs="Times New Roman" w:asciiTheme="minorEastAsia" w:hAnsiTheme="minorEastAsia"/>
          <w:kern w:val="0"/>
          <w:sz w:val="24"/>
          <w:szCs w:val="24"/>
        </w:rPr>
        <w:t>3C</w:t>
      </w:r>
      <w:r>
        <w:rPr>
          <w:rFonts w:hint="eastAsia" w:cs="Times New Roman" w:asciiTheme="minorEastAsia" w:hAnsiTheme="minorEastAsia"/>
          <w:kern w:val="0"/>
          <w:sz w:val="24"/>
          <w:szCs w:val="24"/>
        </w:rPr>
        <w:t>认证等相关行业资质。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kern w:val="0"/>
          <w:sz w:val="24"/>
          <w:szCs w:val="24"/>
          <w:lang w:eastAsia="zh-CN"/>
        </w:rPr>
        <w:t>五</w:t>
      </w:r>
      <w:r>
        <w:rPr>
          <w:rFonts w:hint="eastAsia" w:cs="Times New Roman" w:asciiTheme="minorEastAsia" w:hAnsiTheme="minorEastAsia"/>
          <w:b/>
          <w:kern w:val="0"/>
          <w:sz w:val="24"/>
          <w:szCs w:val="24"/>
        </w:rPr>
        <w:t>、招标</w:t>
      </w:r>
      <w:r>
        <w:rPr>
          <w:rFonts w:cs="Times New Roman" w:asciiTheme="minorEastAsia" w:hAnsiTheme="minorEastAsia"/>
          <w:b/>
          <w:kern w:val="0"/>
          <w:sz w:val="24"/>
          <w:szCs w:val="24"/>
        </w:rPr>
        <w:t>文</w:t>
      </w:r>
      <w:r>
        <w:rPr>
          <w:rFonts w:cs="Times New Roman" w:asciiTheme="minorEastAsia" w:hAnsiTheme="minorEastAsia"/>
          <w:b/>
          <w:color w:val="auto"/>
          <w:kern w:val="0"/>
          <w:sz w:val="24"/>
          <w:szCs w:val="24"/>
        </w:rPr>
        <w:t>件发售时间、地点、方式及售价</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（一）发售时间：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8</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日至</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15</w:t>
      </w:r>
      <w:bookmarkStart w:id="24" w:name="_GoBack"/>
      <w:bookmarkEnd w:id="24"/>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（二）发售地点：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color w:val="auto"/>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9.</w:t>
      </w:r>
      <w:r>
        <w:rPr>
          <w:rFonts w:hint="eastAsia"/>
          <w:color w:val="auto"/>
        </w:rPr>
        <w:t xml:space="preserve"> </w:t>
      </w:r>
      <w:r>
        <w:rPr>
          <w:rFonts w:hint="eastAsia" w:cs="Times New Roman" w:asciiTheme="minorEastAsia" w:hAnsiTheme="minorEastAsia"/>
          <w:color w:val="auto"/>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六</w:t>
      </w:r>
      <w:r>
        <w:rPr>
          <w:rFonts w:hint="eastAsia" w:cs="Times New Roman" w:asciiTheme="minorEastAsia" w:hAnsiTheme="minorEastAsia"/>
          <w:b/>
          <w:color w:val="auto"/>
          <w:kern w:val="0"/>
          <w:sz w:val="24"/>
          <w:szCs w:val="24"/>
        </w:rPr>
        <w:t>、投标开始和截止</w:t>
      </w:r>
      <w:r>
        <w:rPr>
          <w:rFonts w:cs="Times New Roman" w:asciiTheme="minorEastAsia" w:hAnsiTheme="minorEastAsia"/>
          <w:b/>
          <w:color w:val="auto"/>
          <w:kern w:val="0"/>
          <w:sz w:val="24"/>
          <w:szCs w:val="24"/>
        </w:rPr>
        <w:t>时间</w:t>
      </w:r>
      <w:r>
        <w:rPr>
          <w:rFonts w:hint="eastAsia" w:cs="Times New Roman" w:asciiTheme="minorEastAsia" w:hAnsiTheme="minorEastAsia"/>
          <w:b/>
          <w:color w:val="auto"/>
          <w:kern w:val="0"/>
          <w:sz w:val="24"/>
          <w:szCs w:val="24"/>
        </w:rPr>
        <w:t>及</w:t>
      </w:r>
      <w:r>
        <w:rPr>
          <w:rFonts w:cs="Times New Roman" w:asciiTheme="minorEastAsia" w:hAnsiTheme="minorEastAsia"/>
          <w:b/>
          <w:color w:val="auto"/>
          <w:kern w:val="0"/>
          <w:sz w:val="24"/>
          <w:szCs w:val="24"/>
        </w:rPr>
        <w:t>地点</w:t>
      </w:r>
      <w:r>
        <w:rPr>
          <w:rFonts w:hint="eastAsia" w:cs="Times New Roman" w:asciiTheme="minorEastAsia" w:hAnsiTheme="minorEastAsia"/>
          <w:b/>
          <w:color w:val="auto"/>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（一）投标开始时间：</w:t>
      </w:r>
      <w:r>
        <w:rPr>
          <w:rFonts w:hint="eastAsia" w:cs="Times New Roman" w:asciiTheme="minorEastAsia" w:hAnsiTheme="minorEastAsia"/>
          <w:color w:val="auto"/>
          <w:kern w:val="0"/>
          <w:sz w:val="24"/>
          <w:szCs w:val="24"/>
          <w:u w:val="single"/>
        </w:rPr>
        <w:t xml:space="preserve"> 2020</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8</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（二）投标截止时间：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29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（三）投标地点：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七</w:t>
      </w:r>
      <w:r>
        <w:rPr>
          <w:rFonts w:hint="eastAsia" w:cs="Times New Roman" w:asciiTheme="minorEastAsia" w:hAnsiTheme="minorEastAsia"/>
          <w:b/>
          <w:color w:val="auto"/>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29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八</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本</w:t>
      </w:r>
      <w:r>
        <w:rPr>
          <w:rFonts w:hint="eastAsia" w:cs="Times New Roman" w:asciiTheme="minorEastAsia" w:hAnsiTheme="minorEastAsia"/>
          <w:b/>
          <w:color w:val="auto"/>
          <w:kern w:val="0"/>
          <w:sz w:val="24"/>
          <w:szCs w:val="24"/>
        </w:rPr>
        <w:t>采购</w:t>
      </w:r>
      <w:r>
        <w:rPr>
          <w:rFonts w:cs="Times New Roman" w:asciiTheme="minorEastAsia" w:hAnsiTheme="minorEastAsia"/>
          <w:b/>
          <w:color w:val="auto"/>
          <w:kern w:val="0"/>
          <w:sz w:val="24"/>
          <w:szCs w:val="24"/>
        </w:rPr>
        <w:t>项目相关信息在《</w:t>
      </w:r>
      <w:r>
        <w:rPr>
          <w:rFonts w:hint="eastAsia" w:cs="Times New Roman" w:asciiTheme="minorEastAsia" w:hAnsiTheme="minorEastAsia"/>
          <w:b/>
          <w:color w:val="auto"/>
          <w:kern w:val="0"/>
          <w:sz w:val="24"/>
          <w:szCs w:val="24"/>
          <w:lang w:eastAsia="zh-CN"/>
        </w:rPr>
        <w:t>军队采购网</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lang w:eastAsia="zh-CN"/>
        </w:rPr>
        <w:t>（www.plap.cn）、</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rPr>
        <w:t>中国招标</w:t>
      </w:r>
      <w:r>
        <w:rPr>
          <w:rFonts w:cs="Times New Roman" w:asciiTheme="minorEastAsia" w:hAnsiTheme="minorEastAsia"/>
          <w:b/>
          <w:color w:val="auto"/>
          <w:kern w:val="0"/>
          <w:sz w:val="24"/>
          <w:szCs w:val="24"/>
        </w:rPr>
        <w:t>网》</w:t>
      </w:r>
      <w:r>
        <w:rPr>
          <w:rFonts w:hint="eastAsia" w:cs="Times New Roman" w:asciiTheme="minorEastAsia" w:hAnsiTheme="minorEastAsia"/>
          <w:b/>
          <w:color w:val="auto"/>
          <w:kern w:val="0"/>
          <w:sz w:val="24"/>
          <w:szCs w:val="24"/>
        </w:rPr>
        <w:t>（</w:t>
      </w:r>
      <w:r>
        <w:rPr>
          <w:color w:val="auto"/>
        </w:rPr>
        <w:fldChar w:fldCharType="begin"/>
      </w:r>
      <w:r>
        <w:rPr>
          <w:color w:val="auto"/>
        </w:rPr>
        <w:instrText xml:space="preserve"> HYPERLINK "http://www.zhaobiao.cn" </w:instrText>
      </w:r>
      <w:r>
        <w:rPr>
          <w:color w:val="auto"/>
        </w:rP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color w:val="auto"/>
          <w:kern w:val="0"/>
          <w:sz w:val="24"/>
          <w:szCs w:val="24"/>
        </w:rPr>
        <w:t>）及我院官网（</w:t>
      </w:r>
      <w:r>
        <w:rPr>
          <w:rFonts w:cs="Times New Roman" w:asciiTheme="minorEastAsia" w:hAnsiTheme="minorEastAsia"/>
          <w:b/>
          <w:color w:val="auto"/>
          <w:kern w:val="0"/>
          <w:sz w:val="24"/>
          <w:szCs w:val="24"/>
        </w:rPr>
        <w:t>www.xnyy.cn</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九</w:t>
      </w:r>
      <w:r>
        <w:rPr>
          <w:rFonts w:hint="eastAsia" w:cs="Times New Roman" w:asciiTheme="minorEastAsia" w:hAnsiTheme="minorEastAsia"/>
          <w:b/>
          <w:color w:val="auto"/>
          <w:kern w:val="0"/>
          <w:sz w:val="24"/>
          <w:szCs w:val="24"/>
        </w:rPr>
        <w:t>、招标人</w:t>
      </w:r>
      <w:r>
        <w:rPr>
          <w:rFonts w:cs="Times New Roman" w:asciiTheme="minorEastAsia" w:hAnsiTheme="minorEastAsia"/>
          <w:b/>
          <w:color w:val="auto"/>
          <w:kern w:val="0"/>
          <w:sz w:val="24"/>
          <w:szCs w:val="24"/>
        </w:rPr>
        <w:t>联系方式</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联 系 人：</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eastAsia="zh-CN"/>
        </w:rPr>
        <w:t>陈</w:t>
      </w:r>
      <w:r>
        <w:rPr>
          <w:rFonts w:hint="eastAsia" w:cs="Times New Roman" w:asciiTheme="minorEastAsia" w:hAnsiTheme="minorEastAsia"/>
          <w:color w:val="auto"/>
          <w:kern w:val="0"/>
          <w:sz w:val="24"/>
          <w:szCs w:val="24"/>
          <w:u w:val="single"/>
        </w:rPr>
        <w:t xml:space="preserve">老师、杨老师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电    话：</w:t>
      </w:r>
      <w:r>
        <w:rPr>
          <w:rFonts w:hint="eastAsia" w:cs="Times New Roman" w:asciiTheme="minorEastAsia" w:hAnsiTheme="minorEastAsia"/>
          <w:color w:val="auto"/>
          <w:kern w:val="0"/>
          <w:sz w:val="24"/>
          <w:szCs w:val="24"/>
          <w:u w:val="single"/>
        </w:rPr>
        <w:t xml:space="preserve">  023-68766148    </w:t>
      </w:r>
      <w:r>
        <w:rPr>
          <w:rFonts w:hint="eastAsia" w:cs="Times New Roman" w:asciiTheme="minorEastAsia" w:hAnsiTheme="minorEastAsia"/>
          <w:color w:val="auto"/>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监督电话：</w:t>
      </w:r>
      <w:r>
        <w:rPr>
          <w:rFonts w:hint="eastAsia" w:cs="Times New Roman" w:asciiTheme="minorEastAsia" w:hAnsiTheme="minorEastAsia"/>
          <w:color w:val="auto"/>
          <w:kern w:val="0"/>
          <w:sz w:val="24"/>
          <w:szCs w:val="24"/>
          <w:u w:val="single"/>
        </w:rPr>
        <w:t xml:space="preserve">  </w:t>
      </w:r>
      <w:r>
        <w:rPr>
          <w:rFonts w:hint="eastAsia" w:ascii="宋体" w:hAnsi="宋体" w:eastAsia="宋体" w:cs="Times New Roman"/>
          <w:color w:val="auto"/>
          <w:kern w:val="0"/>
          <w:sz w:val="24"/>
          <w:szCs w:val="24"/>
          <w:u w:val="single"/>
        </w:rPr>
        <w:t>023-68766035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color w:val="auto"/>
          <w:kern w:val="0"/>
          <w:sz w:val="24"/>
          <w:szCs w:val="24"/>
        </w:rPr>
      </w:pPr>
    </w:p>
    <w:p>
      <w:pPr>
        <w:adjustRightInd w:val="0"/>
        <w:snapToGrid w:val="0"/>
        <w:spacing w:line="440" w:lineRule="exact"/>
        <w:ind w:left="4672" w:leftChars="2320" w:hanging="9" w:hangingChars="4"/>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招标人：物资采购中心</w:t>
      </w:r>
    </w:p>
    <w:p>
      <w:pPr>
        <w:adjustRightInd w:val="0"/>
        <w:snapToGrid w:val="0"/>
        <w:spacing w:line="440" w:lineRule="exact"/>
        <w:ind w:left="4723" w:leftChars="235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 xml:space="preserve"> 2020 年 </w:t>
      </w:r>
      <w:r>
        <w:rPr>
          <w:rFonts w:hint="eastAsia" w:cs="Times New Roman" w:asciiTheme="minorEastAsia" w:hAnsiTheme="minorEastAsia"/>
          <w:color w:val="auto"/>
          <w:kern w:val="0"/>
          <w:sz w:val="24"/>
          <w:szCs w:val="24"/>
          <w:lang w:val="en-US" w:eastAsia="zh-CN"/>
        </w:rPr>
        <w:t>9</w:t>
      </w:r>
      <w:r>
        <w:rPr>
          <w:rFonts w:hint="eastAsia" w:cs="Times New Roman" w:asciiTheme="minorEastAsia" w:hAnsiTheme="minorEastAsia"/>
          <w:color w:val="auto"/>
          <w:kern w:val="0"/>
          <w:sz w:val="24"/>
          <w:szCs w:val="24"/>
        </w:rPr>
        <w:t xml:space="preserve"> 月 </w:t>
      </w:r>
      <w:r>
        <w:rPr>
          <w:rFonts w:hint="eastAsia" w:cs="Times New Roman" w:asciiTheme="minorEastAsia" w:hAnsiTheme="minorEastAsia"/>
          <w:color w:val="auto"/>
          <w:kern w:val="0"/>
          <w:sz w:val="24"/>
          <w:szCs w:val="24"/>
          <w:lang w:val="en-US" w:eastAsia="zh-CN"/>
        </w:rPr>
        <w:t>8</w:t>
      </w:r>
      <w:r>
        <w:rPr>
          <w:rFonts w:hint="eastAsia" w:cs="Times New Roman" w:asciiTheme="minorEastAsia" w:hAnsiTheme="minorEastAsia"/>
          <w:color w:val="auto"/>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435540979"/>
      <w:bookmarkStart w:id="5" w:name="_Toc390713967"/>
      <w:bookmarkStart w:id="6" w:name="_Toc285612594"/>
      <w:bookmarkStart w:id="7" w:name="_Toc37172688"/>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1</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呼吸机</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2</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推注泵</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3</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双相手动除颤仪</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4</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心电监护仪</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输液泵</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lang w:eastAsia="zh-CN"/>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心电图机</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lang w:eastAsia="zh-CN"/>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lang w:eastAsia="zh-CN"/>
        </w:rPr>
        <w:t>基础设备</w:t>
      </w:r>
      <w:r>
        <w:rPr>
          <w:rFonts w:hint="eastAsia" w:ascii="宋体" w:hAnsi="宋体" w:eastAsia="宋体" w:cs="宋体"/>
          <w:bCs/>
          <w:kern w:val="0"/>
          <w:sz w:val="32"/>
          <w:szCs w:val="32"/>
        </w:rPr>
        <w:t>技术要求</w:t>
      </w:r>
    </w:p>
    <w:tbl>
      <w:tblPr>
        <w:tblStyle w:val="17"/>
        <w:tblW w:w="8830" w:type="dxa"/>
        <w:tblInd w:w="209" w:type="dxa"/>
        <w:tblLayout w:type="fixed"/>
        <w:tblCellMar>
          <w:top w:w="0" w:type="dxa"/>
          <w:left w:w="108" w:type="dxa"/>
          <w:bottom w:w="0" w:type="dxa"/>
          <w:right w:w="108" w:type="dxa"/>
        </w:tblCellMar>
      </w:tblPr>
      <w:tblGrid>
        <w:gridCol w:w="1176"/>
        <w:gridCol w:w="1302"/>
        <w:gridCol w:w="5359"/>
        <w:gridCol w:w="993"/>
      </w:tblGrid>
      <w:tr>
        <w:tblPrEx>
          <w:tblCellMar>
            <w:top w:w="0" w:type="dxa"/>
            <w:left w:w="108" w:type="dxa"/>
            <w:bottom w:w="0" w:type="dxa"/>
            <w:right w:w="108" w:type="dxa"/>
          </w:tblCellMar>
        </w:tblPrEx>
        <w:trPr>
          <w:trHeight w:val="478" w:hRule="atLeast"/>
        </w:trPr>
        <w:tc>
          <w:tcPr>
            <w:tcW w:w="11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i w:val="0"/>
                <w:color w:val="000000"/>
                <w:kern w:val="0"/>
                <w:sz w:val="21"/>
                <w:szCs w:val="21"/>
                <w:u w:val="none"/>
                <w:lang w:val="en-US" w:eastAsia="zh-CN" w:bidi="ar"/>
              </w:rPr>
              <w:t>设备名称</w:t>
            </w:r>
          </w:p>
        </w:tc>
        <w:tc>
          <w:tcPr>
            <w:tcW w:w="53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kern w:val="0"/>
                <w:sz w:val="21"/>
                <w:szCs w:val="21"/>
              </w:rPr>
              <w:t>技术参数和性能要求</w:t>
            </w:r>
          </w:p>
        </w:tc>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备注　</w:t>
            </w:r>
          </w:p>
        </w:tc>
      </w:tr>
      <w:tr>
        <w:tblPrEx>
          <w:tblCellMar>
            <w:top w:w="0" w:type="dxa"/>
            <w:left w:w="108" w:type="dxa"/>
            <w:bottom w:w="0" w:type="dxa"/>
            <w:right w:w="108" w:type="dxa"/>
          </w:tblCellMar>
        </w:tblPrEx>
        <w:trPr>
          <w:trHeight w:val="613" w:hRule="atLeast"/>
        </w:trPr>
        <w:tc>
          <w:tcPr>
            <w:tcW w:w="1176"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1</w:t>
            </w:r>
          </w:p>
        </w:tc>
        <w:tc>
          <w:tcPr>
            <w:tcW w:w="13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呼吸机</w:t>
            </w:r>
          </w:p>
        </w:tc>
        <w:tc>
          <w:tcPr>
            <w:tcW w:w="5359" w:type="dxa"/>
            <w:tcBorders>
              <w:top w:val="single" w:color="auto" w:sz="4" w:space="0"/>
              <w:left w:val="nil"/>
              <w:bottom w:val="single" w:color="auto" w:sz="4" w:space="0"/>
              <w:right w:val="single" w:color="auto" w:sz="4" w:space="0"/>
            </w:tcBorders>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支持成人、儿童呼吸机支持，气动电控，至少10.4”高分辨率一体化TFT彩色大屏幕显示；具有大气压自动校正、同步雾化、、可更改默认参数的紧急启动、、氧浓度监测、后备电池。</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通气模式：VCV、VC－SIMV、VC－SIMV＋PSV、PSV、CPAP；压力保护型通气模式：PCV、PC－SIMV、PC－SIMV＋PSV、PSV、CPAP；潮气量：50ml～1500ml；呼吸频率：4～100bpm；吸气时间：0.1～12s；屏气时间：0～4s；压力支持水平：0～60cmH2O；压力控制水平：5cmH2O～60cmH2O；压力触发灵敏度：-20～ 0cmH2O；流速触发灵敏度：0.5~20LPM；PEEP/CPAP：0～40cmH2O；FiO2调节：21%～100%连续可调。</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可监测吸入潮气量、呼出潮气量、总计呼吸频率、自主呼吸频率、分钟通气量、自主呼吸分钟通气量、气道峰值压力、气道平均压力、气道平台压、呼吸末正压、氧浓度，吸呼比，肺顺应性（静态）、气道阻力、Auto－PEEP；流量波形、压力波形、容量波形、压力容量环、流速容量环。</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4.报警含氧气不足、空气不足、分钟通气量上限、分钟通气量下限、呼气潮气量超限、自主呼吸频率超限、气道压力上限、气道压力下限、窒息、交流电源断电、氧浓度上限、氧浓度下限、电池电量低、持续气道压高、具有报警回顾功能。</w:t>
            </w:r>
          </w:p>
        </w:tc>
        <w:tc>
          <w:tcPr>
            <w:tcW w:w="993"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71" w:hRule="atLeast"/>
        </w:trPr>
        <w:tc>
          <w:tcPr>
            <w:tcW w:w="1176"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2</w:t>
            </w:r>
          </w:p>
        </w:tc>
        <w:tc>
          <w:tcPr>
            <w:tcW w:w="1302"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推注泵</w:t>
            </w:r>
          </w:p>
        </w:tc>
        <w:tc>
          <w:tcPr>
            <w:tcW w:w="5359"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★双通道一体机，可以分速输注；注射器品牌尺寸标注系统、速度自动校准方法和系统、滑块控制结构及含有该滑块控制结构的注射泵推进装置（提供证书）；内置电池充电12小时以上，可连续工作超过6小时。</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自动识别10ml、20ml、30ml、50ml注射器规格，注射速率：10ml：0.1ml/h—400ml/h， 20ml：0.1ml/h—600ml/h， 30ml：0.1ml/h—900ml/h，50ml：0.1ml/h—1500ml/h。</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注射精度：≤±2% （泵本身机械精度≤±1%）；在不暂停注射情况下，可以调整注射速度；具有三档阻塞报警阀选择：高800±200mm汞柱、中500±100mm汞柱、 低300±100mm汞柱。</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4.报警包含“管路阻塞”、“残留提示”、“注射完毕”、“注射器压杆安装错误”等；可设置开机后保存上次的参数速度或者开机显示速度清零两种可选。</w:t>
            </w:r>
          </w:p>
        </w:tc>
        <w:tc>
          <w:tcPr>
            <w:tcW w:w="993" w:type="dxa"/>
            <w:tcBorders>
              <w:top w:val="single" w:color="auto" w:sz="4" w:space="0"/>
              <w:left w:val="nil"/>
              <w:bottom w:val="single" w:color="auto" w:sz="4" w:space="0"/>
              <w:right w:val="single" w:color="auto" w:sz="8" w:space="0"/>
            </w:tcBorders>
            <w:shd w:val="clear" w:color="000000"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00" w:hRule="atLeast"/>
        </w:trPr>
        <w:tc>
          <w:tcPr>
            <w:tcW w:w="117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Cs/>
                <w:kern w:val="0"/>
                <w:szCs w:val="21"/>
              </w:rPr>
            </w:pPr>
            <w:r>
              <w:rPr>
                <w:rFonts w:hint="eastAsia" w:ascii="宋体" w:hAnsi="宋体" w:eastAsia="宋体" w:cs="宋体"/>
                <w:i w:val="0"/>
                <w:color w:val="000000"/>
                <w:kern w:val="0"/>
                <w:sz w:val="20"/>
                <w:szCs w:val="20"/>
                <w:u w:val="none"/>
                <w:lang w:val="en-US" w:eastAsia="zh-CN" w:bidi="ar"/>
              </w:rPr>
              <w:t>3</w:t>
            </w:r>
          </w:p>
        </w:tc>
        <w:tc>
          <w:tcPr>
            <w:tcW w:w="13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Cs/>
                <w:kern w:val="0"/>
                <w:szCs w:val="21"/>
              </w:rPr>
            </w:pPr>
            <w:r>
              <w:rPr>
                <w:rFonts w:hint="eastAsia" w:ascii="宋体" w:hAnsi="宋体" w:eastAsia="宋体" w:cs="宋体"/>
                <w:i w:val="0"/>
                <w:color w:val="000000"/>
                <w:kern w:val="0"/>
                <w:sz w:val="20"/>
                <w:szCs w:val="20"/>
                <w:u w:val="none"/>
                <w:lang w:val="en-US" w:eastAsia="zh-CN" w:bidi="ar"/>
              </w:rPr>
              <w:t>双相手动除颤仪</w:t>
            </w:r>
          </w:p>
        </w:tc>
        <w:tc>
          <w:tcPr>
            <w:tcW w:w="5359" w:type="dxa"/>
            <w:tcBorders>
              <w:top w:val="nil"/>
              <w:left w:val="nil"/>
              <w:bottom w:val="single" w:color="auto" w:sz="4" w:space="0"/>
              <w:right w:val="single" w:color="auto" w:sz="4" w:space="0"/>
            </w:tcBorders>
            <w:vAlign w:val="center"/>
          </w:tcPr>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低能量智能双相截顶波，根据病人阻抗调整除颤波形，保持最有效的经心电流；标配手动除颤、AED和同步电复律功能；除颤能量的最高能量≤200J，手动除颤能量最小是1J；每次充电到除颤仪标识的最高能量时间≤ 6秒，在AED成人模式下，固定能量的选择≤160J；具有快速电击技术，启动AED模式到通电完成时间≤ 8秒。</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显示屏≥7寸高分辨率彩色TFT显示屏；AED功能具备一键切换成人及婴幼儿儿童模式；成人、儿童一体化除颤电极板，具备胸壁阻抗接触指示灯；可进行持续心电监护，可识别≥9种常见的心率/心律失常报警，有心率快/心率慢、心搏停止、室颤/室速、室速、极度心动过速、室性早搏心率、起搏器未夺获、起搏器未起搏；具备事件标记功能。</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电池使用时间≥2.5小时；重复充电锂电池，≥100 次最高能量充电/电击；具有快速充电技术，≤2小时可充电到80%，≤3小时充电到100%。</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主机具备智能关机自检功能，在关机状态下，无需接上交流电源，主机仍可进行自动检测；具有每小时、每天、每周定期自检功能。</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内部事件总结可在每份事件总结中存储≥ 8 小时的2 条持续 ECG波形；最多可存储≥50个时长约30分钟的事件概要；记录仪可配置为自动打印标记的事件、充电、电击和报警；报告事件总结、生命体征趋势、操作检验、配置、状态记录和设备信息。</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6.整机重量≤6.5KG；防水/防固体渗入等级≥IP54。</w:t>
            </w:r>
          </w:p>
        </w:tc>
        <w:tc>
          <w:tcPr>
            <w:tcW w:w="993" w:type="dxa"/>
            <w:tcBorders>
              <w:top w:val="nil"/>
              <w:left w:val="nil"/>
              <w:bottom w:val="single" w:color="auto" w:sz="4" w:space="0"/>
              <w:right w:val="single" w:color="auto" w:sz="8" w:space="0"/>
            </w:tcBorders>
            <w:vAlign w:val="center"/>
          </w:tcPr>
          <w:p>
            <w:pPr>
              <w:widowControl/>
              <w:adjustRightInd w:val="0"/>
              <w:snapToGrid w:val="0"/>
              <w:rPr>
                <w:rFonts w:ascii="宋体" w:hAnsi="宋体" w:eastAsia="宋体" w:cs="宋体"/>
                <w:b/>
                <w:bCs/>
                <w:kern w:val="0"/>
                <w:szCs w:val="21"/>
              </w:rPr>
            </w:pPr>
            <w:r>
              <w:rPr>
                <w:rFonts w:hint="eastAsia" w:ascii="宋体" w:hAnsi="宋体" w:eastAsia="宋体" w:cs="宋体"/>
                <w:b/>
                <w:bCs/>
                <w:kern w:val="0"/>
                <w:szCs w:val="21"/>
              </w:rPr>
              <w:t>　</w:t>
            </w:r>
          </w:p>
        </w:tc>
      </w:tr>
      <w:tr>
        <w:tblPrEx>
          <w:tblCellMar>
            <w:top w:w="0" w:type="dxa"/>
            <w:left w:w="108" w:type="dxa"/>
            <w:bottom w:w="0" w:type="dxa"/>
            <w:right w:w="108" w:type="dxa"/>
          </w:tblCellMar>
        </w:tblPrEx>
        <w:trPr>
          <w:trHeight w:val="990" w:hRule="atLeast"/>
        </w:trPr>
        <w:tc>
          <w:tcPr>
            <w:tcW w:w="117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3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心电监护仪</w:t>
            </w:r>
          </w:p>
        </w:tc>
        <w:tc>
          <w:tcPr>
            <w:tcW w:w="5359" w:type="dxa"/>
            <w:tcBorders>
              <w:top w:val="nil"/>
              <w:left w:val="nil"/>
              <w:bottom w:val="single" w:color="auto" w:sz="4" w:space="0"/>
              <w:right w:val="single" w:color="auto" w:sz="4" w:space="0"/>
            </w:tcBorders>
            <w:vAlign w:val="center"/>
          </w:tcPr>
          <w:p>
            <w:pPr>
              <w:keepNext w:val="0"/>
              <w:keepLines w:val="0"/>
              <w:widowControl/>
              <w:numPr>
                <w:ilvl w:val="0"/>
                <w:numId w:val="4"/>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显示屏：尺寸≥12”，可外接显示器，同时观察波形≥8通道，触屏；标准配置含心电、呼吸、无创血压、血氧饱和度(、脉率、双体温。可选配置：12导心电、有创压力、主流\旁流呼末二氧化碳、微流呼末二氧化碳、麻醉气体、脑电双频指数。</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2.★标配心律失常种类≥23种，包括“房颤”等高级分析功能。 标配 QT/QTc 分析功能。具有最多12导ST分析功能；提供ST-MAP，直观反映心肌缺血或心梗情况；具备动态血压分析功能，可自动统计分析24小时内血压变化，制作直方图，具有收缩压和舒张压的血压差报警功能；标配灌注指数 (PI) 的进口血氧技术，标配指套式血氧传感器，血氧脉率范围30-300bpm；可选配主流/旁流EtCO2模块或微流EtCO2模块 主流/旁流EtCO2模块：实现在一个模块上的两种技术切换； ，可适用于新生儿，可支持综合肺功能指数。</w:t>
            </w:r>
          </w:p>
          <w:p>
            <w:pPr>
              <w:keepNext w:val="0"/>
              <w:keepLines w:val="0"/>
              <w:widowControl/>
              <w:numPr>
                <w:ilvl w:val="0"/>
                <w:numId w:val="0"/>
              </w:numPr>
              <w:suppressLineNumbers w:val="0"/>
              <w:jc w:val="left"/>
              <w:textAlignment w:val="center"/>
              <w:rPr>
                <w:rStyle w:val="48"/>
                <w:lang w:val="en-US" w:eastAsia="zh-CN" w:bidi="ar"/>
              </w:rPr>
            </w:pPr>
            <w:r>
              <w:rPr>
                <w:rFonts w:hint="eastAsia" w:ascii="宋体" w:hAnsi="宋体" w:eastAsia="宋体" w:cs="宋体"/>
                <w:i w:val="0"/>
                <w:color w:val="000000"/>
                <w:kern w:val="0"/>
                <w:sz w:val="20"/>
                <w:szCs w:val="20"/>
                <w:u w:val="none"/>
                <w:lang w:val="en-US" w:eastAsia="zh-CN" w:bidi="ar"/>
              </w:rPr>
              <w:t>3.无需存储卡或中央站，可储存≥24小时全息波形；标配的HL7数据输出，标配VGA输出接口、护士呼叫接口和除颤同步输出和USB接口；具备记录仪，可打印波形通道≥3通道；可选配有创压力、脑电双频指数等。</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990" w:hRule="atLeast"/>
        </w:trPr>
        <w:tc>
          <w:tcPr>
            <w:tcW w:w="117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3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输液泵</w:t>
            </w:r>
          </w:p>
        </w:tc>
        <w:tc>
          <w:tcPr>
            <w:tcW w:w="5359" w:type="dxa"/>
            <w:tcBorders>
              <w:top w:val="nil"/>
              <w:left w:val="nil"/>
              <w:bottom w:val="single" w:color="auto" w:sz="4" w:space="0"/>
              <w:right w:val="single" w:color="auto" w:sz="4" w:space="0"/>
            </w:tcBorders>
            <w:vAlign w:val="center"/>
          </w:tcPr>
          <w:p>
            <w:pPr>
              <w:keepNext w:val="0"/>
              <w:keepLines w:val="0"/>
              <w:widowControl/>
              <w:numPr>
                <w:ilvl w:val="0"/>
                <w:numId w:val="5"/>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双屏幕设计：显示速度、预置量、累积量、输液器品牌、输液器规格、输液模式、压力档、压力动态显示。</w:t>
            </w:r>
          </w:p>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★带有车载电源DC12V接口、护士呼叫接口、标准R232接口、USB接口、直流输出接口用于供电给输液输血加温器等设备。</w:t>
            </w:r>
          </w:p>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输液速率设定：滴/min、ml/h、时间/容量三种；具有10滴/ml、15滴/ml、18滴/ml、 20滴/ml、60滴/ml五种规格以上输液器参数；流速1-1500ml/h，点滴1-200滴。</w:t>
            </w:r>
          </w:p>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★报警包含超时、输液器未校准提示、管路阻塞、管路气泡、泵门未关闭、输液完毕等，报警音量可调，输液器标定功能，适配所有品牌输液器；在不暂停输液的情况下，可以通过按键键调整输液速度。</w:t>
            </w:r>
          </w:p>
          <w:p>
            <w:pPr>
              <w:keepNext w:val="0"/>
              <w:keepLines w:val="0"/>
              <w:widowControl/>
              <w:numPr>
                <w:ilvl w:val="0"/>
                <w:numId w:val="0"/>
              </w:numPr>
              <w:suppressLineNumbers w:val="0"/>
              <w:ind w:leftChars="0"/>
              <w:jc w:val="left"/>
              <w:textAlignment w:val="center"/>
              <w:rPr>
                <w:rStyle w:val="48"/>
                <w:lang w:val="en-US" w:eastAsia="zh-CN" w:bidi="ar"/>
              </w:rPr>
            </w:pPr>
            <w:r>
              <w:rPr>
                <w:rFonts w:hint="eastAsia" w:ascii="宋体" w:hAnsi="宋体" w:eastAsia="宋体" w:cs="宋体"/>
                <w:i w:val="0"/>
                <w:color w:val="000000"/>
                <w:kern w:val="0"/>
                <w:sz w:val="20"/>
                <w:szCs w:val="20"/>
                <w:u w:val="none"/>
                <w:lang w:val="en-US" w:eastAsia="zh-CN" w:bidi="ar"/>
              </w:rPr>
              <w:t>5.在液晶屏上可查询500条历史输液信息，显示输液日期、开始时间、停止时间、速度、预置量、累计量、报警状态等。</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990" w:hRule="atLeast"/>
        </w:trPr>
        <w:tc>
          <w:tcPr>
            <w:tcW w:w="117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kern w:val="0"/>
                <w:szCs w:val="21"/>
              </w:rPr>
            </w:pPr>
            <w:r>
              <w:rPr>
                <w:rFonts w:hint="eastAsia" w:ascii="宋体" w:hAnsi="宋体" w:eastAsia="宋体" w:cs="宋体"/>
                <w:i w:val="0"/>
                <w:color w:val="000000"/>
                <w:kern w:val="0"/>
                <w:sz w:val="20"/>
                <w:szCs w:val="20"/>
                <w:u w:val="none"/>
                <w:lang w:val="en-US" w:eastAsia="zh-CN" w:bidi="ar"/>
              </w:rPr>
              <w:t>6</w:t>
            </w:r>
          </w:p>
        </w:tc>
        <w:tc>
          <w:tcPr>
            <w:tcW w:w="13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Cs w:val="21"/>
              </w:rPr>
            </w:pPr>
            <w:r>
              <w:rPr>
                <w:rFonts w:hint="eastAsia" w:ascii="宋体" w:hAnsi="宋体" w:eastAsia="宋体" w:cs="宋体"/>
                <w:i w:val="0"/>
                <w:color w:val="000000"/>
                <w:kern w:val="0"/>
                <w:sz w:val="20"/>
                <w:szCs w:val="20"/>
                <w:u w:val="none"/>
                <w:lang w:val="en-US" w:eastAsia="zh-CN" w:bidi="ar"/>
              </w:rPr>
              <w:t>心电图机</w:t>
            </w:r>
          </w:p>
        </w:tc>
        <w:tc>
          <w:tcPr>
            <w:tcW w:w="5359" w:type="dxa"/>
            <w:tcBorders>
              <w:top w:val="nil"/>
              <w:left w:val="nil"/>
              <w:bottom w:val="single" w:color="auto" w:sz="4" w:space="0"/>
              <w:right w:val="single" w:color="auto" w:sz="4" w:space="0"/>
            </w:tcBorders>
            <w:vAlign w:val="center"/>
          </w:tcPr>
          <w:p>
            <w:pPr>
              <w:keepNext w:val="0"/>
              <w:keepLines w:val="0"/>
              <w:widowControl/>
              <w:numPr>
                <w:ilvl w:val="0"/>
                <w:numId w:val="6"/>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★心电输入 12 导联同步采集，采样率 ≥8000 Hz/通道，噪声 ≤15 μVp-p，模数转换精度 ≥12 bit 或≤2.5 μV，基线漂移滤波 0.05, 0.15, 0.5；显示导联数 同屏12 导联，每导联显示≥5s；可任选10 秒标准12 导联报告或1 分钟节律；内置心电动态波形供演示和教学。</w:t>
            </w:r>
          </w:p>
          <w:p>
            <w:pPr>
              <w:keepNext w:val="0"/>
              <w:keepLines w:val="0"/>
              <w:widowControl/>
              <w:numPr>
                <w:ilvl w:val="0"/>
                <w:numId w:val="6"/>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★可显示患者信息、日期、心率、网络状态、电池状态、心电波形、导联名称等；系统菜单可快速调出导联图、快速设置等；内置打印机 高分辨率数字阵列打印机，打印患者信息、测量参数、分析报告、日期和时间、走纸速度、导联名称、心电波形等。</w:t>
            </w:r>
          </w:p>
          <w:p>
            <w:pPr>
              <w:keepNext w:val="0"/>
              <w:keepLines w:val="0"/>
              <w:widowControl/>
              <w:numPr>
                <w:ilvl w:val="0"/>
                <w:numId w:val="0"/>
              </w:numPr>
              <w:suppressLineNumbers w:val="0"/>
              <w:ind w:leftChars="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3.走纸速度 5、 10、 25、 50 mm/s；重量： ≤2.6Kg，内置提手；可连续工作600 分钟以上；导出PDF 贮存容量 ≥3000 份，外部贮存 U 盘及网盘；至少支持左右手接反及相隔胸导联接错提示。</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575" w:hRule="atLeast"/>
        </w:trPr>
        <w:tc>
          <w:tcPr>
            <w:tcW w:w="2478" w:type="dxa"/>
            <w:gridSpan w:val="2"/>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售后服务</w:t>
            </w:r>
          </w:p>
        </w:tc>
        <w:tc>
          <w:tcPr>
            <w:tcW w:w="5359"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要求</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CellMar>
            <w:top w:w="0" w:type="dxa"/>
            <w:left w:w="108" w:type="dxa"/>
            <w:bottom w:w="0" w:type="dxa"/>
            <w:right w:w="108" w:type="dxa"/>
          </w:tblCellMar>
        </w:tblPrEx>
        <w:trPr>
          <w:trHeight w:val="692"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1</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保修年限</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≥3年</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255"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出现故障回应时间</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维修到达现场时间≤ 6小时（本地）</w:t>
            </w:r>
            <w:r>
              <w:rPr>
                <w:rFonts w:hint="eastAsia" w:ascii="宋体" w:hAnsi="宋体" w:eastAsia="宋体" w:cs="宋体"/>
                <w:kern w:val="0"/>
                <w:szCs w:val="21"/>
              </w:rPr>
              <w:br w:type="textWrapping"/>
            </w:r>
            <w:r>
              <w:rPr>
                <w:rFonts w:hint="eastAsia" w:ascii="宋体" w:hAnsi="宋体" w:eastAsia="宋体" w:cs="宋体"/>
                <w:kern w:val="0"/>
                <w:szCs w:val="21"/>
              </w:rPr>
              <w:t>维修到达现场时间≤</w:t>
            </w:r>
            <w:r>
              <w:rPr>
                <w:rFonts w:hint="eastAsia" w:ascii="宋体" w:hAnsi="宋体" w:eastAsia="宋体" w:cs="宋体"/>
                <w:kern w:val="0"/>
                <w:szCs w:val="21"/>
                <w:lang w:val="en-US" w:eastAsia="zh-CN"/>
              </w:rPr>
              <w:t>24</w:t>
            </w:r>
            <w:r>
              <w:rPr>
                <w:rFonts w:hint="eastAsia" w:ascii="宋体" w:hAnsi="宋体" w:eastAsia="宋体" w:cs="宋体"/>
                <w:kern w:val="0"/>
                <w:szCs w:val="21"/>
              </w:rPr>
              <w:t>小时（外地）</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79"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3</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维修支持</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配件供应时间≥</w:t>
            </w:r>
            <w:r>
              <w:rPr>
                <w:rFonts w:hint="eastAsia" w:ascii="宋体" w:hAnsi="宋体" w:eastAsia="宋体" w:cs="宋体"/>
                <w:kern w:val="0"/>
                <w:szCs w:val="21"/>
                <w:lang w:val="en-US" w:eastAsia="zh-CN"/>
              </w:rPr>
              <w:t>10</w:t>
            </w:r>
            <w:r>
              <w:rPr>
                <w:rFonts w:hint="eastAsia" w:ascii="宋体" w:hAnsi="宋体" w:eastAsia="宋体" w:cs="宋体"/>
                <w:kern w:val="0"/>
                <w:szCs w:val="21"/>
              </w:rPr>
              <w:t>年</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781" w:hRule="atLeast"/>
        </w:trPr>
        <w:tc>
          <w:tcPr>
            <w:tcW w:w="1176"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w:t>
            </w:r>
          </w:p>
        </w:tc>
        <w:tc>
          <w:tcPr>
            <w:tcW w:w="130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耗材及零配件</w:t>
            </w:r>
          </w:p>
        </w:tc>
        <w:tc>
          <w:tcPr>
            <w:tcW w:w="5359"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提供耗材及主要零配件目录（含报价）</w:t>
            </w:r>
          </w:p>
        </w:tc>
        <w:tc>
          <w:tcPr>
            <w:tcW w:w="993"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79"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5</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维修资料</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val="en-US" w:eastAsia="zh-CN"/>
              </w:rPr>
            </w:pPr>
            <w:r>
              <w:rPr>
                <w:rFonts w:hint="eastAsia" w:ascii="宋体" w:hAnsi="宋体" w:eastAsia="宋体" w:cs="宋体"/>
                <w:kern w:val="0"/>
                <w:szCs w:val="21"/>
              </w:rPr>
              <w:t>提供详细操作手册、维修保养手册、安装手册等</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6</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维修工具</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提供维修专用工具1套</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35"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7</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预防性维修</w:t>
            </w:r>
            <w:r>
              <w:rPr>
                <w:rFonts w:hint="eastAsia" w:ascii="宋体" w:hAnsi="宋体" w:eastAsia="宋体" w:cs="宋体"/>
                <w:kern w:val="0"/>
                <w:szCs w:val="21"/>
              </w:rPr>
              <w:br w:type="textWrapping"/>
            </w:r>
            <w:r>
              <w:rPr>
                <w:rFonts w:hint="eastAsia" w:ascii="宋体" w:hAnsi="宋体" w:eastAsia="宋体" w:cs="宋体"/>
                <w:kern w:val="0"/>
                <w:szCs w:val="21"/>
              </w:rPr>
              <w:t>/定期维护保养</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保修期内</w:t>
            </w:r>
            <w:r>
              <w:rPr>
                <w:rFonts w:hint="eastAsia" w:ascii="宋体" w:hAnsi="宋体" w:eastAsia="宋体" w:cs="宋体"/>
                <w:kern w:val="0"/>
                <w:szCs w:val="21"/>
                <w:lang w:eastAsia="zh-CN"/>
              </w:rPr>
              <w:t>按维修手册要求</w:t>
            </w:r>
            <w:r>
              <w:rPr>
                <w:rFonts w:hint="eastAsia" w:ascii="宋体" w:hAnsi="宋体" w:eastAsia="宋体" w:cs="宋体"/>
                <w:kern w:val="0"/>
                <w:szCs w:val="21"/>
              </w:rPr>
              <w:t>提供定期维护保养服务</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4"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8</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维修密码支持</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开放</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9</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升级</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终身免费软件升级</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10</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使用培训</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eastAsia="zh-CN"/>
              </w:rPr>
            </w:pPr>
            <w:r>
              <w:rPr>
                <w:rFonts w:hint="eastAsia" w:ascii="宋体" w:hAnsi="宋体" w:eastAsia="宋体" w:cs="宋体"/>
                <w:kern w:val="0"/>
                <w:szCs w:val="21"/>
              </w:rPr>
              <w:t>支持</w:t>
            </w:r>
            <w:r>
              <w:rPr>
                <w:rFonts w:hint="eastAsia" w:ascii="宋体" w:hAnsi="宋体" w:eastAsia="宋体" w:cs="宋体"/>
                <w:kern w:val="0"/>
                <w:szCs w:val="21"/>
                <w:lang w:eastAsia="zh-CN"/>
              </w:rPr>
              <w:t>免费培训</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40432230"/>
      <w:bookmarkStart w:id="10" w:name="_Toc37172689"/>
      <w:bookmarkStart w:id="11" w:name="_Toc390713968"/>
      <w:bookmarkStart w:id="12" w:name="_Toc285612601"/>
      <w:bookmarkStart w:id="13" w:name="_Toc43554098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lang w:val="zh-CN" w:eastAsia="zh-CN"/>
        </w:rPr>
        <w:t>军队采购网</w:t>
      </w:r>
      <w:r>
        <w:rPr>
          <w:rFonts w:hint="eastAsia" w:cs="Times New Roman" w:asciiTheme="minorEastAsia" w:hAnsiTheme="minorEastAsia"/>
          <w:snapToGrid w:val="0"/>
          <w:kern w:val="0"/>
          <w:sz w:val="24"/>
          <w:szCs w:val="24"/>
          <w:lang w:val="zh-CN"/>
        </w:rPr>
        <w:t>》</w:t>
      </w:r>
      <w:r>
        <w:rPr>
          <w:rFonts w:hint="eastAsia" w:cs="Times New Roman" w:asciiTheme="minorEastAsia" w:hAnsiTheme="minorEastAsia"/>
          <w:snapToGrid w:val="0"/>
          <w:kern w:val="0"/>
          <w:sz w:val="24"/>
          <w:szCs w:val="24"/>
          <w:lang w:val="zh-CN" w:eastAsia="zh-CN"/>
        </w:rPr>
        <w:t>（www.plap.cn）、</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b/>
                <w:bCs/>
                <w:kern w:val="0"/>
                <w:sz w:val="21"/>
                <w:szCs w:val="21"/>
              </w:rPr>
              <w:t>呼吸机</w:t>
            </w:r>
          </w:p>
        </w:tc>
        <w:tc>
          <w:tcPr>
            <w:tcW w:w="708" w:type="dxa"/>
            <w:noWrap/>
          </w:tcPr>
          <w:p>
            <w:pPr>
              <w:spacing w:line="440" w:lineRule="exact"/>
              <w:jc w:val="left"/>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1.支持成人、儿童呼吸机支持，气动电控，至少10.4”高分辨率一体化TFT彩色大屏幕显示；具有大气压自动校正、同步雾化、、可更改默认参数的紧急启动、、氧浓度监测、后备电池。</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通气模式：VCV、VC－SIMV、VC－SIMV＋PSV、PSV、CPAP；压力保护型通气模式：PCV、PC－SIMV、PC－SIMV＋PSV、PSV、CPAP；潮气量：50ml～1500ml；呼吸频率：4～100bpm；吸气时间：0.1～12s；屏气时间：0～4s；压力支持水平：0～60cmH2O；压力控制水平：5cmH2O～60cmH2O；压力触发灵敏度：-20～ 0cmH2O；流速触发灵敏度：0.5~20LPM；PEEP/CPAP：0～40cmH2O；FiO2调节：21%～100%连续可调。</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可监测吸入潮气量、呼出潮气量、总计呼吸频率、自主呼吸频率、分钟通气量、自主呼吸分钟通气量、气道峰值压力、气道平均压力、气道平台压、呼吸末正压、氧浓度，吸呼比，肺顺应性（静态）、气道阻力、Auto－PEEP；流量波形、压力波形、容量波形、压力容量环、流速容量环。</w:t>
            </w:r>
          </w:p>
        </w:tc>
        <w:tc>
          <w:tcPr>
            <w:tcW w:w="708" w:type="dxa"/>
            <w:noWrap/>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4.报警含氧气不足、空气不足、分钟通气量上限、分钟通气量下限、呼气潮气量超限、自主呼吸频率超限、气道压力上限、气道压力下限、窒息、交流电源断电、氧浓度上限、氧浓度下限、电池电量低、持续气道压高、具有报警回顾功能。</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b/>
                <w:bCs/>
                <w:kern w:val="0"/>
                <w:sz w:val="20"/>
                <w:szCs w:val="21"/>
              </w:rPr>
              <w:t>推注泵</w:t>
            </w:r>
          </w:p>
        </w:tc>
        <w:tc>
          <w:tcPr>
            <w:tcW w:w="708" w:type="dxa"/>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1.★双通道一体机，可以分速输注；注射器品牌尺寸标注系统、速度自动校准方法和系统、滑块控制结构及含有该滑块控制结构的注射泵推进装置（提供证书）；内置电池充电12小时以上，可连续工作超过6小时。</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rPr>
            </w:pPr>
            <w:r>
              <w:rPr>
                <w:rFonts w:hint="eastAsia" w:cs="Times New Roman" w:asciiTheme="minorEastAsia" w:hAnsiTheme="minorEastAsia"/>
                <w:kern w:val="0"/>
                <w:sz w:val="21"/>
                <w:szCs w:val="21"/>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2.自动识别10ml、20ml、30ml、50ml注射器规格，注射速率：10ml：0.1ml/h—400ml/h， 20ml：0.1ml/h—600ml/h， 30ml：0.1ml/h—900ml/h，50ml：0.1ml/h—1500ml/h。</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3.注射精度：≤±2% （泵本身机械精度≤±1%）；在不暂停注射情况下，可以调整注射速度；具有三档阻塞报警阀选择：高800±200mm汞柱、中500±100mm汞柱、 低300±100mm汞柱。</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4.报警包含“管路阻塞”、“残留提示”、“注射完毕”、“注射器压杆安装错误”等；可设置开机后保存上次的参数速度或者开机显示速度清零两种可选。</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双相手动除颤仪</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低能量智能双相截顶波，根据病人阻抗调整除颤波形，保持最有效的经心电流；标配手动除颤、AED和同步电复律功能；除颤能量的最高能量≤200J，手动除颤能量最小是1J；每次充电到除颤仪标识的最高能量时间≤ 6秒，在AED成人模式下，固定能量的选择≤160J；具有快速电击技术，启动AED模式到通电完成时间≤ 8秒。</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显示屏≥7寸高分辨率彩色TFT显示屏；AED功能具备一键切换成人及婴幼儿儿童模式；成人、儿童一体化除颤电极板，具备胸壁阻抗接触指示灯；可进行持续心电监护，可识别≥9种常见的心率/心律失常报警，有心率快/心率慢、心搏停止、室颤/室速、室速、极度心动过速、室性早搏心率、起搏器未夺获、起搏器未起搏；具备事件标记功能。</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3.电池使用时间≥2.5小时；重复充电锂电池，≥100 次最高能量充电/电击；具有快速充电技术，≤2小时可充电到80%，≤3小时充电到100%。</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4.主机具备智能关机自检功能，在关机状态下，无需接上交流电源，主机仍可进行自动检测；具有每小时、每天、每周定期自检功能。</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5.内部事件总结可在每份事件总结中存储≥ 8 小时的2 条持续 ECG波形；最多可存储≥50个时长约30分钟的事件概要；记录仪可配置为自动打印标记的事件、充电、电击和报警；报告事件总结、生命体征趋势、操作检验、配置、状态记录和设备信息。</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6.整机重量≤6.5KG；防水/防固体渗入等级≥IP54。</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心电监护仪</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显示屏：尺寸≥12”，可外接显示器，同时观察波形≥8通道，触屏；标准配置含心电、呼吸、无创血压、血氧饱和度(、脉率、双体温。可选配置：12导心电、有创压力、主流\旁流呼末二氧化碳、微流呼末二氧化碳、麻醉气体、脑电双频指数。</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2.★标配心律失常种类≥23种，包括“房颤”等高级分析功能。 标配 QT/QTc 分析功能。具有最多12导ST分析功能；提供ST-MAP，直观反映心肌缺血或心梗情况；具备动态血压分析功能，可自动统计分析24小时内血压变化，制作直方图，具有收缩压和舒张压的血压差报警功能；标配灌注指数 (PI) 的进口血氧技术，标配指套式血氧传感器，血氧脉率范围30-300bpm；可选配主流/旁流EtCO2模块或微流EtCO2模块 主流/旁流EtCO2模块：实现在一个模块上的两种技术切换； ，可适用于新生儿，可支持综合肺功能指数。</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3.无需存储卡或中央站，可储存≥24小时全息波形；标配的HL7数据输出，标配VGA输出接口、护士呼叫接口和除颤同步输出和USB接口；具备记录仪，可打印波形通道≥3通道；可选配有创压力、脑电双频指数等。</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输液泵</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1.双屏幕设计：显示速度、预置量、累积量、输液器品牌、输液器规格、输液模式、压力档、压力动态显示。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2.★带有车载电源DC12V接口、护士呼叫接口、标准R232接口、USB接口、直流输出接口用于供电给输液输血加温器等设备。</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3.输液速率设定：滴/min、ml/h、时间/容量三种；具有10滴/ml、15滴/ml、18滴/ml、 20滴/ml、60滴/ml五种规格以上输液器参数；流速1-1500ml/h，点滴1-200滴。</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numPr>
                <w:ilvl w:val="0"/>
                <w:numId w:val="0"/>
              </w:num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4.★报警包含超时、输液器未校准提示、管路阻塞、管路气泡、泵门未关闭、输液完毕等，报警音量可调，输液器标定功能，适配所有品牌输液器；在不暂停输液的情况下，可以通过按键键调整输液速度。</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5.在液晶屏上可查询500条历史输液信息，显示输液日期、开始时间、停止时间、速度、预置量、累计量、报警状态等。</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心电图机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1.★心电输入 12 导联同步采集，采样率 ≥8000 Hz/通道，噪声 ≤15 μVp-p，模数转换精度 ≥12 bit 或≤2.5 μV，基线漂移滤波 0.05, 0.15, 0.5；显示导联数 同屏12 导联，每导联显示≥5s；可任选10 秒标准12 导联报告或1 分钟节律；内置心电动态波形供演示和教学。</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2.★可显示患者信息、日期、心率、网络状态、电池状态、心电波形、导联名称等；系统菜单可快速调出导联图、快速设置等；内置打印机 高分辨率数字阵列打印机，打印患者信息、测量参数、分析报告、日期和时间、走纸速度、导联名称、心电波形等。</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3.走纸速度 5、 10、 25、 50 mm/s；重量： ≤2.6Kg，内置提手；可连续工作600 分钟以上；导出PDF 贮存容量 ≥3000 份，外部贮存 U 盘及网盘；至少支持左右手接反及相隔胸导联接错提示。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7172690"/>
      <w:bookmarkStart w:id="15" w:name="_Toc390713969"/>
      <w:bookmarkStart w:id="16" w:name="_Toc285612603"/>
      <w:bookmarkStart w:id="17" w:name="_Toc435540981"/>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7172691"/>
      <w:bookmarkStart w:id="19" w:name="_Toc285612604"/>
      <w:bookmarkStart w:id="20" w:name="_Toc240432233"/>
      <w:bookmarkStart w:id="21" w:name="_Toc435540982"/>
      <w:bookmarkStart w:id="22" w:name="_Toc390713970"/>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7"/>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7"/>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7"/>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7"/>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7"/>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7"/>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7"/>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7"/>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1333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889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13335" b="133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1、授权书的格式不限，但必须具有授权单位与授权人的公章/签章，授权销售区域，授权期限（起止日期）等主要内容。</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2、进口产品需提供原厂对中国总代的中英文授权，并提供中国总代至各级销售授权书。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57</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3A5A1"/>
    <w:multiLevelType w:val="singleLevel"/>
    <w:tmpl w:val="8773A5A1"/>
    <w:lvl w:ilvl="0" w:tentative="0">
      <w:start w:val="1"/>
      <w:numFmt w:val="decimal"/>
      <w:lvlText w:val="%1."/>
      <w:lvlJc w:val="left"/>
      <w:pPr>
        <w:tabs>
          <w:tab w:val="left" w:pos="312"/>
        </w:tabs>
      </w:pPr>
    </w:lvl>
  </w:abstractNum>
  <w:abstractNum w:abstractNumId="1">
    <w:nsid w:val="DDB5BED2"/>
    <w:multiLevelType w:val="singleLevel"/>
    <w:tmpl w:val="DDB5BED2"/>
    <w:lvl w:ilvl="0" w:tentative="0">
      <w:start w:val="1"/>
      <w:numFmt w:val="decimal"/>
      <w:lvlText w:val="%1."/>
      <w:lvlJc w:val="left"/>
      <w:pPr>
        <w:tabs>
          <w:tab w:val="left" w:pos="312"/>
        </w:tabs>
      </w:pPr>
    </w:lvl>
  </w:abstractNum>
  <w:abstractNum w:abstractNumId="2">
    <w:nsid w:val="F2C3B5AE"/>
    <w:multiLevelType w:val="singleLevel"/>
    <w:tmpl w:val="F2C3B5AE"/>
    <w:lvl w:ilvl="0" w:tentative="0">
      <w:start w:val="1"/>
      <w:numFmt w:val="decimal"/>
      <w:lvlText w:val="%1."/>
      <w:lvlJc w:val="left"/>
      <w:pPr>
        <w:tabs>
          <w:tab w:val="left" w:pos="312"/>
        </w:tabs>
      </w:pPr>
    </w:lvl>
  </w:abstractNum>
  <w:abstractNum w:abstractNumId="3">
    <w:nsid w:val="FB984FB5"/>
    <w:multiLevelType w:val="singleLevel"/>
    <w:tmpl w:val="FB984FB5"/>
    <w:lvl w:ilvl="0" w:tentative="0">
      <w:start w:val="1"/>
      <w:numFmt w:val="decimal"/>
      <w:lvlText w:val="%1."/>
      <w:lvlJc w:val="left"/>
      <w:pPr>
        <w:tabs>
          <w:tab w:val="left" w:pos="312"/>
        </w:tabs>
      </w:pPr>
    </w:lvl>
  </w:abstractNum>
  <w:abstractNum w:abstractNumId="4">
    <w:nsid w:val="0AAE2B94"/>
    <w:multiLevelType w:val="singleLevel"/>
    <w:tmpl w:val="0AAE2B94"/>
    <w:lvl w:ilvl="0" w:tentative="0">
      <w:start w:val="1"/>
      <w:numFmt w:val="decimal"/>
      <w:lvlText w:val="%1."/>
      <w:lvlJc w:val="left"/>
      <w:pPr>
        <w:tabs>
          <w:tab w:val="left" w:pos="312"/>
        </w:tabs>
      </w:pPr>
    </w:lvl>
  </w:abstractNum>
  <w:abstractNum w:abstractNumId="5">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abstractNum w:abstractNumId="6">
    <w:nsid w:val="529C6FDE"/>
    <w:multiLevelType w:val="singleLevel"/>
    <w:tmpl w:val="529C6FDE"/>
    <w:lvl w:ilvl="0" w:tentative="0">
      <w:start w:val="1"/>
      <w:numFmt w:val="decimal"/>
      <w:lvlText w:val="%1."/>
      <w:lvlJc w:val="left"/>
      <w:pPr>
        <w:tabs>
          <w:tab w:val="left" w:pos="312"/>
        </w:tabs>
      </w:pPr>
    </w:lvl>
  </w:abstractNum>
  <w:num w:numId="1">
    <w:abstractNumId w:val="2"/>
  </w:num>
  <w:num w:numId="2">
    <w:abstractNumId w:val="3"/>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2D66484"/>
    <w:rsid w:val="04792945"/>
    <w:rsid w:val="0ED71C08"/>
    <w:rsid w:val="182B2713"/>
    <w:rsid w:val="28E30963"/>
    <w:rsid w:val="2B73463B"/>
    <w:rsid w:val="45232FD7"/>
    <w:rsid w:val="45BD552E"/>
    <w:rsid w:val="4C8E5F31"/>
    <w:rsid w:val="4F481D27"/>
    <w:rsid w:val="514151AF"/>
    <w:rsid w:val="5AB16304"/>
    <w:rsid w:val="64071E3F"/>
    <w:rsid w:val="661D2237"/>
    <w:rsid w:val="7A570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character" w:customStyle="1" w:styleId="47">
    <w:name w:val="font11"/>
    <w:basedOn w:val="19"/>
    <w:qFormat/>
    <w:uiPriority w:val="0"/>
    <w:rPr>
      <w:rFonts w:hint="eastAsia" w:ascii="宋体" w:hAnsi="宋体" w:eastAsia="宋体" w:cs="宋体"/>
      <w:color w:val="000000"/>
      <w:sz w:val="20"/>
      <w:szCs w:val="20"/>
      <w:u w:val="none"/>
    </w:rPr>
  </w:style>
  <w:style w:type="character" w:customStyle="1" w:styleId="48">
    <w:name w:val="font31"/>
    <w:basedOn w:val="19"/>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7CC2B-A00C-442C-9208-5B8405E0170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4947</Words>
  <Characters>28200</Characters>
  <Lines>235</Lines>
  <Paragraphs>66</Paragraphs>
  <TotalTime>2</TotalTime>
  <ScaleCrop>false</ScaleCrop>
  <LinksUpToDate>false</LinksUpToDate>
  <CharactersWithSpaces>33081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2020-06-09T08:36:00Z</cp:lastPrinted>
  <dcterms:modified xsi:type="dcterms:W3CDTF">2020-09-08T02:34:51Z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