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不干胶标签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w:t>
      </w:r>
      <w:r>
        <w:rPr>
          <w:rFonts w:hint="eastAsia" w:ascii="宋体" w:hAnsi="宋体" w:eastAsia="宋体" w:cs="Times New Roman"/>
          <w:kern w:val="0"/>
          <w:sz w:val="36"/>
          <w:szCs w:val="36"/>
          <w:u w:val="single"/>
        </w:rPr>
        <w:t xml:space="preserve">40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28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30</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color w:val="FF0000"/>
          <w:kern w:val="0"/>
          <w:sz w:val="28"/>
          <w:szCs w:val="28"/>
        </w:rPr>
      </w:pPr>
      <w:r>
        <w:rPr>
          <w:rFonts w:hint="eastAsia" w:ascii="Tahoma" w:hAnsi="Tahoma" w:cs="Tahoma"/>
          <w:b/>
          <w:bCs/>
          <w:kern w:val="0"/>
          <w:sz w:val="28"/>
          <w:szCs w:val="28"/>
        </w:rPr>
        <w:t>关于不干胶标签的采购</w:t>
      </w:r>
      <w:r>
        <w:rPr>
          <w:rFonts w:ascii="Tahoma" w:hAnsi="Tahoma" w:cs="Tahoma"/>
          <w:b/>
          <w:bCs/>
          <w:kern w:val="0"/>
          <w:sz w:val="28"/>
          <w:szCs w:val="28"/>
        </w:rPr>
        <w:t>公告</w:t>
      </w:r>
      <w:r>
        <w:rPr>
          <w:rFonts w:ascii="Tahoma" w:hAnsi="Tahoma" w:cs="Tahoma"/>
          <w:kern w:val="0"/>
          <w:sz w:val="28"/>
          <w:szCs w:val="28"/>
        </w:rPr>
        <w:t>2020-JL13(03)-W100</w:t>
      </w:r>
      <w:r>
        <w:rPr>
          <w:rFonts w:hint="eastAsia" w:ascii="Tahoma" w:hAnsi="Tahoma" w:cs="Tahoma"/>
          <w:kern w:val="0"/>
          <w:sz w:val="28"/>
          <w:szCs w:val="28"/>
        </w:rPr>
        <w:t>40</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不干胶标签</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w:t>
      </w:r>
      <w:r>
        <w:rPr>
          <w:rFonts w:hint="eastAsia" w:cs="Times New Roman" w:asciiTheme="minorEastAsia" w:hAnsiTheme="minorEastAsia"/>
          <w:b/>
          <w:kern w:val="0"/>
          <w:sz w:val="24"/>
          <w:szCs w:val="24"/>
        </w:rPr>
        <w:t>40</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47"/>
        <w:gridCol w:w="1275"/>
        <w:gridCol w:w="2127"/>
        <w:gridCol w:w="850"/>
        <w:gridCol w:w="709"/>
        <w:gridCol w:w="709"/>
        <w:gridCol w:w="819"/>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830"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p>
            <w:pPr>
              <w:adjustRightInd w:val="0"/>
              <w:snapToGrid w:val="0"/>
              <w:jc w:val="center"/>
              <w:rPr>
                <w:rFonts w:cs="Times New Roman" w:asciiTheme="minorEastAsia" w:hAnsiTheme="minorEastAsia"/>
                <w:szCs w:val="21"/>
              </w:rPr>
            </w:pPr>
          </w:p>
        </w:tc>
        <w:tc>
          <w:tcPr>
            <w:tcW w:w="1047"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不干胶</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标签</w:t>
            </w:r>
          </w:p>
          <w:p>
            <w:pPr>
              <w:adjustRightInd w:val="0"/>
              <w:snapToGrid w:val="0"/>
              <w:jc w:val="center"/>
              <w:rPr>
                <w:rFonts w:cs="Times New Roman" w:asciiTheme="minorEastAsia" w:hAnsiTheme="minor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Theme="minorEastAsia" w:hAnsiTheme="minorEastAsia"/>
                <w:color w:val="000000"/>
                <w:szCs w:val="21"/>
              </w:rPr>
              <w:t>1.3*2.4cm</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cs="宋体" w:asciiTheme="minorEastAsia" w:hAnsiTheme="minorEastAsia"/>
                <w:color w:val="000000"/>
                <w:szCs w:val="21"/>
              </w:rPr>
            </w:pPr>
            <w:r>
              <w:rPr>
                <w:rFonts w:hint="eastAsia" w:asciiTheme="minorEastAsia" w:hAnsiTheme="minorEastAsia"/>
                <w:color w:val="000000"/>
                <w:szCs w:val="21"/>
              </w:rPr>
              <w:t>彩色，模切,126个/张</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Theme="minorEastAsia" w:hAnsiTheme="minorEastAsia"/>
                <w:color w:val="000000"/>
                <w:szCs w:val="21"/>
              </w:rPr>
              <w:t>1.7*3.8cm</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color w:val="000000"/>
                <w:szCs w:val="21"/>
              </w:rPr>
            </w:pPr>
            <w:r>
              <w:rPr>
                <w:rFonts w:hint="eastAsia" w:asciiTheme="minorEastAsia" w:hAnsiTheme="minorEastAsia"/>
                <w:color w:val="000000"/>
                <w:szCs w:val="21"/>
              </w:rPr>
              <w:t>彩色，模切，70个/张</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Theme="minorEastAsia" w:hAnsiTheme="minorEastAsia"/>
                <w:color w:val="000000"/>
                <w:szCs w:val="21"/>
              </w:rPr>
              <w:t>2.6*4cm</w:t>
            </w:r>
          </w:p>
        </w:tc>
        <w:tc>
          <w:tcPr>
            <w:tcW w:w="2127" w:type="dxa"/>
            <w:tcBorders>
              <w:top w:val="single" w:color="auto" w:sz="4" w:space="0"/>
              <w:left w:val="single" w:color="auto" w:sz="4" w:space="0"/>
              <w:bottom w:val="single" w:color="auto" w:sz="4" w:space="0"/>
              <w:right w:val="single" w:color="auto" w:sz="4" w:space="0"/>
            </w:tcBorders>
          </w:tcPr>
          <w:p>
            <w:pPr>
              <w:spacing w:line="360" w:lineRule="exact"/>
              <w:jc w:val="left"/>
              <w:rPr>
                <w:rFonts w:asciiTheme="minorEastAsia" w:hAnsiTheme="minorEastAsia"/>
                <w:color w:val="000000"/>
                <w:szCs w:val="21"/>
              </w:rPr>
            </w:pPr>
            <w:r>
              <w:rPr>
                <w:rFonts w:hint="eastAsia" w:asciiTheme="minorEastAsia" w:hAnsiTheme="minorEastAsia"/>
                <w:color w:val="000000"/>
                <w:szCs w:val="21"/>
              </w:rPr>
              <w:t>彩色，模切,50个/张</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Theme="minorEastAsia" w:hAnsiTheme="minorEastAsia"/>
                <w:color w:val="000000"/>
                <w:szCs w:val="21"/>
              </w:rPr>
              <w:t>1.4*3cm</w:t>
            </w:r>
          </w:p>
        </w:tc>
        <w:tc>
          <w:tcPr>
            <w:tcW w:w="2127" w:type="dxa"/>
            <w:tcBorders>
              <w:top w:val="single" w:color="auto" w:sz="4" w:space="0"/>
              <w:left w:val="single" w:color="auto" w:sz="4" w:space="0"/>
              <w:bottom w:val="single" w:color="auto" w:sz="4" w:space="0"/>
              <w:right w:val="single" w:color="auto" w:sz="4" w:space="0"/>
            </w:tcBorders>
          </w:tcPr>
          <w:p>
            <w:pPr>
              <w:spacing w:line="360" w:lineRule="exact"/>
              <w:jc w:val="left"/>
              <w:rPr>
                <w:rFonts w:asciiTheme="minorEastAsia" w:hAnsiTheme="minorEastAsia"/>
                <w:color w:val="000000"/>
                <w:szCs w:val="21"/>
              </w:rPr>
            </w:pPr>
            <w:r>
              <w:rPr>
                <w:rFonts w:hint="eastAsia" w:asciiTheme="minorEastAsia" w:hAnsiTheme="minorEastAsia"/>
                <w:color w:val="000000"/>
                <w:szCs w:val="21"/>
              </w:rPr>
              <w:t>彩色，模切,96个/张</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Theme="minorEastAsia" w:hAnsiTheme="minorEastAsia"/>
                <w:color w:val="000000"/>
                <w:szCs w:val="21"/>
              </w:rPr>
              <w:t>1.6*3cm</w:t>
            </w:r>
          </w:p>
        </w:tc>
        <w:tc>
          <w:tcPr>
            <w:tcW w:w="2127" w:type="dxa"/>
            <w:tcBorders>
              <w:top w:val="single" w:color="auto" w:sz="4" w:space="0"/>
              <w:left w:val="single" w:color="auto" w:sz="4" w:space="0"/>
              <w:bottom w:val="single" w:color="auto" w:sz="4" w:space="0"/>
              <w:right w:val="single" w:color="auto" w:sz="4" w:space="0"/>
            </w:tcBorders>
          </w:tcPr>
          <w:p>
            <w:pPr>
              <w:spacing w:line="360" w:lineRule="exact"/>
              <w:jc w:val="left"/>
              <w:rPr>
                <w:rFonts w:asciiTheme="minorEastAsia" w:hAnsiTheme="minorEastAsia"/>
                <w:color w:val="000000"/>
                <w:szCs w:val="21"/>
              </w:rPr>
            </w:pPr>
            <w:r>
              <w:rPr>
                <w:rFonts w:hint="eastAsia" w:asciiTheme="minorEastAsia" w:hAnsiTheme="minorEastAsia"/>
                <w:color w:val="000000"/>
                <w:szCs w:val="21"/>
              </w:rPr>
              <w:t>彩色，模切,90个/张</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Theme="minorEastAsia" w:hAnsiTheme="minorEastAsia"/>
                <w:color w:val="000000"/>
                <w:szCs w:val="21"/>
              </w:rPr>
              <w:t>4*6.5cm</w:t>
            </w:r>
          </w:p>
        </w:tc>
        <w:tc>
          <w:tcPr>
            <w:tcW w:w="2127" w:type="dxa"/>
            <w:tcBorders>
              <w:top w:val="single" w:color="auto" w:sz="4" w:space="0"/>
              <w:left w:val="single" w:color="auto" w:sz="4" w:space="0"/>
              <w:bottom w:val="single" w:color="auto" w:sz="4" w:space="0"/>
              <w:right w:val="single" w:color="auto" w:sz="4" w:space="0"/>
            </w:tcBorders>
          </w:tcPr>
          <w:p>
            <w:pPr>
              <w:spacing w:line="360" w:lineRule="exact"/>
              <w:jc w:val="left"/>
              <w:rPr>
                <w:rFonts w:asciiTheme="minorEastAsia" w:hAnsiTheme="minorEastAsia"/>
                <w:color w:val="000000"/>
                <w:szCs w:val="21"/>
              </w:rPr>
            </w:pPr>
            <w:r>
              <w:rPr>
                <w:rFonts w:hint="eastAsia" w:asciiTheme="minorEastAsia" w:hAnsiTheme="minorEastAsia"/>
                <w:color w:val="000000"/>
                <w:szCs w:val="21"/>
              </w:rPr>
              <w:t>彩色，模切,21个/张</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color w:val="000000"/>
                <w:szCs w:val="21"/>
              </w:rPr>
              <w:t>3*4cm</w:t>
            </w:r>
          </w:p>
        </w:tc>
        <w:tc>
          <w:tcPr>
            <w:tcW w:w="2127" w:type="dxa"/>
            <w:tcBorders>
              <w:top w:val="single" w:color="auto" w:sz="4" w:space="0"/>
              <w:left w:val="single" w:color="auto" w:sz="4" w:space="0"/>
              <w:bottom w:val="single" w:color="auto" w:sz="4" w:space="0"/>
              <w:right w:val="single" w:color="auto" w:sz="4" w:space="0"/>
            </w:tcBorders>
          </w:tcPr>
          <w:p>
            <w:pPr>
              <w:spacing w:line="360" w:lineRule="exact"/>
              <w:rPr>
                <w:rFonts w:cs="宋体" w:asciiTheme="minorEastAsia" w:hAnsiTheme="minorEastAsia"/>
                <w:color w:val="000000"/>
                <w:szCs w:val="21"/>
              </w:rPr>
            </w:pPr>
            <w:r>
              <w:rPr>
                <w:rFonts w:hint="eastAsia" w:asciiTheme="minorEastAsia" w:hAnsiTheme="minorEastAsia"/>
                <w:color w:val="000000"/>
                <w:szCs w:val="21"/>
              </w:rPr>
              <w:t>彩色，模切,45个/张</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color w:val="000000"/>
                <w:szCs w:val="21"/>
              </w:rPr>
              <w:t>5*2.5cm</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asciiTheme="minorEastAsia" w:hAnsiTheme="minorEastAsia"/>
                <w:color w:val="000000"/>
                <w:szCs w:val="21"/>
              </w:rPr>
              <w:t>彩色，模切,35个/张</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投标人须对所投包内所有产品进行投标报价，否则视为无效投标。</w:t>
            </w:r>
          </w:p>
          <w:p>
            <w:pPr>
              <w:adjustRightInd w:val="0"/>
              <w:snapToGrid w:val="0"/>
              <w:rPr>
                <w:rFonts w:ascii="宋体" w:hAnsi="宋体"/>
              </w:rPr>
            </w:pPr>
            <w:r>
              <w:rPr>
                <w:rFonts w:hint="eastAsia" w:cs="Times New Roman" w:asciiTheme="minorEastAsia" w:hAnsiTheme="minorEastAsia"/>
                <w:kern w:val="0"/>
                <w:szCs w:val="21"/>
              </w:rPr>
              <w:t>2.</w:t>
            </w:r>
            <w:r>
              <w:rPr>
                <w:rFonts w:hint="eastAsia" w:ascii="宋体" w:hAnsi="宋体"/>
              </w:rPr>
              <w:t>投标报价应包括所有货物供应、运输、培训、售后服务等价格。</w:t>
            </w:r>
          </w:p>
          <w:p>
            <w:pPr>
              <w:adjustRightInd w:val="0"/>
              <w:snapToGrid w:val="0"/>
              <w:rPr>
                <w:rFonts w:ascii="宋体" w:hAnsi="宋体"/>
                <w:b/>
              </w:rPr>
            </w:pPr>
            <w:r>
              <w:rPr>
                <w:rFonts w:hint="eastAsia" w:ascii="宋体" w:hAnsi="宋体"/>
                <w:b/>
              </w:rPr>
              <w:t>3.印刷内容根据医院要求印刷（详见样品）。</w:t>
            </w:r>
          </w:p>
          <w:p>
            <w:pPr>
              <w:adjustRightInd w:val="0"/>
              <w:snapToGrid w:val="0"/>
              <w:rPr>
                <w:rFonts w:cs="Times New Roman" w:asciiTheme="minorEastAsia" w:hAnsiTheme="minorEastAsia"/>
                <w:b/>
                <w:szCs w:val="21"/>
              </w:rPr>
            </w:pPr>
            <w:r>
              <w:rPr>
                <w:rFonts w:hint="eastAsia" w:ascii="宋体" w:hAnsi="宋体"/>
                <w:b/>
              </w:rPr>
              <w:t>4.所有物资需提供样品参加评审。</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w:t>
      </w:r>
      <w:r>
        <w:rPr>
          <w:rFonts w:hint="eastAsia" w:cs="Times New Roman" w:asciiTheme="minorEastAsia" w:hAnsiTheme="minorEastAsia"/>
          <w:color w:val="FF0000"/>
          <w:kern w:val="0"/>
          <w:sz w:val="24"/>
          <w:szCs w:val="24"/>
        </w:rPr>
        <w:t>3</w:t>
      </w:r>
      <w:r>
        <w:rPr>
          <w:rFonts w:hint="eastAsia" w:cs="Times New Roman" w:asciiTheme="minorEastAsia" w:hAnsiTheme="minorEastAsia"/>
          <w:kern w:val="0"/>
          <w:sz w:val="24"/>
          <w:szCs w:val="24"/>
        </w:rPr>
        <w:t>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adjustRightInd w:val="0"/>
        <w:snapToGrid w:val="0"/>
        <w:spacing w:line="440" w:lineRule="exact"/>
        <w:ind w:firstLine="231" w:firstLineChars="1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"http://www.zhaobiao.cn）、《军队采购网》（www.plap.cn" </w:instrText>
      </w:r>
      <w:r>
        <w:fldChar w:fldCharType="separate"/>
      </w:r>
      <w:r>
        <w:rPr>
          <w:rStyle w:val="21"/>
          <w:rFonts w:asciiTheme="minorEastAsia" w:hAnsiTheme="minorEastAsia"/>
          <w:b/>
          <w:color w:val="auto"/>
          <w:kern w:val="0"/>
          <w:sz w:val="24"/>
          <w:szCs w:val="24"/>
          <w:u w:val="none"/>
        </w:rPr>
        <w:t>www.zhaobiao.cn</w:t>
      </w:r>
      <w:r>
        <w:rPr>
          <w:rStyle w:val="21"/>
          <w:rFonts w:hint="eastAsia" w:asciiTheme="minorEastAsia" w:hAnsiTheme="minorEastAsia"/>
          <w:b/>
          <w:color w:val="auto"/>
          <w:kern w:val="0"/>
          <w:sz w:val="24"/>
          <w:szCs w:val="24"/>
          <w:u w:val="none"/>
        </w:rPr>
        <w:t>）、《军队采购网》（www.plap.cn</w:t>
      </w:r>
      <w:r>
        <w:rPr>
          <w:rStyle w:val="21"/>
          <w:rFonts w:hint="eastAsia"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023-68766149/68766153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rPr>
        <w:t>10</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lang w:val="en-US" w:eastAsia="zh-CN"/>
        </w:rPr>
        <w:t>13</w:t>
      </w:r>
      <w:bookmarkStart w:id="24" w:name="_GoBack"/>
      <w:bookmarkEnd w:id="24"/>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1684"/>
        <w:gridCol w:w="1859"/>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68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8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426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68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不干胶标签</w:t>
            </w:r>
          </w:p>
        </w:tc>
        <w:tc>
          <w:tcPr>
            <w:tcW w:w="18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三项目概况</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三项目概况</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r>
      <w:bookmarkEnd w:id="8"/>
    </w:tbl>
    <w:p>
      <w:pPr>
        <w:adjustRightInd w:val="0"/>
        <w:snapToGrid w:val="0"/>
        <w:spacing w:line="440" w:lineRule="exact"/>
        <w:rPr>
          <w:rFonts w:cs="Times New Roman" w:asciiTheme="minorEastAsia" w:hAnsiTheme="minorEastAsia"/>
          <w:color w:val="FF0000"/>
          <w:kern w:val="0"/>
          <w:sz w:val="24"/>
          <w:szCs w:val="24"/>
        </w:rPr>
      </w:pP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 xml:space="preserve">甲方规定时间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运送至甲方指定地点,落地交货</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1141" w:firstLineChars="494"/>
        <w:rPr>
          <w:rFonts w:cs="Times New Roman" w:asciiTheme="minorEastAsia" w:hAnsiTheme="minorEastAsia"/>
          <w:color w:val="FF0000"/>
          <w:kern w:val="0"/>
          <w:sz w:val="24"/>
          <w:szCs w:val="24"/>
          <w:u w:val="single"/>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按计划送至需方指定地点且验收合格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pStyle w:val="47"/>
        <w:ind w:firstLine="462"/>
      </w:pPr>
      <w:r>
        <w:t>1</w:t>
      </w:r>
      <w:r>
        <w:rPr>
          <w:rFonts w:hint="eastAsia" w:cs="Arial" w:asciiTheme="minorEastAsia" w:hAnsiTheme="minorEastAsia"/>
          <w:color w:val="FF0000"/>
        </w:rPr>
        <w:t>.</w:t>
      </w:r>
      <w:r>
        <w:rPr>
          <w:rFonts w:hint="eastAsia"/>
        </w:rPr>
        <w:t>甲方在使用乙方所供产品而引起的事故和纠纷，经国家法律部门鉴定是产品质量问题造成的，乙方应承担相关责任并负责协调处理事故和纠纷。</w:t>
      </w:r>
    </w:p>
    <w:p>
      <w:pPr>
        <w:pStyle w:val="47"/>
        <w:ind w:firstLine="462"/>
      </w:pPr>
      <w:r>
        <w:t>2</w:t>
      </w:r>
      <w:r>
        <w:rPr>
          <w:rFonts w:hint="eastAsia" w:cs="Arial" w:asciiTheme="minorEastAsia" w:hAnsiTheme="minorEastAsia"/>
          <w:color w:val="FF0000"/>
        </w:rPr>
        <w:t>.</w:t>
      </w:r>
      <w:r>
        <w:rPr>
          <w:rFonts w:hint="eastAsia"/>
        </w:rPr>
        <w:t>乙方须指派专人负责与甲方联系售后服务事宜。</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w:t>
      </w:r>
      <w:r>
        <w:rPr>
          <w:rFonts w:hint="eastAsia" w:ascii="宋体" w:hAnsi="宋体" w:eastAsia="宋体" w:cs="Times New Roman"/>
          <w:kern w:val="0"/>
          <w:sz w:val="24"/>
          <w:szCs w:val="24"/>
          <w:lang w:val="zh-CN"/>
        </w:rPr>
        <w:t>包装标识及运输：乙方应承担产品包装、运输、搬运等所有费用。产品包装应按照国家规定，同时满足保持产品特性和远距离运输的要求，所有标识应完整、清晰，符合国家标准。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adjustRightInd w:val="0"/>
        <w:snapToGrid w:val="0"/>
        <w:spacing w:line="440" w:lineRule="exact"/>
        <w:ind w:firstLine="462" w:firstLineChars="200"/>
        <w:rPr>
          <w:rFonts w:cs="Times New Roman" w:asciiTheme="minorEastAsia" w:hAnsiTheme="minorEastAsia"/>
          <w:color w:val="FF0000"/>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693" w:firstLineChars="3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本项目不组织现场勘查。</w:t>
      </w:r>
    </w:p>
    <w:p>
      <w:pPr>
        <w:adjustRightInd w:val="0"/>
        <w:snapToGrid w:val="0"/>
        <w:spacing w:line="440" w:lineRule="exact"/>
        <w:ind w:firstLine="462" w:firstLineChars="200"/>
        <w:rPr>
          <w:rFonts w:cs="Times New Roman" w:asciiTheme="minorEastAsia" w:hAnsiTheme="minorEastAsia"/>
          <w:b/>
          <w:color w:val="FF0000"/>
          <w:kern w:val="0"/>
          <w:sz w:val="24"/>
          <w:szCs w:val="24"/>
          <w:lang w:val="zh-CN"/>
        </w:rPr>
      </w:pPr>
      <w:r>
        <w:rPr>
          <w:rFonts w:hint="eastAsia" w:cs="Times New Roman" w:asciiTheme="minorEastAsia" w:hAnsiTheme="minorEastAsia"/>
          <w:b/>
          <w:kern w:val="0"/>
          <w:sz w:val="24"/>
          <w:szCs w:val="24"/>
          <w:lang w:val="zh-CN"/>
        </w:rPr>
        <w:t>（五）看样品时间及地点</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1.地    点：</w:t>
      </w:r>
      <w:r>
        <w:rPr>
          <w:rFonts w:hint="eastAsia" w:cs="Times New Roman" w:asciiTheme="minorEastAsia" w:hAnsiTheme="minorEastAsia"/>
          <w:kern w:val="0"/>
          <w:sz w:val="24"/>
          <w:szCs w:val="24"/>
        </w:rPr>
        <w:t>整形美容楼一楼</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rPr>
        <w:t>2.时    间：开标前（08:00—12:00，15:00—18:00）</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3.联 系 人：谭老师   </w:t>
      </w:r>
    </w:p>
    <w:p>
      <w:pPr>
        <w:adjustRightInd w:val="0"/>
        <w:snapToGrid w:val="0"/>
        <w:spacing w:line="440" w:lineRule="exact"/>
        <w:ind w:firstLine="1040" w:firstLineChars="450"/>
        <w:rPr>
          <w:rFonts w:cs="Times New Roman" w:asciiTheme="minorEastAsia" w:hAnsiTheme="minorEastAsia"/>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r>
        <w:rPr>
          <w:rFonts w:hint="eastAsia" w:cs="Times New Roman" w:asciiTheme="minorEastAsia" w:hAnsiTheme="minorEastAsia"/>
          <w:kern w:val="0"/>
          <w:sz w:val="24"/>
          <w:szCs w:val="24"/>
        </w:rPr>
        <w:t>电    话： 023-68754841</w:t>
      </w: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390713968"/>
      <w:bookmarkStart w:id="11" w:name="_Toc435540980"/>
      <w:bookmarkStart w:id="12" w:name="_Toc285612601"/>
      <w:bookmarkStart w:id="13"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附件10</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预付货款，待所有货物出厂验收合格并发运到位后，合同甲方按医院规定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(1)投标函（附件2）</w:t>
      </w:r>
    </w:p>
    <w:p>
      <w:pPr>
        <w:adjustRightInd w:val="0"/>
        <w:snapToGrid w:val="0"/>
        <w:spacing w:line="440" w:lineRule="exact"/>
        <w:ind w:firstLine="347" w:firstLineChars="15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（2）主要商务条款响应偏离表（附件3）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(3)投标人售后服务承诺（附件4）</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(4)生产厂家售后服务承诺（进口设备由总代提供，附件5）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(5)近3年中标成交案例及同类项目案例（附件6）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(6)投标产品相关检测报告</w:t>
      </w:r>
    </w:p>
    <w:p>
      <w:pPr>
        <w:adjustRightInd w:val="0"/>
        <w:snapToGrid w:val="0"/>
        <w:spacing w:line="440" w:lineRule="exact"/>
        <w:ind w:firstLine="453" w:firstLineChars="196"/>
        <w:rPr>
          <w:rFonts w:cs="Times New Roman" w:asciiTheme="minorEastAsia" w:hAnsiTheme="minorEastAsia"/>
          <w:color w:val="FF0000"/>
          <w:kern w:val="0"/>
          <w:sz w:val="24"/>
          <w:szCs w:val="24"/>
        </w:rPr>
      </w:pPr>
      <w:r>
        <w:rPr>
          <w:rFonts w:hint="eastAsia" w:cs="Times New Roman" w:asciiTheme="minorEastAsia" w:hAnsiTheme="minorEastAsia"/>
          <w:kern w:val="0"/>
          <w:sz w:val="24"/>
          <w:szCs w:val="24"/>
        </w:rPr>
        <w:t>(7)技术评审表（附件7）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(8)商务评审表（附件8）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w:t>
      </w:r>
      <w:r>
        <w:rPr>
          <w:rFonts w:hint="eastAsia" w:cs="宋体" w:asciiTheme="minorEastAsia" w:hAnsiTheme="minorEastAsia"/>
          <w:b/>
          <w:snapToGrid w:val="0"/>
          <w:kern w:val="0"/>
          <w:sz w:val="24"/>
          <w:szCs w:val="24"/>
          <w:lang w:val="zh-CN"/>
        </w:rPr>
        <w:t>印刷内容（包括内容调整）</w:t>
      </w:r>
      <w:r>
        <w:rPr>
          <w:rFonts w:hint="eastAsia" w:cs="宋体" w:asciiTheme="minorEastAsia" w:hAnsiTheme="minorEastAsia"/>
          <w:snapToGrid w:val="0"/>
          <w:kern w:val="0"/>
          <w:sz w:val="24"/>
          <w:szCs w:val="24"/>
          <w:lang w:val="zh-CN"/>
        </w:rPr>
        <w:t>、专用工具、包装、安装、调试等费用和税金。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w:t>
      </w:r>
      <w:r>
        <w:rPr>
          <w:rFonts w:hint="eastAsia" w:cs="Times New Roman" w:asciiTheme="minorEastAsia" w:hAnsiTheme="minorEastAsia"/>
          <w:b/>
          <w:bCs/>
          <w:kern w:val="0"/>
          <w:sz w:val="24"/>
          <w:szCs w:val="24"/>
        </w:rPr>
        <w:t>及样品</w:t>
      </w:r>
      <w:r>
        <w:rPr>
          <w:rFonts w:hint="eastAsia" w:cs="Times New Roman" w:asciiTheme="minorEastAsia" w:hAnsiTheme="minorEastAsia"/>
          <w:bCs/>
          <w:kern w:val="0"/>
          <w:sz w:val="24"/>
          <w:szCs w:val="24"/>
        </w:rPr>
        <w:t>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本项目采用</w:t>
      </w:r>
      <w:r>
        <w:rPr>
          <w:rFonts w:hint="eastAsia" w:cs="Times New Roman" w:asciiTheme="minorEastAsia" w:hAnsiTheme="minorEastAsia"/>
          <w:sz w:val="24"/>
          <w:szCs w:val="24"/>
        </w:rPr>
        <w:t>综合评分法</w:t>
      </w:r>
      <w:r>
        <w:rPr>
          <w:rFonts w:hint="eastAsia" w:cs="Times New Roman" w:asciiTheme="minorEastAsia" w:hAnsiTheme="minorEastAsia"/>
          <w:kern w:val="0"/>
          <w:sz w:val="24"/>
          <w:szCs w:val="24"/>
        </w:rPr>
        <w:t>进行评标。</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4"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11.保密承诺书及廉洁诚信承诺书</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1.根据报价方近三年平均资产总额进行评分，第一名得1.5分，依次递减0.2分。（以第三方会计师事务所出具的近3年的财务审计报告中显示的数据为准）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由大至小排名，第一名得1.5分，依次递减0.2分。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评价证书的得1分，其他得0分。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证明，级别最高的得1分，其他得0分。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样品  评审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（40分）</w:t>
            </w:r>
          </w:p>
        </w:tc>
        <w:tc>
          <w:tcPr>
            <w:tcW w:w="6946" w:type="dxa"/>
            <w:noWrap/>
          </w:tcPr>
          <w:p>
            <w:pPr>
              <w:pStyle w:val="46"/>
              <w:numPr>
                <w:ilvl w:val="0"/>
                <w:numId w:val="1"/>
              </w:numPr>
              <w:spacing w:line="440" w:lineRule="exact"/>
              <w:ind w:firstLineChars="0"/>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提供所投产品样品，满足招标文件全部实质性要求，质量最优得40分，依次递减5分，最低0分；</w:t>
            </w:r>
          </w:p>
          <w:p>
            <w:pPr>
              <w:pStyle w:val="46"/>
              <w:numPr>
                <w:ilvl w:val="0"/>
                <w:numId w:val="1"/>
              </w:numPr>
              <w:spacing w:line="440" w:lineRule="exact"/>
              <w:ind w:firstLineChars="0"/>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提供所投产品样品，不满足招标文件全部实质性要求，得0分。</w:t>
            </w:r>
          </w:p>
          <w:p>
            <w:pPr>
              <w:spacing w:line="440" w:lineRule="exact"/>
              <w:rPr>
                <w:rFonts w:cs="Times New Roman" w:asciiTheme="majorEastAsia" w:hAnsiTheme="majorEastAsia" w:eastAsiaTheme="majorEastAsia"/>
                <w:kern w:val="0"/>
                <w:sz w:val="21"/>
                <w:szCs w:val="21"/>
              </w:rPr>
            </w:pP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退换货承诺：产品因质量问题承诺无条件退换货得标准分，</w:t>
            </w:r>
            <w:r>
              <w:rPr>
                <w:rFonts w:hint="eastAsia" w:cs="Times New Roman" w:asciiTheme="majorEastAsia" w:hAnsiTheme="majorEastAsia" w:eastAsiaTheme="majorEastAsia"/>
                <w:kern w:val="0"/>
                <w:sz w:val="21"/>
                <w:szCs w:val="21"/>
              </w:rPr>
              <w:t>其他得0分。</w:t>
            </w:r>
            <w:r>
              <w:rPr>
                <w:rFonts w:hint="eastAsia" w:cs="Times New Roman" w:asciiTheme="minorEastAsia" w:hAnsiTheme="minorEastAsia" w:eastAsiaTheme="minorEastAsia"/>
                <w:kern w:val="0"/>
                <w:sz w:val="21"/>
                <w:szCs w:val="21"/>
              </w:rPr>
              <w:t>（未履行退换货承诺的，相关企业将列入黑名单。）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到货时间响应：接到医院订货通知，对所投产品的到位响应时间排名，时间最快的得标准分值，依次递减0.2分，最低得0分。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排版更改响应：满足招标文件要求的基础上，根据医院对所投产品的如果需要更改印刷内容，响应时间最快的得标准分值，依次递减0.2分，最低得0分。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陈老师、谭老师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023-68766149/68766153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435540981"/>
      <w:bookmarkStart w:id="16" w:name="_Toc37172690"/>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435540982"/>
      <w:bookmarkStart w:id="20" w:name="_Toc37172691"/>
      <w:bookmarkStart w:id="21" w:name="_Toc240432233"/>
      <w:bookmarkStart w:id="22" w:name="_Toc285612604"/>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80"/>
        <w:gridCol w:w="1039"/>
        <w:gridCol w:w="2268"/>
        <w:gridCol w:w="1842"/>
        <w:gridCol w:w="993"/>
        <w:gridCol w:w="992"/>
        <w:gridCol w:w="170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不干胶标签</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p>
            <w:pPr>
              <w:adjustRightInd w:val="0"/>
              <w:snapToGrid w:val="0"/>
              <w:jc w:val="center"/>
              <w:rPr>
                <w:rFonts w:cs="Times New Roman" w:asciiTheme="minorEastAsia" w:hAnsiTheme="minorEastAsia"/>
                <w:szCs w:val="21"/>
              </w:rPr>
            </w:pPr>
          </w:p>
        </w:tc>
        <w:tc>
          <w:tcPr>
            <w:tcW w:w="99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eastAsia="宋体" w:cs="Times New Roman"/>
                <w:kern w:val="0"/>
                <w:sz w:val="24"/>
                <w:szCs w:val="24"/>
              </w:rPr>
            </w:pPr>
            <w:r>
              <w:rPr>
                <w:rFonts w:hint="eastAsia" w:cs="Times New Roman" w:asciiTheme="minorEastAsia" w:hAnsiTheme="minorEastAsia"/>
                <w:szCs w:val="21"/>
              </w:rPr>
              <w:t>详见招标公告三项目概况</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jc w:val="center"/>
        </w:trPr>
        <w:tc>
          <w:tcPr>
            <w:tcW w:w="14851"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投标单价合计（人民币大写）：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说明：1.</w:t>
      </w:r>
      <w:r>
        <w:rPr>
          <w:rFonts w:hint="eastAsia" w:ascii="宋体" w:hAnsi="宋体" w:eastAsia="宋体" w:cs="Times New Roman"/>
          <w:bCs/>
          <w:spacing w:val="-4"/>
          <w:kern w:val="0"/>
          <w:sz w:val="24"/>
          <w:szCs w:val="24"/>
        </w:rPr>
        <w:t>投标单价合计=</w:t>
      </w:r>
      <w:r>
        <w:rPr>
          <w:rFonts w:hint="eastAsia" w:ascii="宋体" w:hAnsi="宋体" w:eastAsia="宋体" w:cs="Times New Roman"/>
          <w:kern w:val="0"/>
          <w:sz w:val="24"/>
          <w:szCs w:val="24"/>
        </w:rPr>
        <w:t>货物单价之和。</w:t>
      </w:r>
    </w:p>
    <w:p>
      <w:pPr>
        <w:rPr>
          <w:rFonts w:ascii="宋体" w:hAnsi="宋体" w:eastAsia="宋体" w:cs="Times New Roman"/>
          <w:b/>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r>
        <w:rPr>
          <w:rFonts w:ascii="宋体" w:hAnsi="宋体" w:eastAsia="宋体" w:cs="Times New Roman"/>
          <w:kern w:val="0"/>
          <w:sz w:val="24"/>
          <w:szCs w:val="24"/>
        </w:rPr>
        <w:t xml:space="preserve">                                                  </w:t>
      </w: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附件2</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widowControl/>
        <w:jc w:val="left"/>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color w:val="FF0000"/>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color w:val="FF0000"/>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color w:val="FF0000"/>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rPr>
        <w:t>生产厂家</w:t>
      </w:r>
      <w:r>
        <w:rPr>
          <w:rFonts w:hint="eastAsia" w:cs="宋体" w:asciiTheme="minorEastAsia" w:hAnsiTheme="minorEastAsia"/>
          <w:kern w:val="0"/>
          <w:sz w:val="28"/>
          <w:szCs w:val="28"/>
          <w:lang w:val="zh-CN"/>
        </w:rPr>
        <w:t>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订单响应时间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更改排版响应时间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附件9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0</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我方了解，虚假声明是严重的违法行为。本声明如有虚假，我方愿意接受有关法律、法规和规章给予的处罚，并自愿承担被取消报价、预中标资格、解除合同以及赔偿本项目采购人损失的后果。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27</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45</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42114"/>
    <w:multiLevelType w:val="multilevel"/>
    <w:tmpl w:val="3C042114"/>
    <w:lvl w:ilvl="0" w:tentative="0">
      <w:start w:val="1"/>
      <w:numFmt w:val="decimal"/>
      <w:lvlText w:val="%1."/>
      <w:lvlJc w:val="left"/>
      <w:pPr>
        <w:ind w:left="360" w:hanging="36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50482"/>
    <w:rsid w:val="00054AFA"/>
    <w:rsid w:val="0005519E"/>
    <w:rsid w:val="0005539D"/>
    <w:rsid w:val="000636CA"/>
    <w:rsid w:val="00065FA8"/>
    <w:rsid w:val="0007237B"/>
    <w:rsid w:val="00074448"/>
    <w:rsid w:val="000744D5"/>
    <w:rsid w:val="000803AF"/>
    <w:rsid w:val="00085564"/>
    <w:rsid w:val="000879CB"/>
    <w:rsid w:val="00090C0E"/>
    <w:rsid w:val="00092481"/>
    <w:rsid w:val="000935ED"/>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E7731"/>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3A2A"/>
    <w:rsid w:val="0016438D"/>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5312"/>
    <w:rsid w:val="001A61A8"/>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137"/>
    <w:rsid w:val="00200C01"/>
    <w:rsid w:val="00202E5A"/>
    <w:rsid w:val="00204ECB"/>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7B97"/>
    <w:rsid w:val="003721E4"/>
    <w:rsid w:val="00377CC4"/>
    <w:rsid w:val="003804D0"/>
    <w:rsid w:val="00381B40"/>
    <w:rsid w:val="0038315E"/>
    <w:rsid w:val="003839B9"/>
    <w:rsid w:val="00384C3A"/>
    <w:rsid w:val="0038561E"/>
    <w:rsid w:val="0038583F"/>
    <w:rsid w:val="00386754"/>
    <w:rsid w:val="00391648"/>
    <w:rsid w:val="00392277"/>
    <w:rsid w:val="003923F1"/>
    <w:rsid w:val="00392C41"/>
    <w:rsid w:val="0039559B"/>
    <w:rsid w:val="0039601D"/>
    <w:rsid w:val="003A1528"/>
    <w:rsid w:val="003A1E13"/>
    <w:rsid w:val="003B0536"/>
    <w:rsid w:val="003B0652"/>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02E"/>
    <w:rsid w:val="00476D8F"/>
    <w:rsid w:val="004817C9"/>
    <w:rsid w:val="0048184A"/>
    <w:rsid w:val="004855DB"/>
    <w:rsid w:val="004864E4"/>
    <w:rsid w:val="00486FAC"/>
    <w:rsid w:val="004875F0"/>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B4937"/>
    <w:rsid w:val="005C0D9D"/>
    <w:rsid w:val="005C1F06"/>
    <w:rsid w:val="005C3150"/>
    <w:rsid w:val="005D0B03"/>
    <w:rsid w:val="005E60DB"/>
    <w:rsid w:val="005F4A22"/>
    <w:rsid w:val="005F507A"/>
    <w:rsid w:val="005F5D7D"/>
    <w:rsid w:val="005F680F"/>
    <w:rsid w:val="00603D4C"/>
    <w:rsid w:val="00603E3C"/>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1BD9"/>
    <w:rsid w:val="00682719"/>
    <w:rsid w:val="00684B77"/>
    <w:rsid w:val="0068595F"/>
    <w:rsid w:val="00690424"/>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A94"/>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97928"/>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C7857"/>
    <w:rsid w:val="007D5626"/>
    <w:rsid w:val="007D6B4A"/>
    <w:rsid w:val="007E05D4"/>
    <w:rsid w:val="007E1C94"/>
    <w:rsid w:val="007E2690"/>
    <w:rsid w:val="007E2FA9"/>
    <w:rsid w:val="007E33AC"/>
    <w:rsid w:val="007E4DE9"/>
    <w:rsid w:val="007E71E8"/>
    <w:rsid w:val="007E765E"/>
    <w:rsid w:val="007F021A"/>
    <w:rsid w:val="007F2105"/>
    <w:rsid w:val="007F39A1"/>
    <w:rsid w:val="007F4898"/>
    <w:rsid w:val="007F4F86"/>
    <w:rsid w:val="00803595"/>
    <w:rsid w:val="008055AC"/>
    <w:rsid w:val="00810E36"/>
    <w:rsid w:val="00811BED"/>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41E8"/>
    <w:rsid w:val="008557A0"/>
    <w:rsid w:val="00855AC0"/>
    <w:rsid w:val="00856711"/>
    <w:rsid w:val="00857990"/>
    <w:rsid w:val="00862D3E"/>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15B6"/>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D42A9"/>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44E2"/>
    <w:rsid w:val="00A66531"/>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0B6"/>
    <w:rsid w:val="00AA7CE8"/>
    <w:rsid w:val="00AB0819"/>
    <w:rsid w:val="00AB140D"/>
    <w:rsid w:val="00AB4A4E"/>
    <w:rsid w:val="00AB4AFD"/>
    <w:rsid w:val="00AB5A7B"/>
    <w:rsid w:val="00AC1106"/>
    <w:rsid w:val="00AC11FE"/>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5ADD"/>
    <w:rsid w:val="00BB7CF6"/>
    <w:rsid w:val="00BC21AC"/>
    <w:rsid w:val="00BD1E15"/>
    <w:rsid w:val="00BD39AC"/>
    <w:rsid w:val="00BD737A"/>
    <w:rsid w:val="00BD7CAC"/>
    <w:rsid w:val="00BE3C17"/>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E4B50"/>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1765C"/>
    <w:rsid w:val="00D205FF"/>
    <w:rsid w:val="00D23E0D"/>
    <w:rsid w:val="00D2626D"/>
    <w:rsid w:val="00D32648"/>
    <w:rsid w:val="00D34BFF"/>
    <w:rsid w:val="00D417CC"/>
    <w:rsid w:val="00D43BBF"/>
    <w:rsid w:val="00D51588"/>
    <w:rsid w:val="00D51635"/>
    <w:rsid w:val="00D52D7E"/>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647B"/>
    <w:rsid w:val="00E270B5"/>
    <w:rsid w:val="00E27BB6"/>
    <w:rsid w:val="00E36E55"/>
    <w:rsid w:val="00E374ED"/>
    <w:rsid w:val="00E40040"/>
    <w:rsid w:val="00E477BF"/>
    <w:rsid w:val="00E50B6E"/>
    <w:rsid w:val="00E50FC5"/>
    <w:rsid w:val="00E52986"/>
    <w:rsid w:val="00E529C2"/>
    <w:rsid w:val="00E52EBE"/>
    <w:rsid w:val="00E53EB6"/>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1D9"/>
    <w:rsid w:val="00ED2949"/>
    <w:rsid w:val="00ED5C76"/>
    <w:rsid w:val="00ED78A2"/>
    <w:rsid w:val="00EE01FE"/>
    <w:rsid w:val="00EE05DE"/>
    <w:rsid w:val="00EE4199"/>
    <w:rsid w:val="00EE5EF0"/>
    <w:rsid w:val="00EE7EF1"/>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2D3F"/>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2B03"/>
    <w:rsid w:val="00FB2DA6"/>
    <w:rsid w:val="00FB52C0"/>
    <w:rsid w:val="00FB62A8"/>
    <w:rsid w:val="00FB6F52"/>
    <w:rsid w:val="00FB78D1"/>
    <w:rsid w:val="00FC0639"/>
    <w:rsid w:val="00FC2CED"/>
    <w:rsid w:val="00FC3062"/>
    <w:rsid w:val="00FC33D8"/>
    <w:rsid w:val="00FC6F12"/>
    <w:rsid w:val="00FD243D"/>
    <w:rsid w:val="00FD2CFC"/>
    <w:rsid w:val="00FD5A77"/>
    <w:rsid w:val="00FD7976"/>
    <w:rsid w:val="00FE0962"/>
    <w:rsid w:val="00FE134B"/>
    <w:rsid w:val="00FE1C94"/>
    <w:rsid w:val="00FE4F4D"/>
    <w:rsid w:val="00FE6AA0"/>
    <w:rsid w:val="00FF119D"/>
    <w:rsid w:val="00FF3BF2"/>
    <w:rsid w:val="00FF557D"/>
    <w:rsid w:val="00FF7971"/>
    <w:rsid w:val="0B5D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uiPriority w:val="39"/>
    <w:pPr>
      <w:ind w:left="420" w:leftChars="200"/>
    </w:pPr>
  </w:style>
  <w:style w:type="paragraph" w:styleId="15">
    <w:name w:val="Body Text 2"/>
    <w:basedOn w:val="1"/>
    <w:link w:val="30"/>
    <w:uiPriority w:val="0"/>
    <w:pPr>
      <w:jc w:val="center"/>
    </w:pPr>
    <w:rPr>
      <w:rFonts w:ascii="Times New Roman" w:hAnsi="Times New Roman" w:eastAsia="宋体" w:cs="Times New Roman"/>
      <w:kern w:val="0"/>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5"/>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样式 首行缩进:  2 字符"/>
    <w:basedOn w:val="1"/>
    <w:uiPriority w:val="0"/>
    <w:pPr>
      <w:spacing w:line="400" w:lineRule="exact"/>
      <w:ind w:firstLine="200" w:firstLineChars="200"/>
    </w:pPr>
    <w:rPr>
      <w:rFonts w:ascii="Times New Roman" w:hAnsi="Times New Roman"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E5207-5C4F-4900-806A-A6FC21F63C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4004</Words>
  <Characters>22828</Characters>
  <Lines>190</Lines>
  <Paragraphs>53</Paragraphs>
  <TotalTime>2210</TotalTime>
  <ScaleCrop>false</ScaleCrop>
  <LinksUpToDate>false</LinksUpToDate>
  <CharactersWithSpaces>26779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2020-09-22T07:39:00Z</cp:lastPrinted>
  <dcterms:modified xsi:type="dcterms:W3CDTF">2020-10-12T10:13:57Z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