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hint="eastAsia" w:asciiTheme="minorEastAsia" w:hAnsiTheme="minorEastAsia" w:eastAsiaTheme="minorEastAsia" w:cstheme="minorEastAsia"/>
          <w:kern w:val="0"/>
          <w:sz w:val="84"/>
          <w:szCs w:val="84"/>
        </w:rPr>
      </w:pPr>
      <w:r>
        <w:rPr>
          <w:rFonts w:hint="eastAsia" w:asciiTheme="minorEastAsia" w:hAnsiTheme="minorEastAsia" w:eastAsiaTheme="minorEastAsia" w:cstheme="minorEastAsia"/>
          <w:kern w:val="0"/>
          <w:sz w:val="84"/>
          <w:szCs w:val="84"/>
        </w:rPr>
        <w:t>谈 判 文 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院内传染病上报系统</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2020-JL13（03）-W30023</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jc w:val="center"/>
        <w:rPr>
          <w:rFonts w:ascii="宋体" w:hAnsi="宋体" w:eastAsia="宋体" w:cs="Times New Roman"/>
          <w:kern w:val="0"/>
          <w:sz w:val="36"/>
          <w:szCs w:val="36"/>
        </w:rPr>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2"/>
          <w:rFonts w:hint="eastAsia" w:ascii="黑体" w:hAnsi="黑体" w:eastAsia="黑体"/>
        </w:rPr>
        <w:t>第一部分</w:t>
      </w:r>
      <w:r>
        <w:rPr>
          <w:rStyle w:val="22"/>
          <w:rFonts w:ascii="黑体" w:hAnsi="黑体" w:eastAsia="黑体"/>
        </w:rPr>
        <w:t xml:space="preserve">  </w:t>
      </w:r>
      <w:r>
        <w:rPr>
          <w:rStyle w:val="22"/>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2"/>
          <w:rFonts w:hint="eastAsia" w:ascii="黑体" w:hAnsi="黑体" w:eastAsia="黑体"/>
          <w:lang w:val="zh-CN"/>
        </w:rPr>
        <w:t>第二部分</w:t>
      </w:r>
      <w:r>
        <w:rPr>
          <w:rStyle w:val="22"/>
          <w:rFonts w:ascii="黑体" w:hAnsi="黑体" w:eastAsia="黑体"/>
          <w:lang w:val="zh-CN"/>
        </w:rPr>
        <w:t xml:space="preserve">  </w:t>
      </w:r>
      <w:r>
        <w:rPr>
          <w:rStyle w:val="22"/>
          <w:rFonts w:hint="eastAsia" w:ascii="黑体" w:hAnsi="黑体" w:eastAsia="黑体"/>
          <w:lang w:val="zh-CN"/>
        </w:rPr>
        <w:t>采购项目技</w:t>
      </w:r>
      <w:r>
        <w:rPr>
          <w:rStyle w:val="22"/>
          <w:rFonts w:hint="eastAsia" w:ascii="黑体" w:hAnsi="黑体" w:eastAsia="黑体" w:cs="宋体"/>
          <w:lang w:val="zh-CN"/>
        </w:rPr>
        <w:t>术</w:t>
      </w:r>
      <w:r>
        <w:rPr>
          <w:rStyle w:val="22"/>
          <w:rFonts w:hint="eastAsia" w:ascii="黑体" w:hAnsi="黑体" w:eastAsia="黑体" w:cs="Dotum"/>
          <w:lang w:val="zh-CN"/>
        </w:rPr>
        <w:t>和商</w:t>
      </w:r>
      <w:r>
        <w:rPr>
          <w:rStyle w:val="22"/>
          <w:rFonts w:hint="eastAsia" w:ascii="黑体" w:hAnsi="黑体" w:eastAsia="黑体" w:cs="宋体"/>
          <w:lang w:val="zh-CN"/>
        </w:rPr>
        <w:t>务</w:t>
      </w:r>
      <w:r>
        <w:rPr>
          <w:rStyle w:val="22"/>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2"/>
          <w:rFonts w:hint="eastAsia" w:ascii="黑体" w:hAnsi="黑体" w:eastAsia="黑体"/>
        </w:rPr>
        <w:t>第三部分</w:t>
      </w:r>
      <w:r>
        <w:rPr>
          <w:rStyle w:val="22"/>
          <w:rFonts w:ascii="黑体" w:hAnsi="黑体" w:eastAsia="黑体"/>
        </w:rPr>
        <w:t xml:space="preserve">  </w:t>
      </w:r>
      <w:r>
        <w:rPr>
          <w:rStyle w:val="22"/>
          <w:rFonts w:hint="eastAsia" w:ascii="黑体" w:hAnsi="黑体" w:eastAsia="黑体"/>
          <w:lang w:val="zh-CN"/>
        </w:rPr>
        <w:t>报价方</w:t>
      </w:r>
      <w:r>
        <w:rPr>
          <w:rStyle w:val="22"/>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2"/>
          <w:rFonts w:hint="eastAsia" w:ascii="黑体" w:hAnsi="黑体" w:eastAsia="黑体"/>
          <w:bCs/>
        </w:rPr>
        <w:t>第四部分</w:t>
      </w:r>
      <w:r>
        <w:rPr>
          <w:rStyle w:val="22"/>
          <w:rFonts w:ascii="黑体" w:hAnsi="黑体" w:eastAsia="黑体"/>
          <w:bCs/>
        </w:rPr>
        <w:t xml:space="preserve">  </w:t>
      </w:r>
      <w:r>
        <w:rPr>
          <w:rStyle w:val="22"/>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2"/>
          <w:rFonts w:hint="eastAsia" w:ascii="黑体" w:hAnsi="黑体" w:eastAsia="黑体"/>
        </w:rPr>
        <w:t>第五部分</w:t>
      </w:r>
      <w:r>
        <w:rPr>
          <w:rStyle w:val="22"/>
          <w:rFonts w:ascii="黑体" w:hAnsi="黑体" w:eastAsia="黑体"/>
        </w:rPr>
        <w:t xml:space="preserve">  </w:t>
      </w:r>
      <w:r>
        <w:rPr>
          <w:rStyle w:val="22"/>
          <w:rFonts w:hint="eastAsia" w:ascii="黑体" w:hAnsi="黑体" w:eastAsia="黑体"/>
        </w:rPr>
        <w:t>附件</w:t>
      </w:r>
      <w:r>
        <w:rPr>
          <w:rStyle w:val="22"/>
          <w:rFonts w:ascii="黑体" w:hAnsi="黑体" w:eastAsia="黑体"/>
        </w:rPr>
        <w:t>/</w:t>
      </w:r>
      <w:r>
        <w:rPr>
          <w:rStyle w:val="22"/>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关于院内传染病上报系统的采购</w:t>
      </w:r>
      <w:r>
        <w:rPr>
          <w:rFonts w:ascii="Tahoma" w:hAnsi="Tahoma" w:cs="Tahoma"/>
          <w:b/>
          <w:bCs/>
          <w:kern w:val="0"/>
          <w:sz w:val="28"/>
          <w:szCs w:val="28"/>
        </w:rPr>
        <w:t>公告</w:t>
      </w:r>
      <w:r>
        <w:rPr>
          <w:rFonts w:hint="eastAsia" w:ascii="Tahoma" w:hAnsi="Tahoma" w:cs="Tahoma"/>
          <w:kern w:val="0"/>
          <w:sz w:val="28"/>
          <w:szCs w:val="28"/>
        </w:rPr>
        <w:t>2020-JL13（03）-W30023</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院内传染病上报系统</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2020-JL13（03）-W30023</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院内传染病上报系统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合同签订后30个日历日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预算</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宋体" w:hAnsi="宋体" w:eastAsia="宋体" w:cs="Times New Roman"/>
                <w:sz w:val="24"/>
                <w:szCs w:val="24"/>
              </w:rPr>
            </w:pPr>
            <w:r>
              <w:rPr>
                <w:rFonts w:hint="eastAsia" w:ascii="宋体" w:hAnsi="宋体" w:eastAsia="宋体" w:cs="Times New Roman"/>
                <w:sz w:val="24"/>
                <w:szCs w:val="24"/>
              </w:rPr>
              <w:t>¥200,000.00元整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2020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10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28</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4</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bookmarkStart w:id="41" w:name="_GoBack"/>
      <w:bookmarkEnd w:id="41"/>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院内传染病上报系统生产企业营业执照（进口产品需提供国内总代理营业执照）；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院内传染病上报系统生产企业对代理公司参与报价的授权书（进口产品需提供原产厂家对中国总代的中英文授权书复印件或同步翻译件）。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院内传染病上报系统软件著作权</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w:t>
      </w:r>
      <w:r>
        <w:rPr>
          <w:rFonts w:hint="eastAsia" w:ascii="宋体" w:hAnsi="宋体" w:eastAsia="宋体" w:cs="Times New Roman"/>
          <w:kern w:val="0"/>
          <w:sz w:val="24"/>
          <w:szCs w:val="24"/>
          <w:lang w:val="en-US" w:eastAsia="zh-CN"/>
        </w:rPr>
        <w:t>200</w:t>
      </w:r>
      <w:r>
        <w:rPr>
          <w:rFonts w:hint="eastAsia" w:ascii="宋体" w:hAnsi="宋体" w:eastAsia="宋体" w:cs="Times New Roman"/>
          <w:kern w:val="0"/>
          <w:sz w:val="24"/>
          <w:szCs w:val="24"/>
        </w:rPr>
        <w:t>/元/份，售后不退。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2"/>
          <w:rFonts w:asciiTheme="minorEastAsia" w:hAnsiTheme="minorEastAsia"/>
          <w:b/>
          <w:color w:val="auto"/>
          <w:kern w:val="0"/>
          <w:sz w:val="24"/>
          <w:szCs w:val="24"/>
          <w:u w:val="none"/>
        </w:rPr>
        <w:t>www.zhaobiao.cn</w:t>
      </w:r>
      <w:r>
        <w:rPr>
          <w:rStyle w:val="22"/>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289"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43485652"/>
      <w:bookmarkStart w:id="5" w:name="_Toc390713967"/>
      <w:bookmarkStart w:id="6" w:name="_Toc285612594"/>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院内传染病上报系统</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在采购合同签订后30个日历日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5</w:t>
      </w:r>
      <w:r>
        <w:rPr>
          <w:rFonts w:hint="eastAsia" w:cs="Arial" w:asciiTheme="minorEastAsia" w:hAnsiTheme="minorEastAsia"/>
          <w:sz w:val="24"/>
          <w:szCs w:val="24"/>
        </w:rPr>
        <w:t>.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6</w:t>
      </w:r>
      <w:r>
        <w:rPr>
          <w:rFonts w:hint="eastAsia" w:cs="Arial" w:asciiTheme="minorEastAsia" w:hAnsiTheme="minorEastAsia"/>
          <w:sz w:val="24"/>
          <w:szCs w:val="24"/>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390713968"/>
      <w:bookmarkStart w:id="10" w:name="_Toc43485653"/>
      <w:bookmarkStart w:id="11" w:name="_Toc240432230"/>
      <w:bookmarkStart w:id="12" w:name="_Toc285612601"/>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2.预留质量保证金：硬件类项目为合同总金额的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，自验收合格之日起，十二个月 正常使用且无质量问题时，一次性结清；软件服务类项目为合同总金额的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质保期满后一次结清。</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2"/>
          <w:rFonts w:asciiTheme="minorEastAsia" w:hAnsiTheme="minorEastAsia"/>
          <w:snapToGrid w:val="0"/>
          <w:color w:val="auto"/>
          <w:kern w:val="0"/>
          <w:sz w:val="24"/>
          <w:szCs w:val="24"/>
          <w:u w:val="none"/>
        </w:rPr>
        <w:t>www.zhaobiao.cn</w:t>
      </w:r>
      <w:r>
        <w:rPr>
          <w:rStyle w:val="22"/>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 院内传染病上报系统生产企业营业执照（进口产品需提供国内总代理营业执照）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院内传染病上报系统生产企业对代理公司参与报价的授权书（进口产品需提供原产厂家对中国总代的中英文授权书复印件或同步翻译件。附件20）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院内传染病上报系统软件著作权</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(14)报价方认为需要加以说明的其他内容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院内传染病上报系统</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114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院内传染病上报系统生产企业对代理公司参与报价的授权书（进口产品需提供原产厂家对中国总代的中英文授权书复印件或同步翻译件）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72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10. 院内传染病上报系统软件著作权</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49"/>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w:t>
            </w:r>
            <w:r>
              <w:rPr>
                <w:rFonts w:ascii="宋体" w:hAnsi="宋体" w:eastAsia="宋体" w:cs="Times New Roman"/>
                <w:color w:val="000000" w:themeColor="text1"/>
                <w:kern w:val="0"/>
                <w:sz w:val="21"/>
                <w:szCs w:val="21"/>
              </w:rPr>
              <w:t>上市公司或为所投产品行业标准制定</w:t>
            </w:r>
            <w:r>
              <w:rPr>
                <w:rFonts w:hint="eastAsia" w:ascii="宋体" w:hAnsi="宋体" w:eastAsia="宋体" w:cs="Times New Roman"/>
                <w:color w:val="000000" w:themeColor="text1"/>
                <w:kern w:val="0"/>
                <w:sz w:val="21"/>
                <w:szCs w:val="21"/>
              </w:rPr>
              <w:t>者</w:t>
            </w:r>
            <w:r>
              <w:rPr>
                <w:rFonts w:ascii="宋体" w:hAnsi="宋体" w:eastAsia="宋体" w:cs="Times New Roman"/>
                <w:color w:val="000000" w:themeColor="text1"/>
                <w:kern w:val="0"/>
                <w:sz w:val="21"/>
                <w:szCs w:val="21"/>
              </w:rPr>
              <w:t>得</w:t>
            </w:r>
            <w:r>
              <w:rPr>
                <w:rFonts w:hint="eastAsia" w:ascii="宋体" w:hAnsi="宋体" w:eastAsia="宋体" w:cs="Times New Roman"/>
                <w:color w:val="000000" w:themeColor="text1"/>
                <w:kern w:val="0"/>
                <w:sz w:val="21"/>
                <w:szCs w:val="21"/>
              </w:rPr>
              <w:t>3分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所投</w:t>
            </w:r>
            <w:r>
              <w:rPr>
                <w:rFonts w:ascii="宋体" w:hAnsi="宋体" w:eastAsia="宋体" w:cs="Times New Roman"/>
                <w:color w:val="000000" w:themeColor="text1"/>
                <w:kern w:val="0"/>
                <w:sz w:val="21"/>
                <w:szCs w:val="21"/>
              </w:rPr>
              <w:t>产品</w:t>
            </w:r>
            <w:r>
              <w:rPr>
                <w:rFonts w:hint="eastAsia" w:ascii="宋体" w:hAnsi="宋体" w:eastAsia="宋体" w:cs="Times New Roman"/>
                <w:color w:val="000000" w:themeColor="text1"/>
                <w:kern w:val="0"/>
                <w:sz w:val="21"/>
                <w:szCs w:val="21"/>
              </w:rPr>
              <w:t>标准</w:t>
            </w:r>
            <w:r>
              <w:rPr>
                <w:rFonts w:ascii="宋体" w:hAnsi="宋体" w:eastAsia="宋体" w:cs="Times New Roman"/>
                <w:color w:val="000000" w:themeColor="text1"/>
                <w:kern w:val="0"/>
                <w:sz w:val="21"/>
                <w:szCs w:val="21"/>
              </w:rPr>
              <w:t>达到行业领先水平得</w:t>
            </w:r>
            <w:r>
              <w:rPr>
                <w:rFonts w:hint="eastAsia" w:ascii="宋体" w:hAnsi="宋体" w:eastAsia="宋体" w:cs="Times New Roman"/>
                <w:color w:val="000000" w:themeColor="text1"/>
                <w:kern w:val="0"/>
                <w:sz w:val="21"/>
                <w:szCs w:val="21"/>
              </w:rPr>
              <w:t>2分</w:t>
            </w:r>
            <w:r>
              <w:rPr>
                <w:rFonts w:ascii="宋体" w:hAnsi="宋体" w:eastAsia="宋体" w:cs="Times New Roman"/>
                <w:color w:val="000000" w:themeColor="text1"/>
                <w:kern w:val="0"/>
                <w:sz w:val="21"/>
                <w:szCs w:val="21"/>
              </w:rPr>
              <w:t>，达到区域领先的得</w:t>
            </w:r>
            <w:r>
              <w:rPr>
                <w:rFonts w:hint="eastAsia" w:ascii="宋体" w:hAnsi="宋体" w:eastAsia="宋体" w:cs="Times New Roman"/>
                <w:color w:val="000000" w:themeColor="text1"/>
                <w:kern w:val="0"/>
                <w:sz w:val="21"/>
                <w:szCs w:val="21"/>
              </w:rPr>
              <w:t>1分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color w:val="000000" w:themeColor="text1"/>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技术</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力量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1.所投产品具有相应软件著作权或</w:t>
            </w:r>
            <w:r>
              <w:rPr>
                <w:rFonts w:ascii="宋体" w:hAnsi="宋体" w:eastAsia="宋体" w:cs="Times New Roman"/>
                <w:kern w:val="0"/>
                <w:sz w:val="21"/>
                <w:szCs w:val="21"/>
              </w:rPr>
              <w:t>发明专利</w:t>
            </w:r>
            <w:r>
              <w:rPr>
                <w:rFonts w:hint="eastAsia" w:ascii="宋体" w:hAnsi="宋体" w:eastAsia="宋体" w:cs="Times New Roman"/>
                <w:kern w:val="0"/>
                <w:sz w:val="21"/>
                <w:szCs w:val="21"/>
              </w:rPr>
              <w:t>的得标准分，没有得0分。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2.制造商具有IS09001质量管理体系认证证书的得标准分，否则得0分。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3.制造商具有IS027001信息安全管理体系认证证书的得标准分，否则得0分。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5.投标人具有计算机信息系统集成1级资质的得2分，2级的得1分，3级得0.5分，3级以下不得分。（提供证明材料）。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6.开发商</w:t>
            </w:r>
            <w:r>
              <w:rPr>
                <w:rFonts w:hint="eastAsia" w:ascii="宋体" w:hAnsi="宋体" w:eastAsia="宋体" w:cs="Times New Roman"/>
                <w:kern w:val="0"/>
                <w:sz w:val="21"/>
                <w:szCs w:val="21"/>
              </w:rPr>
              <w:t>或</w:t>
            </w:r>
            <w:r>
              <w:rPr>
                <w:rFonts w:ascii="宋体" w:hAnsi="宋体" w:eastAsia="宋体" w:cs="Times New Roman"/>
                <w:kern w:val="0"/>
                <w:sz w:val="21"/>
                <w:szCs w:val="21"/>
              </w:rPr>
              <w:t>投标人具有CMMI5认证证书的得2分，CMMI4认证证书的得1分，CMMI3</w:t>
            </w:r>
            <w:r>
              <w:rPr>
                <w:rFonts w:hint="eastAsia" w:ascii="宋体" w:hAnsi="宋体" w:eastAsia="宋体" w:cs="Times New Roman"/>
                <w:kern w:val="0"/>
                <w:sz w:val="21"/>
                <w:szCs w:val="21"/>
              </w:rPr>
              <w:t>认证</w:t>
            </w:r>
            <w:r>
              <w:rPr>
                <w:rFonts w:ascii="宋体" w:hAnsi="宋体" w:eastAsia="宋体" w:cs="Times New Roman"/>
                <w:kern w:val="0"/>
                <w:sz w:val="21"/>
                <w:szCs w:val="21"/>
              </w:rPr>
              <w:t>证书得0.5分, CMMI3以下得0分。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.所投产品具有行业</w:t>
            </w:r>
            <w:r>
              <w:rPr>
                <w:rFonts w:ascii="宋体" w:hAnsi="宋体" w:eastAsia="宋体" w:cs="Times New Roman"/>
                <w:kern w:val="0"/>
                <w:sz w:val="21"/>
                <w:szCs w:val="21"/>
              </w:rPr>
              <w:t>技术标准、规范、</w:t>
            </w:r>
            <w:r>
              <w:rPr>
                <w:rFonts w:hint="eastAsia" w:ascii="宋体" w:hAnsi="宋体" w:eastAsia="宋体" w:cs="Times New Roman"/>
                <w:kern w:val="0"/>
                <w:sz w:val="21"/>
                <w:szCs w:val="21"/>
              </w:rPr>
              <w:t>认证</w:t>
            </w:r>
            <w:r>
              <w:rPr>
                <w:rFonts w:ascii="宋体" w:hAnsi="宋体" w:eastAsia="宋体" w:cs="Times New Roman"/>
                <w:kern w:val="0"/>
                <w:sz w:val="21"/>
                <w:szCs w:val="21"/>
              </w:rPr>
              <w:t>证书</w:t>
            </w:r>
            <w:r>
              <w:rPr>
                <w:rFonts w:hint="eastAsia" w:ascii="宋体" w:hAnsi="宋体" w:eastAsia="宋体" w:cs="Times New Roman"/>
                <w:kern w:val="0"/>
                <w:sz w:val="21"/>
                <w:szCs w:val="21"/>
              </w:rPr>
              <w:t>、</w:t>
            </w:r>
            <w:r>
              <w:rPr>
                <w:rFonts w:ascii="宋体" w:hAnsi="宋体" w:eastAsia="宋体" w:cs="Times New Roman"/>
                <w:kern w:val="0"/>
                <w:sz w:val="21"/>
                <w:szCs w:val="21"/>
              </w:rPr>
              <w:t>奖项等品质证明材料的，一项加</w:t>
            </w:r>
            <w:r>
              <w:rPr>
                <w:rFonts w:hint="eastAsia" w:ascii="宋体" w:hAnsi="宋体" w:eastAsia="宋体" w:cs="Times New Roman"/>
                <w:kern w:val="0"/>
                <w:sz w:val="21"/>
                <w:szCs w:val="21"/>
              </w:rPr>
              <w:t>0.5分</w:t>
            </w:r>
            <w:r>
              <w:rPr>
                <w:rFonts w:ascii="宋体" w:hAnsi="宋体" w:eastAsia="宋体" w:cs="Times New Roman"/>
                <w:kern w:val="0"/>
                <w:sz w:val="21"/>
                <w:szCs w:val="21"/>
              </w:rPr>
              <w:t>，最多加</w:t>
            </w:r>
            <w:r>
              <w:rPr>
                <w:rFonts w:hint="eastAsia" w:ascii="宋体" w:hAnsi="宋体" w:eastAsia="宋体" w:cs="Times New Roman"/>
                <w:kern w:val="0"/>
                <w:sz w:val="21"/>
                <w:szCs w:val="21"/>
              </w:rPr>
              <w:t>2分</w:t>
            </w:r>
            <w:r>
              <w:rPr>
                <w:rFonts w:ascii="宋体" w:hAnsi="宋体" w:eastAsia="宋体" w:cs="Times New Roman"/>
                <w:kern w:val="0"/>
                <w:sz w:val="21"/>
                <w:szCs w:val="21"/>
              </w:rPr>
              <w:t>。</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6946" w:type="dxa"/>
            <w:vAlign w:val="center"/>
          </w:tcPr>
          <w:p>
            <w:pPr>
              <w:adjustRightInd w:val="0"/>
              <w:snapToGrid w:val="0"/>
              <w:spacing w:line="300" w:lineRule="auto"/>
              <w:rPr>
                <w:rFonts w:ascii="宋体" w:hAnsi="宋体" w:eastAsia="宋体" w:cs="Times New Roman"/>
                <w:color w:val="FF0000"/>
                <w:kern w:val="0"/>
                <w:sz w:val="20"/>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.投标人</w:t>
            </w:r>
            <w:r>
              <w:rPr>
                <w:rFonts w:ascii="宋体" w:hAnsi="宋体" w:eastAsia="宋体" w:cs="Times New Roman"/>
                <w:kern w:val="0"/>
                <w:sz w:val="21"/>
                <w:szCs w:val="21"/>
              </w:rPr>
              <w:t>具有</w:t>
            </w:r>
            <w:r>
              <w:rPr>
                <w:rFonts w:hint="eastAsia" w:ascii="宋体" w:hAnsi="宋体" w:eastAsia="宋体" w:cs="Times New Roman"/>
                <w:kern w:val="0"/>
                <w:sz w:val="21"/>
                <w:szCs w:val="21"/>
              </w:rPr>
              <w:t>系统分析师、系统构架师、软件工程、数据库专业开发人员、程序员以及有经验的项目管理和组织能力项目经理，并提供相应的高级</w:t>
            </w:r>
            <w:r>
              <w:rPr>
                <w:rFonts w:ascii="宋体" w:hAnsi="宋体" w:eastAsia="宋体" w:cs="Times New Roman"/>
                <w:kern w:val="0"/>
                <w:sz w:val="21"/>
                <w:szCs w:val="21"/>
              </w:rPr>
              <w:t>职称</w:t>
            </w:r>
            <w:r>
              <w:rPr>
                <w:rFonts w:hint="eastAsia" w:ascii="宋体" w:hAnsi="宋体" w:eastAsia="宋体" w:cs="Times New Roman"/>
                <w:kern w:val="0"/>
                <w:sz w:val="21"/>
                <w:szCs w:val="21"/>
              </w:rPr>
              <w:t>资质。每提供一个证书得</w:t>
            </w:r>
            <w:r>
              <w:rPr>
                <w:rFonts w:ascii="宋体" w:hAnsi="宋体" w:eastAsia="宋体" w:cs="Times New Roman"/>
                <w:kern w:val="0"/>
                <w:sz w:val="21"/>
                <w:szCs w:val="21"/>
              </w:rPr>
              <w:t>0.5分，最多得2分（并提供社保作为支持）</w:t>
            </w:r>
          </w:p>
        </w:tc>
        <w:tc>
          <w:tcPr>
            <w:tcW w:w="708" w:type="dxa"/>
            <w:vAlign w:val="center"/>
          </w:tcPr>
          <w:p>
            <w:pPr>
              <w:adjustRightInd w:val="0"/>
              <w:snapToGrid w:val="0"/>
              <w:spacing w:line="300"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产品技术性能指标参数满足偏离情况（30分）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15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0.5</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（7分）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免费保修期：在满足招标文件要求的基础上，每增加1年得1分，最多得标准分值，不符合招标文件要求按无效投标处理。（未履行保修承诺的，相关企业将列入黑名单。）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实施周期：是否提供开发整体系统明确、合理的项目实施周期和进度表。最优得标准分，其余依次递减0.5分，最低得0分。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人员组织保障：根据投标人项目组织实施保障方案评审，最优得标准分，其余依次递减0.5分。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根据企业服务方式（是否</w:t>
            </w:r>
            <w:r>
              <w:rPr>
                <w:rFonts w:ascii="宋体" w:hAnsi="宋体" w:eastAsia="宋体" w:cs="Times New Roman"/>
                <w:kern w:val="0"/>
                <w:sz w:val="21"/>
                <w:szCs w:val="21"/>
              </w:rPr>
              <w:t>驻场</w:t>
            </w:r>
            <w:r>
              <w:rPr>
                <w:rFonts w:hint="eastAsia" w:ascii="宋体" w:hAnsi="宋体" w:eastAsia="宋体" w:cs="Times New Roman"/>
                <w:kern w:val="0"/>
                <w:sz w:val="21"/>
                <w:szCs w:val="21"/>
              </w:rPr>
              <w:t>）、现场支持、服务费用、服务等级等因素评分，最优得标准分，其余依次递减0.4分，最低得0分。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根据软件运营过程中安全服务和后期技术咨询承诺情况评分，最优得标准分，其余依次递减0.4分，最低得0分。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7172690"/>
      <w:bookmarkStart w:id="17" w:name="_Toc390713969"/>
      <w:bookmarkStart w:id="18" w:name="_Toc43485654"/>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206"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413"/>
      <w:bookmarkStart w:id="23" w:name="_Toc39653189"/>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414"/>
      <w:bookmarkStart w:id="25" w:name="_Toc39653190"/>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415"/>
      <w:bookmarkStart w:id="27" w:name="_Toc39653191"/>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193"/>
      <w:bookmarkStart w:id="31" w:name="_Toc39653417"/>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418"/>
      <w:bookmarkStart w:id="33" w:name="_Toc39653194"/>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285612604"/>
      <w:bookmarkStart w:id="35" w:name="_Toc37172691"/>
      <w:bookmarkStart w:id="36" w:name="_Toc43485655"/>
      <w:bookmarkStart w:id="37" w:name="_Toc240432233"/>
      <w:bookmarkStart w:id="38" w:name="_Toc390713970"/>
      <w:bookmarkStart w:id="39" w:name="_Toc435540982"/>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软件著作权证书或发明专利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附件21    </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rPr>
          <w:rFonts w:cs="Times New Roman" w:asciiTheme="minorEastAsia" w:hAnsiTheme="minorEastAsia"/>
          <w:b/>
          <w:szCs w:val="21"/>
        </w:rPr>
      </w:pPr>
      <w:r>
        <w:rPr>
          <w:rFonts w:hint="eastAsia" w:cs="Times New Roman" w:asciiTheme="minorEastAsia" w:hAnsiTheme="minorEastAsia"/>
          <w:b/>
          <w:szCs w:val="21"/>
        </w:rPr>
        <w:t>一、本次招标内容列表</w:t>
      </w:r>
    </w:p>
    <w:tbl>
      <w:tblPr>
        <w:tblStyle w:val="18"/>
        <w:tblpPr w:leftFromText="180" w:rightFromText="180" w:vertAnchor="text" w:horzAnchor="margin" w:tblpY="15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13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序号</w:t>
            </w:r>
          </w:p>
        </w:tc>
        <w:tc>
          <w:tcPr>
            <w:tcW w:w="513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内容</w:t>
            </w:r>
          </w:p>
        </w:tc>
        <w:tc>
          <w:tcPr>
            <w:tcW w:w="272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72" w:type="dxa"/>
            <w:vAlign w:val="center"/>
          </w:tcPr>
          <w:p>
            <w:pPr>
              <w:widowControl/>
              <w:numPr>
                <w:ilvl w:val="0"/>
                <w:numId w:val="2"/>
              </w:numPr>
              <w:topLinePunct/>
              <w:autoSpaceDE w:val="0"/>
              <w:adjustRightInd w:val="0"/>
              <w:spacing w:line="360" w:lineRule="auto"/>
              <w:jc w:val="center"/>
              <w:rPr>
                <w:rFonts w:cs="Times New Roman" w:asciiTheme="minorEastAsia" w:hAnsiTheme="minorEastAsia"/>
                <w:szCs w:val="21"/>
              </w:rPr>
            </w:pPr>
          </w:p>
        </w:tc>
        <w:tc>
          <w:tcPr>
            <w:tcW w:w="5132" w:type="dxa"/>
            <w:vAlign w:val="center"/>
          </w:tcPr>
          <w:p>
            <w:pPr>
              <w:rPr>
                <w:rFonts w:cs="Times New Roman" w:asciiTheme="minorEastAsia" w:hAnsiTheme="minorEastAsia"/>
                <w:szCs w:val="21"/>
              </w:rPr>
            </w:pPr>
            <w:r>
              <w:rPr>
                <w:rFonts w:hint="eastAsia" w:cs="Times New Roman" w:asciiTheme="minorEastAsia" w:hAnsiTheme="minorEastAsia"/>
                <w:szCs w:val="21"/>
              </w:rPr>
              <w:t>院内传染病上报系统</w:t>
            </w:r>
          </w:p>
        </w:tc>
        <w:tc>
          <w:tcPr>
            <w:tcW w:w="2722" w:type="dxa"/>
            <w:vAlign w:val="center"/>
          </w:tcPr>
          <w:p>
            <w:pPr>
              <w:rPr>
                <w:rFonts w:cs="Times New Roman" w:asciiTheme="minorEastAsia" w:hAnsiTheme="minorEastAsia"/>
                <w:szCs w:val="21"/>
              </w:rPr>
            </w:pPr>
            <w:r>
              <w:rPr>
                <w:rFonts w:hint="eastAsia" w:cs="Times New Roman" w:asciiTheme="minorEastAsia" w:hAnsiTheme="minorEastAsia"/>
                <w:szCs w:val="21"/>
              </w:rPr>
              <w:t>1套</w:t>
            </w:r>
          </w:p>
        </w:tc>
      </w:tr>
    </w:tbl>
    <w:p>
      <w:pPr>
        <w:widowControl/>
        <w:topLinePunct/>
        <w:autoSpaceDE w:val="0"/>
        <w:adjustRightInd w:val="0"/>
        <w:spacing w:line="360" w:lineRule="auto"/>
        <w:rPr>
          <w:rFonts w:cs="宋体" w:asciiTheme="minorEastAsia" w:hAnsiTheme="minorEastAsia"/>
          <w:szCs w:val="21"/>
        </w:rPr>
      </w:pPr>
      <w:r>
        <w:rPr>
          <w:rFonts w:hint="eastAsia" w:cs="宋体" w:asciiTheme="minorEastAsia" w:hAnsiTheme="minorEastAsia"/>
          <w:szCs w:val="21"/>
        </w:rPr>
        <w:t>二、项目总体要求</w:t>
      </w:r>
    </w:p>
    <w:tbl>
      <w:tblPr>
        <w:tblStyle w:val="52"/>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843"/>
        <w:gridCol w:w="6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序号</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要求</w:t>
            </w:r>
          </w:p>
        </w:tc>
        <w:tc>
          <w:tcPr>
            <w:tcW w:w="6237" w:type="dxa"/>
            <w:vAlign w:val="bottom"/>
          </w:tcPr>
          <w:p>
            <w:pPr>
              <w:widowControl/>
              <w:topLinePunct/>
              <w:autoSpaceDE w:val="0"/>
              <w:adjustRightInd w:val="0"/>
              <w:spacing w:line="36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1</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工期</w:t>
            </w:r>
          </w:p>
        </w:tc>
        <w:tc>
          <w:tcPr>
            <w:tcW w:w="6237" w:type="dxa"/>
            <w:vAlign w:val="bottom"/>
          </w:tcPr>
          <w:p>
            <w:pPr>
              <w:widowControl/>
              <w:topLinePunct/>
              <w:autoSpaceDE w:val="0"/>
              <w:adjustRightInd w:val="0"/>
              <w:spacing w:line="360" w:lineRule="auto"/>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签订合同后</w:t>
            </w:r>
            <w:r>
              <w:rPr>
                <w:rFonts w:hint="eastAsia" w:cs="宋体" w:asciiTheme="minorEastAsia" w:hAnsiTheme="minorEastAsia" w:eastAsiaTheme="minorEastAsia"/>
                <w:kern w:val="0"/>
                <w:sz w:val="21"/>
                <w:szCs w:val="21"/>
                <w:u w:val="single"/>
              </w:rPr>
              <w:t>30</w:t>
            </w:r>
            <w:r>
              <w:rPr>
                <w:rFonts w:hint="eastAsia" w:cs="宋体" w:asciiTheme="minorEastAsia" w:hAnsiTheme="minorEastAsia" w:eastAsiaTheme="minorEastAsia"/>
                <w:kern w:val="0"/>
                <w:sz w:val="21"/>
                <w:szCs w:val="21"/>
              </w:rPr>
              <w:t>日内完成。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2</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培训</w:t>
            </w:r>
          </w:p>
        </w:tc>
        <w:tc>
          <w:tcPr>
            <w:tcW w:w="6237" w:type="dxa"/>
            <w:vAlign w:val="bottom"/>
          </w:tcPr>
          <w:p>
            <w:pPr>
              <w:widowControl/>
              <w:topLinePunct/>
              <w:autoSpaceDE w:val="0"/>
              <w:adjustRightIn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培训支持服务（免费）</w:t>
            </w:r>
          </w:p>
          <w:p>
            <w:pPr>
              <w:widowControl/>
              <w:topLinePunct/>
              <w:autoSpaceDE w:val="0"/>
              <w:adjustRightIn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ab/>
            </w:r>
            <w:r>
              <w:rPr>
                <w:rFonts w:hint="eastAsia" w:cs="宋体" w:asciiTheme="minorEastAsia" w:hAnsiTheme="minorEastAsia" w:eastAsiaTheme="minorEastAsia"/>
                <w:kern w:val="0"/>
                <w:sz w:val="21"/>
                <w:szCs w:val="21"/>
              </w:rPr>
              <w:t>要求提供用户培训服务，包括产品安装、配置、操作使用及应用案例演示。要求所有培训课程均由具有良好理论素养，又具备丰富实际经验的技术人员教授。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3</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售后服务</w:t>
            </w:r>
          </w:p>
        </w:tc>
        <w:tc>
          <w:tcPr>
            <w:tcW w:w="6237" w:type="dxa"/>
            <w:vAlign w:val="bottom"/>
          </w:tcPr>
          <w:p>
            <w:pPr>
              <w:widowControl/>
              <w:topLinePunct/>
              <w:autoSpaceDE w:val="0"/>
              <w:adjustRightInd w:val="0"/>
              <w:spacing w:line="400" w:lineRule="exact"/>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要求自验收合格日起提供为期3年的原厂免费售后升级</w:t>
            </w:r>
            <w:r>
              <w:rPr>
                <w:rFonts w:cs="宋体" w:asciiTheme="minorEastAsia" w:hAnsiTheme="minorEastAsia" w:eastAsiaTheme="minorEastAsia"/>
                <w:kern w:val="0"/>
                <w:sz w:val="21"/>
                <w:szCs w:val="21"/>
              </w:rPr>
              <w:t>服务</w:t>
            </w:r>
            <w:r>
              <w:rPr>
                <w:rFonts w:hint="eastAsia" w:cs="宋体" w:asciiTheme="minorEastAsia" w:hAnsiTheme="minorEastAsia" w:eastAsiaTheme="minorEastAsia"/>
                <w:kern w:val="0"/>
                <w:sz w:val="21"/>
                <w:szCs w:val="21"/>
              </w:rPr>
              <w:t>；故障响应：7*24小时，出现故障后到达现场时间≦2小时（本地），到达现场时间≦6小时（外地）；</w:t>
            </w:r>
          </w:p>
        </w:tc>
      </w:tr>
    </w:tbl>
    <w:p>
      <w:pPr>
        <w:widowControl/>
        <w:topLinePunct/>
        <w:autoSpaceDE w:val="0"/>
        <w:adjustRightInd w:val="0"/>
        <w:spacing w:line="360" w:lineRule="auto"/>
        <w:jc w:val="left"/>
        <w:rPr>
          <w:rFonts w:cs="宋体" w:asciiTheme="minorEastAsia" w:hAnsiTheme="minorEastAsia"/>
          <w:szCs w:val="21"/>
        </w:rPr>
      </w:pPr>
      <w:r>
        <w:rPr>
          <w:rFonts w:hint="eastAsia" w:cs="Times New Roman" w:asciiTheme="minorEastAsia" w:hAnsiTheme="minorEastAsia"/>
          <w:b/>
          <w:szCs w:val="21"/>
        </w:rPr>
        <w:t>三、</w:t>
      </w:r>
      <w:r>
        <w:rPr>
          <w:rFonts w:hint="eastAsia" w:cs="宋体" w:asciiTheme="minorEastAsia" w:hAnsiTheme="minorEastAsia"/>
          <w:szCs w:val="21"/>
        </w:rPr>
        <w:t>软件功能及性能</w:t>
      </w:r>
    </w:p>
    <w:tbl>
      <w:tblPr>
        <w:tblStyle w:val="52"/>
        <w:tblW w:w="946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0"/>
        <w:gridCol w:w="1167"/>
        <w:gridCol w:w="7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960" w:type="dxa"/>
            <w:noWrap/>
          </w:tcPr>
          <w:p>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1167" w:type="dxa"/>
            <w:noWrap/>
          </w:tcPr>
          <w:p>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功能</w:t>
            </w:r>
          </w:p>
        </w:tc>
        <w:tc>
          <w:tcPr>
            <w:tcW w:w="7337" w:type="dxa"/>
            <w:noWrap/>
          </w:tcPr>
          <w:p>
            <w:pPr>
              <w:widowControl/>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8" w:hRule="atLeast"/>
        </w:trPr>
        <w:tc>
          <w:tcPr>
            <w:tcW w:w="960" w:type="dxa"/>
            <w:noWrap/>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p>
        </w:tc>
        <w:tc>
          <w:tcPr>
            <w:tcW w:w="1167" w:type="dxa"/>
            <w:noWrap/>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首页</w:t>
            </w:r>
          </w:p>
        </w:tc>
        <w:tc>
          <w:tcPr>
            <w:tcW w:w="7337" w:type="dxa"/>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1.1待办事项</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当天待办事项一目了然。</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★支持图形化的展示预警、上报卡和PDCA待办事项。</w:t>
            </w:r>
            <w:r>
              <w:rPr>
                <w:rFonts w:hint="eastAsia" w:cs="宋体" w:asciiTheme="minorEastAsia" w:hAnsiTheme="minorEastAsia" w:eastAsiaTheme="minorEastAsia"/>
                <w:kern w:val="0"/>
                <w:sz w:val="21"/>
                <w:szCs w:val="21"/>
              </w:rPr>
              <w:br w:type="textWrapping"/>
            </w:r>
            <w:r>
              <w:rPr>
                <w:rFonts w:hint="eastAsia" w:cs="宋体" w:asciiTheme="minorEastAsia" w:hAnsiTheme="minorEastAsia" w:eastAsiaTheme="minorEastAsia"/>
                <w:kern w:val="0"/>
                <w:sz w:val="21"/>
                <w:szCs w:val="21"/>
              </w:rPr>
              <w:t>预警，包括传染病预警、慢病预警、其他公卫预警等的待办统计。</w:t>
            </w:r>
            <w:r>
              <w:rPr>
                <w:rFonts w:hint="eastAsia" w:cs="宋体" w:asciiTheme="minorEastAsia" w:hAnsiTheme="minorEastAsia" w:eastAsiaTheme="minorEastAsia"/>
                <w:kern w:val="0"/>
                <w:sz w:val="21"/>
                <w:szCs w:val="21"/>
              </w:rPr>
              <w:br w:type="textWrapping"/>
            </w:r>
            <w:r>
              <w:rPr>
                <w:rFonts w:hint="eastAsia" w:cs="宋体" w:asciiTheme="minorEastAsia" w:hAnsiTheme="minorEastAsia" w:eastAsiaTheme="minorEastAsia"/>
                <w:kern w:val="0"/>
                <w:sz w:val="21"/>
                <w:szCs w:val="21"/>
              </w:rPr>
              <w:t>上报卡，包括传染病上报卡、慢病上报卡、其他公卫上报卡等的待办统计。</w:t>
            </w:r>
            <w:r>
              <w:rPr>
                <w:rFonts w:hint="eastAsia" w:cs="宋体" w:asciiTheme="minorEastAsia" w:hAnsiTheme="minorEastAsia" w:eastAsiaTheme="minorEastAsia"/>
                <w:kern w:val="0"/>
                <w:sz w:val="21"/>
                <w:szCs w:val="21"/>
              </w:rPr>
              <w:br w:type="textWrapping"/>
            </w:r>
            <w:r>
              <w:rPr>
                <w:rFonts w:hint="eastAsia" w:cs="宋体" w:asciiTheme="minorEastAsia" w:hAnsiTheme="minorEastAsia" w:eastAsiaTheme="minorEastAsia"/>
                <w:kern w:val="0"/>
                <w:sz w:val="21"/>
                <w:szCs w:val="21"/>
              </w:rPr>
              <w:t>PDCA，包括通知和干预的待办统计。</w:t>
            </w:r>
            <w:r>
              <w:rPr>
                <w:rFonts w:hint="eastAsia" w:cs="宋体" w:asciiTheme="minorEastAsia" w:hAnsiTheme="minorEastAsia" w:eastAsiaTheme="minorEastAsia"/>
                <w:kern w:val="0"/>
                <w:sz w:val="21"/>
                <w:szCs w:val="21"/>
              </w:rPr>
              <w:br w:type="textWrapping"/>
            </w:r>
            <w:r>
              <w:rPr>
                <w:rFonts w:hint="eastAsia" w:cs="宋体" w:asciiTheme="minorEastAsia" w:hAnsiTheme="minorEastAsia" w:eastAsiaTheme="minorEastAsia"/>
                <w:kern w:val="0"/>
                <w:sz w:val="21"/>
                <w:szCs w:val="21"/>
              </w:rPr>
              <w:t>1.2常用监测</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★支持图形化的展示近期传染病上报例数、传染病发病趋势。</w:t>
            </w:r>
            <w:r>
              <w:rPr>
                <w:rFonts w:hint="eastAsia" w:cs="宋体" w:asciiTheme="minorEastAsia" w:hAnsiTheme="minorEastAsia" w:eastAsiaTheme="minorEastAsia"/>
                <w:kern w:val="0"/>
                <w:sz w:val="21"/>
                <w:szCs w:val="21"/>
              </w:rPr>
              <w:br w:type="textWrapping"/>
            </w:r>
            <w:r>
              <w:rPr>
                <w:rFonts w:hint="eastAsia" w:cs="宋体" w:asciiTheme="minorEastAsia" w:hAnsiTheme="minorEastAsia" w:eastAsiaTheme="minorEastAsia"/>
                <w:kern w:val="0"/>
                <w:sz w:val="21"/>
                <w:szCs w:val="21"/>
              </w:rPr>
              <w:t>1.3重点关注</w:t>
            </w:r>
            <w:r>
              <w:rPr>
                <w:rFonts w:hint="eastAsia" w:cs="宋体" w:asciiTheme="minorEastAsia" w:hAnsiTheme="minorEastAsia" w:eastAsiaTheme="minorEastAsia"/>
                <w:kern w:val="0"/>
                <w:sz w:val="21"/>
                <w:szCs w:val="21"/>
              </w:rPr>
              <w:br w:type="textWrapping"/>
            </w:r>
            <w:r>
              <w:rPr>
                <w:rFonts w:hint="eastAsia" w:cs="宋体" w:asciiTheme="minorEastAsia" w:hAnsiTheme="minorEastAsia" w:eastAsiaTheme="minorEastAsia"/>
                <w:kern w:val="0"/>
                <w:sz w:val="21"/>
                <w:szCs w:val="21"/>
              </w:rPr>
              <w:t>将重点关注病例添加到关注列表，方便医生查看并跟踪患者的情况。</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r>
              <w:rPr>
                <w:rFonts w:cs="宋体" w:asciiTheme="minorEastAsia" w:hAnsiTheme="minorEastAsia" w:eastAsiaTheme="minorEastAsia"/>
                <w:kern w:val="0"/>
                <w:sz w:val="21"/>
                <w:szCs w:val="21"/>
              </w:rPr>
              <w:t xml:space="preserve">4 </w:t>
            </w:r>
            <w:r>
              <w:rPr>
                <w:rFonts w:hint="eastAsia" w:cs="宋体" w:asciiTheme="minorEastAsia" w:hAnsiTheme="minorEastAsia" w:eastAsiaTheme="minorEastAsia"/>
                <w:kern w:val="0"/>
                <w:sz w:val="21"/>
                <w:szCs w:val="21"/>
              </w:rPr>
              <w:t>快速报卡</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★支持模糊匹配病人ID</w:t>
            </w:r>
            <w:r>
              <w:rPr>
                <w:rFonts w:cs="宋体" w:asciiTheme="minorEastAsia" w:hAnsiTheme="minorEastAsia" w:eastAsiaTheme="minorEastAsia"/>
                <w:kern w:val="0"/>
                <w:sz w:val="21"/>
                <w:szCs w:val="21"/>
              </w:rPr>
              <w:t>/</w:t>
            </w:r>
            <w:r>
              <w:rPr>
                <w:rFonts w:hint="eastAsia" w:cs="宋体" w:asciiTheme="minorEastAsia" w:hAnsiTheme="minorEastAsia" w:eastAsiaTheme="minorEastAsia"/>
                <w:kern w:val="0"/>
                <w:sz w:val="21"/>
                <w:szCs w:val="21"/>
              </w:rPr>
              <w:t>姓名查找病人并上报各种卡片。</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1.</w:t>
            </w:r>
            <w:r>
              <w:rPr>
                <w:rFonts w:cs="宋体" w:asciiTheme="minorEastAsia" w:hAnsiTheme="minorEastAsia" w:eastAsiaTheme="minorEastAsia"/>
                <w:kern w:val="0"/>
                <w:sz w:val="21"/>
                <w:szCs w:val="21"/>
              </w:rPr>
              <w:t xml:space="preserve">5 </w:t>
            </w:r>
            <w:r>
              <w:rPr>
                <w:rFonts w:hint="eastAsia" w:cs="宋体" w:asciiTheme="minorEastAsia" w:hAnsiTheme="minorEastAsia" w:eastAsiaTheme="minorEastAsia"/>
                <w:kern w:val="0"/>
                <w:sz w:val="21"/>
                <w:szCs w:val="21"/>
              </w:rPr>
              <w:t>快速查询病人</w:t>
            </w:r>
          </w:p>
          <w:p>
            <w:pPr>
              <w:widowControl/>
              <w:ind w:firstLine="101" w:firstLineChars="50"/>
              <w:jc w:val="left"/>
              <w:rPr>
                <w:rFonts w:cs="宋体" w:asciiTheme="minorEastAsia" w:hAnsiTheme="minorEastAsia" w:eastAsiaTheme="minorEastAsia"/>
                <w:b/>
                <w:bCs/>
                <w:kern w:val="0"/>
                <w:sz w:val="21"/>
                <w:szCs w:val="21"/>
              </w:rPr>
            </w:pPr>
            <w:r>
              <w:rPr>
                <w:rFonts w:hint="eastAsia" w:cs="宋体" w:asciiTheme="minorEastAsia" w:hAnsiTheme="minorEastAsia" w:eastAsiaTheme="minorEastAsia"/>
                <w:kern w:val="0"/>
                <w:sz w:val="21"/>
                <w:szCs w:val="21"/>
              </w:rPr>
              <w:t>支持模糊/精确两种模式，按病人姓名或者编号，查询符合条件的病人。</w:t>
            </w:r>
          </w:p>
          <w:p>
            <w:pPr>
              <w:widowControl/>
              <w:jc w:val="left"/>
              <w:rPr>
                <w:rFonts w:cs="宋体" w:asciiTheme="minorEastAsia" w:hAnsiTheme="minorEastAsia" w:eastAsiaTheme="minorEastAsia"/>
                <w:b/>
                <w:bCs/>
                <w:color w:val="548DD4" w:themeColor="text2" w:themeTint="99"/>
                <w:kern w:val="0"/>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98" w:hRule="atLeast"/>
        </w:trPr>
        <w:tc>
          <w:tcPr>
            <w:tcW w:w="960"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1167"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智能预警</w:t>
            </w:r>
          </w:p>
        </w:tc>
        <w:tc>
          <w:tcPr>
            <w:tcW w:w="7337" w:type="dxa"/>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color w:val="000000"/>
                <w:kern w:val="0"/>
                <w:sz w:val="21"/>
                <w:szCs w:val="21"/>
              </w:rPr>
              <w:t>2</w:t>
            </w:r>
            <w:r>
              <w:rPr>
                <w:rFonts w:hint="eastAsia" w:cs="宋体" w:asciiTheme="minorEastAsia" w:hAnsiTheme="minorEastAsia" w:eastAsiaTheme="minorEastAsia"/>
                <w:color w:val="000000"/>
                <w:kern w:val="0"/>
                <w:sz w:val="21"/>
                <w:szCs w:val="21"/>
              </w:rPr>
              <w:t>.1支持根据诊断、影像结果、微生物培养和免疫结果等信息对门诊、住院、体检病人传染病病例、慢病和死亡病例进行预警。</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w:t>
            </w:r>
            <w:r>
              <w:rPr>
                <w:rFonts w:cs="宋体" w:asciiTheme="minorEastAsia" w:hAnsiTheme="minorEastAsia" w:eastAsiaTheme="minorEastAsia"/>
                <w:color w:val="000000"/>
                <w:kern w:val="0"/>
                <w:sz w:val="21"/>
                <w:szCs w:val="21"/>
              </w:rPr>
              <w:t>2</w:t>
            </w:r>
            <w:r>
              <w:rPr>
                <w:rFonts w:hint="eastAsia" w:cs="宋体" w:asciiTheme="minorEastAsia" w:hAnsiTheme="minorEastAsia" w:eastAsiaTheme="minorEastAsia"/>
                <w:color w:val="000000"/>
                <w:kern w:val="0"/>
                <w:sz w:val="21"/>
                <w:szCs w:val="21"/>
              </w:rPr>
              <w:t>.2支持自动根据历史报卡情况等信息实现去除重复预警。</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在医生报卡时，支持重复报卡提示，可以根据身份证号、姓名等信息，查找到病人的历史报卡信息，并在报卡前提示医生，避免重复报卡。</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w:t>
            </w:r>
            <w:r>
              <w:rPr>
                <w:rFonts w:hint="eastAsia" w:cs="宋体" w:asciiTheme="minorEastAsia" w:hAnsiTheme="minorEastAsia" w:eastAsiaTheme="minorEastAsia"/>
                <w:color w:val="000000"/>
                <w:kern w:val="0"/>
                <w:sz w:val="21"/>
                <w:szCs w:val="21"/>
              </w:rPr>
              <w:t>.3分科室展示预警病例，传染病医生可查看全院科室</w:t>
            </w:r>
            <w:r>
              <w:rPr>
                <w:rFonts w:hint="eastAsia" w:cs="宋体" w:asciiTheme="minorEastAsia" w:hAnsiTheme="minorEastAsia" w:eastAsiaTheme="minorEastAsia"/>
                <w:kern w:val="0"/>
                <w:sz w:val="21"/>
                <w:szCs w:val="21"/>
              </w:rPr>
              <w:t>，</w:t>
            </w:r>
            <w:r>
              <w:rPr>
                <w:rFonts w:hint="eastAsia" w:cs="宋体" w:asciiTheme="minorEastAsia" w:hAnsiTheme="minorEastAsia" w:eastAsiaTheme="minorEastAsia"/>
                <w:bCs/>
                <w:kern w:val="0"/>
                <w:sz w:val="21"/>
                <w:szCs w:val="21"/>
              </w:rPr>
              <w:t>并且可以查看到每个病人在病房的位置，病人之间相邻与同病房的关系，</w:t>
            </w:r>
            <w:r>
              <w:rPr>
                <w:rFonts w:hint="eastAsia" w:cs="宋体" w:asciiTheme="minorEastAsia" w:hAnsiTheme="minorEastAsia" w:eastAsiaTheme="minorEastAsia"/>
                <w:color w:val="000000"/>
                <w:kern w:val="0"/>
                <w:sz w:val="21"/>
                <w:szCs w:val="21"/>
              </w:rPr>
              <w:t>临床医生只能查看自己所在科室，查看权限可配置。</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w:t>
            </w:r>
            <w:r>
              <w:rPr>
                <w:rFonts w:hint="eastAsia" w:cs="宋体" w:asciiTheme="minorEastAsia" w:hAnsiTheme="minorEastAsia" w:eastAsiaTheme="minorEastAsia"/>
                <w:color w:val="000000"/>
                <w:kern w:val="0"/>
                <w:sz w:val="21"/>
                <w:szCs w:val="21"/>
              </w:rPr>
              <w:t>.4对于每一个疑似病例，可快速查看病人基本信息、诊断、影像结果、微生物培养和免疫结果等信息，辅助临床医生快速诊断。并支持查询患者所有的病历病程，支持关键字在病历病程中高亮显示，且关键字可配置病人异常的指标高亮显示，方便医生有重点的查看相关信息。</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2</w:t>
            </w:r>
            <w:r>
              <w:rPr>
                <w:rFonts w:hint="eastAsia" w:cs="宋体" w:asciiTheme="minorEastAsia" w:hAnsiTheme="minorEastAsia" w:eastAsiaTheme="minorEastAsia"/>
                <w:color w:val="000000"/>
                <w:kern w:val="0"/>
                <w:sz w:val="21"/>
                <w:szCs w:val="21"/>
              </w:rPr>
              <w:t>.5支持对预警病例标记漏报和迟报，便于统计漏报率和迟报率。</w:t>
            </w:r>
          </w:p>
          <w:p>
            <w:pPr>
              <w:widowControl/>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2.6</w:t>
            </w:r>
            <w:r>
              <w:rPr>
                <w:rFonts w:hint="eastAsia" w:cs="宋体" w:asciiTheme="minorEastAsia" w:hAnsiTheme="minorEastAsia" w:eastAsiaTheme="minorEastAsia"/>
                <w:kern w:val="0"/>
                <w:sz w:val="21"/>
                <w:szCs w:val="21"/>
              </w:rPr>
              <w:t>支持诊断、影像结果、</w:t>
            </w:r>
            <w:r>
              <w:rPr>
                <w:rFonts w:hint="eastAsia" w:cs="宋体" w:asciiTheme="minorEastAsia" w:hAnsiTheme="minorEastAsia" w:eastAsiaTheme="minorEastAsia"/>
                <w:bCs/>
                <w:kern w:val="0"/>
                <w:sz w:val="21"/>
                <w:szCs w:val="21"/>
              </w:rPr>
              <w:t>诊疗过程、</w:t>
            </w:r>
            <w:r>
              <w:rPr>
                <w:rFonts w:hint="eastAsia" w:cs="宋体" w:asciiTheme="minorEastAsia" w:hAnsiTheme="minorEastAsia" w:eastAsiaTheme="minorEastAsia"/>
                <w:kern w:val="0"/>
                <w:sz w:val="21"/>
                <w:szCs w:val="21"/>
              </w:rPr>
              <w:t>微生物培养和免疫结果等预警条件的自由配置。</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2.7 支持预警条件以权重法对每个病例进行分析，判断是否为传染病例。</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 xml:space="preserve">2.8 重要的传染病需要提醒医生会诊此病例。 </w:t>
            </w:r>
          </w:p>
          <w:p>
            <w:pPr>
              <w:widowControl/>
              <w:topLinePunct/>
              <w:autoSpaceDE w:val="0"/>
              <w:adjustRightInd w:val="0"/>
              <w:spacing w:line="360" w:lineRule="auto"/>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2.9 报过传染病报卡的病例，提醒相应科室做相应的防护工作。</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2.10提醒医生需要做会诊确认病例。</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2.11 支持预警死亡病例、慢病病例、流感病例等信息</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2.12 隔离病例的显示与监控</w:t>
            </w:r>
          </w:p>
          <w:p>
            <w:pPr>
              <w:widowControl/>
              <w:jc w:val="left"/>
              <w:rPr>
                <w:rFonts w:cs="宋体" w:asciiTheme="minorEastAsia" w:hAnsiTheme="minorEastAsia" w:eastAsiaTheme="minorEastAsia"/>
                <w:b/>
                <w:bCs/>
                <w:color w:val="548DD4" w:themeColor="text2" w:themeTint="99"/>
                <w:kern w:val="0"/>
                <w:sz w:val="21"/>
                <w:szCs w:val="21"/>
              </w:rPr>
            </w:pPr>
            <w:r>
              <w:rPr>
                <w:rFonts w:hint="eastAsia" w:cs="宋体" w:asciiTheme="minorEastAsia" w:hAnsiTheme="minorEastAsia" w:eastAsiaTheme="minorEastAsia"/>
                <w:bCs/>
                <w:kern w:val="0"/>
                <w:sz w:val="21"/>
                <w:szCs w:val="21"/>
              </w:rPr>
              <w:t>2.13传染病预警规则完全遵循《国家传染病诊断标准》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3" w:hRule="atLeast"/>
        </w:trPr>
        <w:tc>
          <w:tcPr>
            <w:tcW w:w="960"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c>
          <w:tcPr>
            <w:tcW w:w="1167"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上报卡</w:t>
            </w:r>
          </w:p>
        </w:tc>
        <w:tc>
          <w:tcPr>
            <w:tcW w:w="7337" w:type="dxa"/>
          </w:tcPr>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rPr>
              <w:t>.1传染病报告卡上报</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★上报卡格式和填报规则完全遵循《中华人民共和国传染病报告卡》。</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支持内嵌</w:t>
            </w:r>
            <w:r>
              <w:rPr>
                <w:rFonts w:hint="eastAsia" w:cs="宋体" w:asciiTheme="minorEastAsia" w:hAnsiTheme="minorEastAsia" w:eastAsiaTheme="minorEastAsia"/>
                <w:kern w:val="0"/>
                <w:sz w:val="21"/>
                <w:szCs w:val="21"/>
              </w:rPr>
              <w:t>到医生工作站并进行上报，医生在下诊断时，调用传染病平台程序，判断是否需要报</w:t>
            </w:r>
            <w:r>
              <w:rPr>
                <w:rFonts w:hint="eastAsia" w:cs="宋体" w:asciiTheme="minorEastAsia" w:hAnsiTheme="minorEastAsia" w:eastAsiaTheme="minorEastAsia"/>
                <w:color w:val="000000"/>
                <w:kern w:val="0"/>
                <w:sz w:val="21"/>
                <w:szCs w:val="21"/>
              </w:rPr>
              <w:t>卡，如果需要，则弹出传染病报告卡提示医生报卡。</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★支持临床上报，管理科室审核的流程；上报卡按待审核、已审核和退卡三种状态进行分类展示</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支持实时提示相关人员待处理的上报卡，点击提示信息可以直接跳转到待处理的上报卡。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支持按日期、科室和传染病诊断搜索上报卡。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★支持上报卡打印，格式和《中华人民共和国传染病报告卡》一致。</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3</w:t>
            </w:r>
            <w:r>
              <w:rPr>
                <w:rFonts w:hint="eastAsia" w:cs="宋体" w:asciiTheme="minorEastAsia" w:hAnsiTheme="minorEastAsia" w:eastAsiaTheme="minorEastAsia"/>
                <w:color w:val="000000"/>
                <w:kern w:val="0"/>
                <w:sz w:val="21"/>
                <w:szCs w:val="21"/>
              </w:rPr>
              <w:t>.2其他上报卡上报</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color w:val="000000"/>
                <w:kern w:val="0"/>
                <w:sz w:val="21"/>
                <w:szCs w:val="21"/>
              </w:rPr>
              <w:t>肿瘤上报卡、脑卒中和心肌梗死上报卡、死亡上报卡、农药中毒上报卡、疑似职业病报告卡、食源性疾病上报卡、AFP病例报告卡、孕产</w:t>
            </w:r>
            <w:r>
              <w:rPr>
                <w:rFonts w:hint="eastAsia" w:cs="宋体" w:asciiTheme="minorEastAsia" w:hAnsiTheme="minorEastAsia" w:eastAsiaTheme="minorEastAsia"/>
                <w:kern w:val="0"/>
                <w:sz w:val="21"/>
                <w:szCs w:val="21"/>
              </w:rPr>
              <w:t>妇死亡报告卡、儿童死亡报告卡、慢阻肺上报卡</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3.3 艾滋病随访表</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Cs/>
                <w:kern w:val="0"/>
                <w:sz w:val="21"/>
                <w:szCs w:val="21"/>
              </w:rPr>
              <w:t>支持标准的艾滋病随访表填写管理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960"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c>
          <w:tcPr>
            <w:tcW w:w="1167"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统计查询</w:t>
            </w:r>
          </w:p>
        </w:tc>
        <w:tc>
          <w:tcPr>
            <w:tcW w:w="7337" w:type="dxa"/>
          </w:tcPr>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4</w:t>
            </w:r>
            <w:r>
              <w:rPr>
                <w:rFonts w:hint="eastAsia" w:cs="宋体" w:asciiTheme="minorEastAsia" w:hAnsiTheme="minorEastAsia" w:eastAsiaTheme="minorEastAsia"/>
                <w:color w:val="000000"/>
                <w:kern w:val="0"/>
                <w:sz w:val="21"/>
                <w:szCs w:val="21"/>
              </w:rPr>
              <w:t>.1传染病上报卡统计分析</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传染病按科室、医生、种类、病名统计</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4</w:t>
            </w:r>
            <w:r>
              <w:rPr>
                <w:rFonts w:hint="eastAsia" w:cs="宋体" w:asciiTheme="minorEastAsia" w:hAnsiTheme="minorEastAsia" w:eastAsiaTheme="minorEastAsia"/>
                <w:color w:val="000000"/>
                <w:kern w:val="0"/>
                <w:sz w:val="21"/>
                <w:szCs w:val="21"/>
              </w:rPr>
              <w:t>.2生成统计报表</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kern w:val="0"/>
                <w:sz w:val="21"/>
                <w:szCs w:val="21"/>
              </w:rPr>
              <w:t>支持生成以下报表：传染</w:t>
            </w:r>
            <w:r>
              <w:rPr>
                <w:rFonts w:hint="eastAsia" w:cs="宋体" w:asciiTheme="minorEastAsia" w:hAnsiTheme="minorEastAsia" w:eastAsiaTheme="minorEastAsia"/>
                <w:color w:val="000000"/>
                <w:kern w:val="0"/>
                <w:sz w:val="21"/>
                <w:szCs w:val="21"/>
              </w:rPr>
              <w:t>病检验科阳性反馈登记表、传染病放射科阳性反馈登记表、传染病迟报漏报患者基本信息登记表、梅毒季报表、性病病例汇总表、免疫规划相关疾病病例月报、农药中毒网报工作记录表、食源性疾病监测登记表、食源性疾病报卡登记表、食源性疾病报卡统计、死亡病人登记本、死亡按科室统计、死亡按根本死因统计</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支持以列表的形式展示相关患者基本信息和传染病上报卡信息，并打印结果</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4</w:t>
            </w:r>
            <w:r>
              <w:rPr>
                <w:rFonts w:hint="eastAsia" w:cs="宋体" w:asciiTheme="minorEastAsia" w:hAnsiTheme="minorEastAsia" w:eastAsiaTheme="minorEastAsia"/>
                <w:color w:val="000000"/>
                <w:kern w:val="0"/>
                <w:sz w:val="21"/>
                <w:szCs w:val="21"/>
              </w:rPr>
              <w:t>.3查询</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支持在任意界面使用姓名、住院号以模糊匹配的方式查询患者，双击弹出病例。</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支持按入院日期、出院日期、科室、传染病预警、传染病报卡、慢病预警、慢病报卡、发热等信息的任意组合筛选病例。</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支持按上报日期、上报卡状态、门诊/住院、传染病诊断、科室等信息的任意组合查询传染病上报卡。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支持以列表的形式展示相关患者基本信息和传染病上报卡信息，并打印查询结果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3" w:hRule="atLeast"/>
        </w:trPr>
        <w:tc>
          <w:tcPr>
            <w:tcW w:w="960"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w:t>
            </w:r>
          </w:p>
        </w:tc>
        <w:tc>
          <w:tcPr>
            <w:tcW w:w="1167"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网络直报</w:t>
            </w:r>
          </w:p>
        </w:tc>
        <w:tc>
          <w:tcPr>
            <w:tcW w:w="7337" w:type="dxa"/>
          </w:tcPr>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w:t>
            </w:r>
            <w:r>
              <w:rPr>
                <w:rFonts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rPr>
              <w:t>.1传染病报告卡</w:t>
            </w:r>
            <w:r>
              <w:rPr>
                <w:rFonts w:hint="eastAsia" w:cs="宋体" w:asciiTheme="minorEastAsia" w:hAnsiTheme="minorEastAsia" w:eastAsiaTheme="minorEastAsia"/>
                <w:color w:val="000000"/>
                <w:kern w:val="0"/>
                <w:sz w:val="21"/>
                <w:szCs w:val="21"/>
              </w:rPr>
              <w:br w:type="textWrapping"/>
            </w:r>
            <w:r>
              <w:rPr>
                <w:rFonts w:hint="eastAsia" w:cs="宋体" w:asciiTheme="minorEastAsia" w:hAnsiTheme="minorEastAsia" w:eastAsiaTheme="minorEastAsia"/>
                <w:color w:val="000000"/>
                <w:kern w:val="0"/>
                <w:sz w:val="21"/>
                <w:szCs w:val="21"/>
              </w:rPr>
              <w:t>支持在内外网同时通的条件下，单张直报CDC网站。</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支持在内外网隔离的条件下，从内网以文件形式批量导出传染病报告卡，然后文件拷贝到外网后，可以单张直报CDC网站。</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支持查看报卡详细情况，方便和网页上自动填报的数据进行对比。</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支持对卡片是否上报进行标识。</w:t>
            </w:r>
          </w:p>
          <w:p>
            <w:pPr>
              <w:widowControl/>
              <w:jc w:val="left"/>
              <w:rPr>
                <w:rFonts w:cs="宋体" w:asciiTheme="minorEastAsia" w:hAnsiTheme="minorEastAsia" w:eastAsiaTheme="minorEastAsia"/>
                <w:color w:val="000000"/>
                <w:kern w:val="0"/>
                <w:sz w:val="21"/>
                <w:szCs w:val="21"/>
              </w:rPr>
            </w:pPr>
            <w:r>
              <w:rPr>
                <w:rFonts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rPr>
              <w:t>.2死亡上报卡</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支持在内外网同时通的条件下，单张直报CDC网站；在内外网隔离的条件下，从内网以文件形式批量导出死亡上报卡，然后文件拷贝到外网后，可以单张直报CDC网站。</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支持查看报卡详细情况，方便和网页上自动填报的数据进行对比。</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支持对卡片是否上报进行标识。</w:t>
            </w:r>
            <w:r>
              <w:rPr>
                <w:rFonts w:hint="eastAsia" w:cs="宋体" w:asciiTheme="minorEastAsia" w:hAnsiTheme="minorEastAsia" w:eastAsiaTheme="minorEastAsia"/>
                <w:color w:val="000000"/>
                <w:kern w:val="0"/>
                <w:sz w:val="21"/>
                <w:szCs w:val="21"/>
              </w:rPr>
              <w:br w:type="textWrapping"/>
            </w:r>
            <w:r>
              <w:rPr>
                <w:rFonts w:cs="宋体" w:asciiTheme="minorEastAsia" w:hAnsiTheme="minorEastAsia" w:eastAsiaTheme="minorEastAsia"/>
                <w:color w:val="000000"/>
                <w:kern w:val="0"/>
                <w:sz w:val="21"/>
                <w:szCs w:val="21"/>
              </w:rPr>
              <w:t>5</w:t>
            </w:r>
            <w:r>
              <w:rPr>
                <w:rFonts w:hint="eastAsia" w:cs="宋体" w:asciiTheme="minorEastAsia" w:hAnsiTheme="minorEastAsia" w:eastAsiaTheme="minorEastAsia"/>
                <w:color w:val="000000"/>
                <w:kern w:val="0"/>
                <w:sz w:val="21"/>
                <w:szCs w:val="21"/>
              </w:rPr>
              <w:t>.3肿瘤报告卡、食源性疾病报告卡、脑卒中报告卡</w:t>
            </w:r>
          </w:p>
          <w:p>
            <w:pPr>
              <w:widowControl/>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支持批量按全国平台标准格式导出上报模板EXCE文件，并可将上报模板EXCE文件批量导入全国平台。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32" w:hRule="atLeast"/>
        </w:trPr>
        <w:tc>
          <w:tcPr>
            <w:tcW w:w="960" w:type="dxa"/>
            <w:noWrap/>
          </w:tcPr>
          <w:p>
            <w:pPr>
              <w:widowControl/>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c>
          <w:tcPr>
            <w:tcW w:w="1167" w:type="dxa"/>
            <w:noWrap/>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通知助手</w:t>
            </w:r>
          </w:p>
        </w:tc>
        <w:tc>
          <w:tcPr>
            <w:tcW w:w="7337" w:type="dxa"/>
          </w:tcPr>
          <w:p>
            <w:pPr>
              <w:widowControl/>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6</w:t>
            </w:r>
            <w:r>
              <w:rPr>
                <w:rFonts w:hint="eastAsia" w:cs="宋体" w:asciiTheme="minorEastAsia" w:hAnsiTheme="minorEastAsia" w:eastAsiaTheme="minorEastAsia"/>
                <w:kern w:val="0"/>
                <w:sz w:val="21"/>
                <w:szCs w:val="21"/>
              </w:rPr>
              <w:t>.1管理科室可通过通知助手，提醒临床各种待办事宜。</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支持的待办事宜包括：传染病预警、慢病预警、传染病报卡、慢病报卡、通知等。</w:t>
            </w:r>
          </w:p>
          <w:p>
            <w:pPr>
              <w:widowControl/>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6</w:t>
            </w:r>
            <w:r>
              <w:rPr>
                <w:rFonts w:hint="eastAsia" w:cs="宋体" w:asciiTheme="minorEastAsia" w:hAnsiTheme="minorEastAsia" w:eastAsiaTheme="minorEastAsia"/>
                <w:kern w:val="0"/>
                <w:sz w:val="21"/>
                <w:szCs w:val="21"/>
              </w:rPr>
              <w:t>.2支持实时推送新的待办事宜通知到医生端，点击通知直接跳转到处理相关事项的界面。支持反复提醒临床医生未完成事项。</w:t>
            </w:r>
          </w:p>
          <w:p>
            <w:pPr>
              <w:widowControl/>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6</w:t>
            </w:r>
            <w:r>
              <w:rPr>
                <w:rFonts w:hint="eastAsia" w:cs="宋体" w:asciiTheme="minorEastAsia" w:hAnsiTheme="minorEastAsia" w:eastAsiaTheme="minorEastAsia"/>
                <w:kern w:val="0"/>
                <w:sz w:val="21"/>
                <w:szCs w:val="21"/>
              </w:rPr>
              <w:t>.3可通过短信，推送消息给医生。推送消息的内容和推送时机，可根据管理科室的需求进行定制化开发。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9" w:hRule="atLeast"/>
        </w:trPr>
        <w:tc>
          <w:tcPr>
            <w:tcW w:w="960" w:type="dxa"/>
            <w:noWrap/>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w:t>
            </w:r>
          </w:p>
        </w:tc>
        <w:tc>
          <w:tcPr>
            <w:tcW w:w="1167" w:type="dxa"/>
            <w:noWrap/>
          </w:tcPr>
          <w:p>
            <w:pPr>
              <w:widowControl/>
              <w:jc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职业暴露</w:t>
            </w:r>
          </w:p>
        </w:tc>
        <w:tc>
          <w:tcPr>
            <w:tcW w:w="7337" w:type="dxa"/>
          </w:tcPr>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w:t>
            </w:r>
            <w:r>
              <w:rPr>
                <w:rFonts w:cs="宋体" w:asciiTheme="minorEastAsia" w:hAnsiTheme="minorEastAsia" w:eastAsiaTheme="minorEastAsia"/>
                <w:kern w:val="0"/>
                <w:sz w:val="21"/>
                <w:szCs w:val="21"/>
              </w:rPr>
              <w:t xml:space="preserve">.1 </w:t>
            </w:r>
            <w:r>
              <w:rPr>
                <w:rFonts w:hint="eastAsia" w:cs="宋体" w:asciiTheme="minorEastAsia" w:hAnsiTheme="minorEastAsia" w:eastAsiaTheme="minorEastAsia"/>
                <w:kern w:val="0"/>
                <w:sz w:val="21"/>
                <w:szCs w:val="21"/>
              </w:rPr>
              <w:t>支持血液和体液暴露上报。</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7</w:t>
            </w:r>
            <w:r>
              <w:rPr>
                <w:rFonts w:cs="宋体" w:asciiTheme="minorEastAsia" w:hAnsiTheme="minorEastAsia" w:eastAsiaTheme="minorEastAsia"/>
                <w:kern w:val="0"/>
                <w:sz w:val="21"/>
                <w:szCs w:val="21"/>
              </w:rPr>
              <w:t xml:space="preserve">.2 </w:t>
            </w:r>
            <w:r>
              <w:rPr>
                <w:rFonts w:hint="eastAsia" w:cs="宋体" w:asciiTheme="minorEastAsia" w:hAnsiTheme="minorEastAsia" w:eastAsiaTheme="minorEastAsia"/>
                <w:kern w:val="0"/>
                <w:sz w:val="21"/>
                <w:szCs w:val="21"/>
              </w:rPr>
              <w:t>支持针刺伤和锐器伤上报。</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7.3 可对院方需要监控的医疗锐器、血液、体液暴露等进行跟踪监测；</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7.4 可对在院医生与职工在院内的受伤情况、地点等等信息做登记，并根据检验结果确认，医护人员是否感染，并通过填写对应表格，上报到院感科室，可以及时查看到，并及时处理；</w:t>
            </w:r>
          </w:p>
          <w:p>
            <w:pPr>
              <w:widowControl/>
              <w:jc w:val="left"/>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7.5 可以查看已登记的职业伤害报表，并可打印报职业伤害报表。</w:t>
            </w:r>
          </w:p>
          <w:p>
            <w:pPr>
              <w:widowControl/>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bCs/>
                <w:kern w:val="0"/>
                <w:sz w:val="21"/>
                <w:szCs w:val="21"/>
              </w:rPr>
              <w:t>7.6 可跟踪管理暴露工作人员，需要用药、需要检测内容，并且可定期提醒检测人员。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960" w:type="dxa"/>
            <w:noWrap/>
          </w:tcPr>
          <w:p>
            <w:pPr>
              <w:widowControl/>
              <w:jc w:val="center"/>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8</w:t>
            </w:r>
          </w:p>
        </w:tc>
        <w:tc>
          <w:tcPr>
            <w:tcW w:w="1167" w:type="dxa"/>
            <w:noWrap/>
          </w:tcPr>
          <w:p>
            <w:pPr>
              <w:widowControl/>
              <w:jc w:val="center"/>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技术要求</w:t>
            </w:r>
          </w:p>
        </w:tc>
        <w:tc>
          <w:tcPr>
            <w:tcW w:w="7337" w:type="dxa"/>
          </w:tcPr>
          <w:p>
            <w:pPr>
              <w:widowControl/>
              <w:jc w:val="left"/>
              <w:rPr>
                <w:rFonts w:cs="宋体" w:asciiTheme="minorEastAsia" w:hAnsiTheme="minorEastAsia" w:eastAsiaTheme="minorEastAsia"/>
                <w:bCs/>
                <w:kern w:val="0"/>
                <w:sz w:val="21"/>
                <w:szCs w:val="21"/>
              </w:rPr>
            </w:pPr>
            <w:r>
              <w:rPr>
                <w:rFonts w:cs="宋体" w:asciiTheme="minorEastAsia" w:hAnsiTheme="minorEastAsia" w:eastAsiaTheme="minorEastAsia"/>
                <w:bCs/>
                <w:kern w:val="0"/>
                <w:sz w:val="21"/>
                <w:szCs w:val="21"/>
              </w:rPr>
              <w:t>8</w:t>
            </w:r>
            <w:r>
              <w:rPr>
                <w:rFonts w:hint="eastAsia" w:cs="宋体" w:asciiTheme="minorEastAsia" w:hAnsiTheme="minorEastAsia" w:eastAsiaTheme="minorEastAsia"/>
                <w:bCs/>
                <w:kern w:val="0"/>
                <w:sz w:val="21"/>
                <w:szCs w:val="21"/>
              </w:rPr>
              <w:t>.1采用B/S架构</w:t>
            </w:r>
          </w:p>
          <w:p>
            <w:pPr>
              <w:widowControl/>
              <w:jc w:val="left"/>
              <w:rPr>
                <w:rFonts w:cs="宋体" w:asciiTheme="minorEastAsia" w:hAnsiTheme="minorEastAsia" w:eastAsiaTheme="minorEastAsia"/>
                <w:bCs/>
                <w:kern w:val="0"/>
                <w:sz w:val="21"/>
                <w:szCs w:val="21"/>
              </w:rPr>
            </w:pPr>
            <w:r>
              <w:rPr>
                <w:rFonts w:cs="宋体" w:asciiTheme="minorEastAsia" w:hAnsiTheme="minorEastAsia" w:eastAsiaTheme="minorEastAsia"/>
                <w:bCs/>
                <w:kern w:val="0"/>
                <w:sz w:val="21"/>
                <w:szCs w:val="21"/>
              </w:rPr>
              <w:t>8</w:t>
            </w:r>
            <w:r>
              <w:rPr>
                <w:rFonts w:hint="eastAsia" w:cs="宋体" w:asciiTheme="minorEastAsia" w:hAnsiTheme="minorEastAsia" w:eastAsiaTheme="minorEastAsia"/>
                <w:bCs/>
                <w:kern w:val="0"/>
                <w:sz w:val="21"/>
                <w:szCs w:val="21"/>
              </w:rPr>
              <w:t>.2具备国家版权局出具的著作权登记证书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 w:hRule="atLeast"/>
        </w:trPr>
        <w:tc>
          <w:tcPr>
            <w:tcW w:w="960" w:type="dxa"/>
            <w:noWrap/>
          </w:tcPr>
          <w:p>
            <w:pPr>
              <w:widowControl/>
              <w:topLinePunct/>
              <w:autoSpaceDE w:val="0"/>
              <w:adjustRightInd w:val="0"/>
              <w:spacing w:line="360" w:lineRule="auto"/>
              <w:jc w:val="center"/>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9</w:t>
            </w:r>
          </w:p>
          <w:p>
            <w:pPr>
              <w:widowControl/>
              <w:topLinePunct/>
              <w:autoSpaceDE w:val="0"/>
              <w:adjustRightInd w:val="0"/>
              <w:spacing w:line="360" w:lineRule="auto"/>
              <w:jc w:val="center"/>
              <w:rPr>
                <w:rFonts w:cs="宋体" w:asciiTheme="minorEastAsia" w:hAnsiTheme="minorEastAsia" w:eastAsiaTheme="minorEastAsia"/>
                <w:bCs/>
                <w:kern w:val="0"/>
                <w:sz w:val="21"/>
                <w:szCs w:val="21"/>
              </w:rPr>
            </w:pPr>
          </w:p>
        </w:tc>
        <w:tc>
          <w:tcPr>
            <w:tcW w:w="1167" w:type="dxa"/>
            <w:noWrap/>
          </w:tcPr>
          <w:p>
            <w:pPr>
              <w:widowControl/>
              <w:topLinePunct/>
              <w:autoSpaceDE w:val="0"/>
              <w:adjustRightInd w:val="0"/>
              <w:jc w:val="center"/>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支持远程办公和移动办公</w:t>
            </w:r>
          </w:p>
        </w:tc>
        <w:tc>
          <w:tcPr>
            <w:tcW w:w="7337" w:type="dxa"/>
          </w:tcPr>
          <w:p>
            <w:pPr>
              <w:widowControl/>
              <w:topLinePunct/>
              <w:autoSpaceDE w:val="0"/>
              <w:adjustRightInd w:val="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★9.1在医院网络环境（前置机、堡垒机等）支持的情况下，系统可以支持远程办公，例如：在家、在外地、有互联网的环境均可以使用以上所有功能。</w:t>
            </w:r>
          </w:p>
          <w:p>
            <w:pPr>
              <w:widowControl/>
              <w:topLinePunct/>
              <w:autoSpaceDE w:val="0"/>
              <w:adjustRightInd w:val="0"/>
              <w:rPr>
                <w:rFonts w:cs="宋体" w:asciiTheme="minorEastAsia" w:hAnsiTheme="minorEastAsia" w:eastAsiaTheme="minorEastAsia"/>
                <w:bCs/>
                <w:kern w:val="0"/>
                <w:sz w:val="21"/>
                <w:szCs w:val="21"/>
              </w:rPr>
            </w:pPr>
            <w:r>
              <w:rPr>
                <w:rFonts w:hint="eastAsia" w:cs="宋体" w:asciiTheme="minorEastAsia" w:hAnsiTheme="minorEastAsia" w:eastAsiaTheme="minorEastAsia"/>
                <w:bCs/>
                <w:kern w:val="0"/>
                <w:sz w:val="21"/>
                <w:szCs w:val="21"/>
              </w:rPr>
              <w:t>9.2系统可以在手机（苹果系统、安卓系统）、iPad、平板电脑等移动终端运行以上系统所有功能。</w:t>
            </w:r>
          </w:p>
        </w:tc>
      </w:tr>
    </w:tbl>
    <w:p>
      <w:pPr>
        <w:jc w:val="left"/>
        <w:rPr>
          <w:rFonts w:ascii="黑体" w:hAnsi="黑体" w:eastAsia="黑体" w:cs="Times New Roman"/>
          <w:b/>
          <w:kern w:val="0"/>
          <w:sz w:val="18"/>
          <w:szCs w:val="18"/>
        </w:rPr>
      </w:pPr>
      <w:r>
        <w:rPr>
          <w:rFonts w:hint="eastAsia" w:ascii="黑体" w:hAnsi="黑体" w:eastAsia="黑体" w:cs="Times New Roman"/>
          <w:b/>
          <w:kern w:val="0"/>
          <w:sz w:val="18"/>
          <w:szCs w:val="18"/>
        </w:rPr>
        <w:t>注</w:t>
      </w:r>
      <w:r>
        <w:rPr>
          <w:rFonts w:hint="eastAsia" w:cs="宋体" w:asciiTheme="minorEastAsia" w:hAnsiTheme="minorEastAsia"/>
          <w:color w:val="000000"/>
          <w:kern w:val="0"/>
          <w:szCs w:val="21"/>
        </w:rPr>
        <w:t>★</w:t>
      </w:r>
      <w:r>
        <w:rPr>
          <w:rFonts w:hint="eastAsia" w:ascii="黑体" w:hAnsi="黑体" w:eastAsia="黑体" w:cs="Times New Roman"/>
          <w:b/>
          <w:kern w:val="0"/>
          <w:sz w:val="18"/>
          <w:szCs w:val="18"/>
        </w:rPr>
        <w:t>参数为核心参数</w:t>
      </w: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3</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18</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29</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070A7"/>
    <w:rsid w:val="0002753B"/>
    <w:rsid w:val="00027CF2"/>
    <w:rsid w:val="00037330"/>
    <w:rsid w:val="000404BD"/>
    <w:rsid w:val="00040F12"/>
    <w:rsid w:val="000532D8"/>
    <w:rsid w:val="00054C92"/>
    <w:rsid w:val="00057277"/>
    <w:rsid w:val="000617F8"/>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81015"/>
    <w:rsid w:val="00187861"/>
    <w:rsid w:val="001A083F"/>
    <w:rsid w:val="001A14C3"/>
    <w:rsid w:val="001A345F"/>
    <w:rsid w:val="001A4FD9"/>
    <w:rsid w:val="001B14E3"/>
    <w:rsid w:val="001B7705"/>
    <w:rsid w:val="001C3758"/>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16632"/>
    <w:rsid w:val="005222C3"/>
    <w:rsid w:val="00522CA7"/>
    <w:rsid w:val="00531671"/>
    <w:rsid w:val="00532B1E"/>
    <w:rsid w:val="00533850"/>
    <w:rsid w:val="00534859"/>
    <w:rsid w:val="005401BD"/>
    <w:rsid w:val="00551FC2"/>
    <w:rsid w:val="00554F2D"/>
    <w:rsid w:val="00560BBB"/>
    <w:rsid w:val="00563E2F"/>
    <w:rsid w:val="00564319"/>
    <w:rsid w:val="00564B59"/>
    <w:rsid w:val="00576044"/>
    <w:rsid w:val="00576112"/>
    <w:rsid w:val="00577DD4"/>
    <w:rsid w:val="00585142"/>
    <w:rsid w:val="00592C5C"/>
    <w:rsid w:val="005A24EB"/>
    <w:rsid w:val="005A29A0"/>
    <w:rsid w:val="005B13C9"/>
    <w:rsid w:val="005B382F"/>
    <w:rsid w:val="005B5235"/>
    <w:rsid w:val="005C50D9"/>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6446C"/>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6A2"/>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6E30"/>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0E4A"/>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0272"/>
    <w:rsid w:val="00F11CF3"/>
    <w:rsid w:val="00F24887"/>
    <w:rsid w:val="00F2646C"/>
    <w:rsid w:val="00F32C5F"/>
    <w:rsid w:val="00F34741"/>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 w:val="12FB5EA9"/>
    <w:rsid w:val="2F026A7F"/>
    <w:rsid w:val="3AE56528"/>
    <w:rsid w:val="4BF26AA1"/>
    <w:rsid w:val="53565D23"/>
    <w:rsid w:val="7A224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qFormat/>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1"/>
    <w:qFormat/>
    <w:uiPriority w:val="0"/>
    <w:pPr>
      <w:jc w:val="center"/>
    </w:pPr>
    <w:rPr>
      <w:rFonts w:ascii="Times New Roman" w:hAnsi="Times New Roman" w:eastAsia="宋体" w:cs="Times New Roman"/>
      <w:kern w:val="0"/>
      <w:szCs w:val="24"/>
    </w:rPr>
  </w:style>
  <w:style w:type="paragraph" w:styleId="16">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qFormat/>
    <w:uiPriority w:val="0"/>
    <w:rPr>
      <w:rFonts w:ascii="Times New Roman" w:hAnsi="Times New Roman" w:eastAsia="宋体" w:cs="Times New Roman"/>
      <w:b/>
      <w:bCs/>
      <w:kern w:val="44"/>
      <w:sz w:val="44"/>
      <w:szCs w:val="44"/>
    </w:rPr>
  </w:style>
  <w:style w:type="character" w:customStyle="1" w:styleId="24">
    <w:name w:val="标题 2 Char"/>
    <w:basedOn w:val="20"/>
    <w:link w:val="3"/>
    <w:qFormat/>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qFormat/>
    <w:uiPriority w:val="0"/>
    <w:rPr>
      <w:rFonts w:ascii="Times New Roman" w:hAnsi="Times New Roman" w:eastAsia="宋体" w:cs="Times New Roman"/>
      <w:kern w:val="0"/>
      <w:sz w:val="24"/>
      <w:szCs w:val="24"/>
    </w:rPr>
  </w:style>
  <w:style w:type="character" w:customStyle="1" w:styleId="29">
    <w:name w:val="正文文本缩进 Char"/>
    <w:basedOn w:val="20"/>
    <w:link w:val="7"/>
    <w:qFormat/>
    <w:uiPriority w:val="0"/>
    <w:rPr>
      <w:rFonts w:ascii="Times New Roman" w:hAnsi="Times New Roman" w:eastAsia="宋体" w:cs="Times New Roman"/>
      <w:kern w:val="0"/>
      <w:sz w:val="24"/>
      <w:szCs w:val="24"/>
    </w:rPr>
  </w:style>
  <w:style w:type="character" w:customStyle="1" w:styleId="30">
    <w:name w:val="正文文本 Char"/>
    <w:basedOn w:val="20"/>
    <w:link w:val="6"/>
    <w:qFormat/>
    <w:uiPriority w:val="0"/>
    <w:rPr>
      <w:rFonts w:ascii="Times New Roman" w:hAnsi="Times New Roman" w:eastAsia="宋体" w:cs="Times New Roman"/>
      <w:kern w:val="0"/>
      <w:szCs w:val="24"/>
    </w:rPr>
  </w:style>
  <w:style w:type="character" w:customStyle="1" w:styleId="31">
    <w:name w:val="正文文本 2 Char"/>
    <w:basedOn w:val="20"/>
    <w:link w:val="15"/>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qFormat/>
    <w:uiPriority w:val="0"/>
    <w:rPr>
      <w:rFonts w:ascii="宋体" w:hAnsi="Courier New" w:eastAsia="宋体" w:cs="Courier New"/>
      <w:sz w:val="24"/>
      <w:szCs w:val="21"/>
    </w:rPr>
  </w:style>
  <w:style w:type="character" w:customStyle="1" w:styleId="37">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20"/>
    <w:qFormat/>
    <w:uiPriority w:val="0"/>
    <w:rPr>
      <w:rFonts w:hint="eastAsia" w:ascii="仿宋_GB2312" w:eastAsia="仿宋_GB2312"/>
      <w:sz w:val="32"/>
    </w:rPr>
  </w:style>
  <w:style w:type="character" w:customStyle="1" w:styleId="46">
    <w:name w:val="Char Char3"/>
    <w:basedOn w:val="20"/>
    <w:qFormat/>
    <w:locked/>
    <w:uiPriority w:val="0"/>
    <w:rPr>
      <w:rFonts w:ascii="宋体" w:hAnsi="宋体" w:eastAsia="宋体"/>
      <w:sz w:val="18"/>
      <w:szCs w:val="18"/>
      <w:lang w:val="en-US" w:eastAsia="zh-CN" w:bidi="ar-SA"/>
    </w:rPr>
  </w:style>
  <w:style w:type="character" w:customStyle="1" w:styleId="47">
    <w:name w:val="HTML 预设格式 Char"/>
    <w:basedOn w:val="20"/>
    <w:link w:val="16"/>
    <w:qFormat/>
    <w:uiPriority w:val="0"/>
    <w:rPr>
      <w:rFonts w:ascii="黑体" w:hAnsi="Courier New" w:eastAsia="黑体" w:cs="Times New Roman"/>
      <w:kern w:val="0"/>
      <w:sz w:val="20"/>
      <w:szCs w:val="20"/>
    </w:rPr>
  </w:style>
  <w:style w:type="character" w:customStyle="1" w:styleId="48">
    <w:name w:val="日期 Char"/>
    <w:basedOn w:val="20"/>
    <w:link w:val="9"/>
    <w:semiHidden/>
    <w:qFormat/>
    <w:uiPriority w:val="99"/>
  </w:style>
  <w:style w:type="table" w:customStyle="1" w:styleId="49">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6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1">
    <w:name w:val="网格型64"/>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2">
    <w:name w:val="网格型68"/>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E8304-3A81-4D16-9929-11254F3773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4715</Words>
  <Characters>26881</Characters>
  <Lines>224</Lines>
  <Paragraphs>63</Paragraphs>
  <TotalTime>1</TotalTime>
  <ScaleCrop>false</ScaleCrop>
  <LinksUpToDate>false</LinksUpToDate>
  <CharactersWithSpaces>31533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2020-07-28T03:09:00Z</cp:lastPrinted>
  <dcterms:modified xsi:type="dcterms:W3CDTF">2020-10-28T01:17:53Z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