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755" w:firstLineChars="500"/>
        <w:rPr>
          <w:rFonts w:hint="eastAsia" w:ascii="宋体" w:hAnsi="宋体" w:eastAsia="宋体" w:cs="Times New Roman"/>
          <w:kern w:val="0"/>
          <w:sz w:val="36"/>
          <w:szCs w:val="36"/>
          <w:u w:val="single"/>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多导神经节律（睡眠）分析软件</w:t>
      </w:r>
    </w:p>
    <w:p>
      <w:pPr>
        <w:ind w:firstLine="1755" w:firstLineChars="500"/>
        <w:rPr>
          <w:rFonts w:hint="eastAsia" w:ascii="宋体" w:hAnsi="宋体" w:eastAsia="宋体" w:cs="Times New Roman"/>
          <w:kern w:val="0"/>
          <w:sz w:val="36"/>
          <w:szCs w:val="36"/>
          <w:u w:val="single"/>
        </w:rPr>
      </w:pPr>
    </w:p>
    <w:p>
      <w:pPr>
        <w:ind w:firstLine="1755" w:firstLineChars="500"/>
        <w:rPr>
          <w:rFonts w:hint="eastAsia" w:ascii="宋体" w:hAnsi="宋体" w:eastAsia="宋体" w:cs="Times New Roman"/>
          <w:kern w:val="0"/>
          <w:sz w:val="36"/>
          <w:szCs w:val="36"/>
          <w:u w:val="singl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2020-JL13(03)-W30057</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bookmarkStart w:id="41" w:name="_GoBack"/>
      <w:bookmarkEnd w:id="41"/>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 w:val="21"/>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"_Toc43485651" </w:instrText>
      </w:r>
      <w:r>
        <w:fldChar w:fldCharType="separate"/>
      </w:r>
      <w:r>
        <w:rPr>
          <w:rStyle w:val="22"/>
          <w:rFonts w:hint="eastAsia" w:ascii="黑体" w:hAnsi="黑体" w:eastAsia="黑体"/>
        </w:rPr>
        <w:t>第一部分</w:t>
      </w:r>
      <w:r>
        <w:rPr>
          <w:rStyle w:val="22"/>
          <w:rFonts w:ascii="黑体" w:hAnsi="黑体" w:eastAsia="黑体"/>
        </w:rPr>
        <w:t xml:space="preserve">  </w:t>
      </w:r>
      <w:r>
        <w:rPr>
          <w:rStyle w:val="22"/>
          <w:rFonts w:hint="eastAsia" w:ascii="黑体" w:hAnsi="黑体" w:eastAsia="黑体"/>
        </w:rPr>
        <w:t>采购公告</w:t>
      </w:r>
      <w:r>
        <w:tab/>
      </w:r>
      <w:r>
        <w:fldChar w:fldCharType="begin"/>
      </w:r>
      <w:r>
        <w:instrText xml:space="preserve"> PAGEREF _Toc43485651 \h </w:instrText>
      </w:r>
      <w:r>
        <w:fldChar w:fldCharType="separate"/>
      </w:r>
      <w:r>
        <w:t>1</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"_Toc43485652" </w:instrText>
      </w:r>
      <w:r>
        <w:fldChar w:fldCharType="separate"/>
      </w:r>
      <w:r>
        <w:rPr>
          <w:rStyle w:val="22"/>
          <w:rFonts w:hint="eastAsia" w:ascii="黑体" w:hAnsi="黑体" w:eastAsia="黑体"/>
          <w:lang w:val="zh-CN"/>
        </w:rPr>
        <w:t>第二部分</w:t>
      </w:r>
      <w:r>
        <w:rPr>
          <w:rStyle w:val="22"/>
          <w:rFonts w:ascii="黑体" w:hAnsi="黑体" w:eastAsia="黑体"/>
          <w:lang w:val="zh-CN"/>
        </w:rPr>
        <w:t xml:space="preserve">  </w:t>
      </w:r>
      <w:r>
        <w:rPr>
          <w:rStyle w:val="22"/>
          <w:rFonts w:hint="eastAsia" w:ascii="黑体" w:hAnsi="黑体" w:eastAsia="黑体"/>
          <w:lang w:val="zh-CN"/>
        </w:rPr>
        <w:t>采购项目技</w:t>
      </w:r>
      <w:r>
        <w:rPr>
          <w:rStyle w:val="22"/>
          <w:rFonts w:hint="eastAsia" w:ascii="黑体" w:hAnsi="黑体" w:eastAsia="黑体" w:cs="宋体"/>
          <w:lang w:val="zh-CN"/>
        </w:rPr>
        <w:t>术</w:t>
      </w:r>
      <w:r>
        <w:rPr>
          <w:rStyle w:val="22"/>
          <w:rFonts w:hint="eastAsia" w:ascii="黑体" w:hAnsi="黑体" w:eastAsia="黑体" w:cs="Dotum"/>
          <w:lang w:val="zh-CN"/>
        </w:rPr>
        <w:t>和商</w:t>
      </w:r>
      <w:r>
        <w:rPr>
          <w:rStyle w:val="22"/>
          <w:rFonts w:hint="eastAsia" w:ascii="黑体" w:hAnsi="黑体" w:eastAsia="黑体" w:cs="宋体"/>
          <w:lang w:val="zh-CN"/>
        </w:rPr>
        <w:t>务</w:t>
      </w:r>
      <w:r>
        <w:rPr>
          <w:rStyle w:val="22"/>
          <w:rFonts w:hint="eastAsia" w:ascii="黑体" w:hAnsi="黑体" w:eastAsia="黑体"/>
          <w:lang w:val="zh-CN"/>
        </w:rPr>
        <w:t>要求</w:t>
      </w:r>
      <w:r>
        <w:tab/>
      </w:r>
      <w:r>
        <w:fldChar w:fldCharType="begin"/>
      </w:r>
      <w:r>
        <w:instrText xml:space="preserve"> PAGEREF _Toc43485652 \h </w:instrText>
      </w:r>
      <w:r>
        <w:fldChar w:fldCharType="separate"/>
      </w:r>
      <w:r>
        <w:t>4</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"_Toc43485653" </w:instrText>
      </w:r>
      <w:r>
        <w:fldChar w:fldCharType="separate"/>
      </w:r>
      <w:r>
        <w:rPr>
          <w:rStyle w:val="22"/>
          <w:rFonts w:hint="eastAsia" w:ascii="黑体" w:hAnsi="黑体" w:eastAsia="黑体"/>
        </w:rPr>
        <w:t>第三部分</w:t>
      </w:r>
      <w:r>
        <w:rPr>
          <w:rStyle w:val="22"/>
          <w:rFonts w:ascii="黑体" w:hAnsi="黑体" w:eastAsia="黑体"/>
        </w:rPr>
        <w:t xml:space="preserve">  </w:t>
      </w:r>
      <w:r>
        <w:rPr>
          <w:rStyle w:val="22"/>
          <w:rFonts w:hint="eastAsia" w:ascii="黑体" w:hAnsi="黑体" w:eastAsia="黑体"/>
          <w:lang w:val="zh-CN"/>
        </w:rPr>
        <w:t>报价方</w:t>
      </w:r>
      <w:r>
        <w:rPr>
          <w:rStyle w:val="22"/>
          <w:rFonts w:hint="eastAsia" w:ascii="黑体" w:hAnsi="黑体" w:eastAsia="黑体"/>
        </w:rPr>
        <w:t>须知</w:t>
      </w:r>
      <w:r>
        <w:tab/>
      </w:r>
      <w:r>
        <w:fldChar w:fldCharType="begin"/>
      </w:r>
      <w:r>
        <w:instrText xml:space="preserve"> PAGEREF _Toc43485653 \h </w:instrText>
      </w:r>
      <w:r>
        <w:fldChar w:fldCharType="separate"/>
      </w:r>
      <w:r>
        <w:t>6</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"_Toc43485654" </w:instrText>
      </w:r>
      <w:r>
        <w:fldChar w:fldCharType="separate"/>
      </w:r>
      <w:r>
        <w:rPr>
          <w:rStyle w:val="22"/>
          <w:rFonts w:hint="eastAsia" w:ascii="黑体" w:hAnsi="黑体" w:eastAsia="黑体"/>
          <w:bCs/>
        </w:rPr>
        <w:t>第四部分</w:t>
      </w:r>
      <w:r>
        <w:rPr>
          <w:rStyle w:val="22"/>
          <w:rFonts w:ascii="黑体" w:hAnsi="黑体" w:eastAsia="黑体"/>
          <w:bCs/>
        </w:rPr>
        <w:t xml:space="preserve">  </w:t>
      </w:r>
      <w:r>
        <w:rPr>
          <w:rStyle w:val="22"/>
          <w:rFonts w:hint="eastAsia" w:ascii="黑体" w:hAnsi="黑体" w:eastAsia="黑体"/>
          <w:bCs/>
        </w:rPr>
        <w:t>合同样本</w:t>
      </w:r>
      <w:r>
        <w:tab/>
      </w:r>
      <w:r>
        <w:fldChar w:fldCharType="begin"/>
      </w:r>
      <w:r>
        <w:instrText xml:space="preserve"> PAGEREF _Toc43485654 \h </w:instrText>
      </w:r>
      <w:r>
        <w:fldChar w:fldCharType="separate"/>
      </w:r>
      <w:r>
        <w:t>29</w:t>
      </w:r>
      <w:r>
        <w:fldChar w:fldCharType="end"/>
      </w:r>
      <w: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"_Toc43485655" </w:instrText>
      </w:r>
      <w:r>
        <w:fldChar w:fldCharType="separate"/>
      </w:r>
      <w:r>
        <w:rPr>
          <w:rStyle w:val="22"/>
          <w:rFonts w:hint="eastAsia" w:ascii="黑体" w:hAnsi="黑体" w:eastAsia="黑体"/>
        </w:rPr>
        <w:t>第五部分</w:t>
      </w:r>
      <w:r>
        <w:rPr>
          <w:rStyle w:val="22"/>
          <w:rFonts w:ascii="黑体" w:hAnsi="黑体" w:eastAsia="黑体"/>
        </w:rPr>
        <w:t xml:space="preserve">  </w:t>
      </w:r>
      <w:r>
        <w:rPr>
          <w:rStyle w:val="22"/>
          <w:rFonts w:hint="eastAsia" w:ascii="黑体" w:hAnsi="黑体" w:eastAsia="黑体"/>
        </w:rPr>
        <w:t>附件</w:t>
      </w:r>
      <w:r>
        <w:rPr>
          <w:rStyle w:val="22"/>
          <w:rFonts w:ascii="黑体" w:hAnsi="黑体" w:eastAsia="黑体"/>
        </w:rPr>
        <w:t>/</w:t>
      </w:r>
      <w:r>
        <w:rPr>
          <w:rStyle w:val="22"/>
          <w:rFonts w:hint="eastAsia" w:ascii="黑体" w:hAnsi="黑体" w:eastAsia="黑体"/>
        </w:rPr>
        <w:t>报价文件格式</w:t>
      </w:r>
      <w:r>
        <w:tab/>
      </w:r>
      <w:r>
        <w:fldChar w:fldCharType="begin"/>
      </w:r>
      <w:r>
        <w:instrText xml:space="preserve"> PAGEREF _Toc43485655 \h </w:instrText>
      </w:r>
      <w:r>
        <w:fldChar w:fldCharType="separate"/>
      </w:r>
      <w:r>
        <w:t>34</w:t>
      </w:r>
      <w:r>
        <w:fldChar w:fldCharType="end"/>
      </w:r>
      <w: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4348565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多导神经节律（睡眠）分析软件</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2020-JL13(03)-W30057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多导神经节律（睡眠）分析软件</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2020-JL13(03)-W30057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709"/>
        <w:gridCol w:w="1559"/>
        <w:gridCol w:w="709"/>
        <w:gridCol w:w="643"/>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包号</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规格</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技术</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计量</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交货</w:t>
            </w:r>
          </w:p>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napToGrid w:val="0"/>
                <w:sz w:val="24"/>
                <w:szCs w:val="24"/>
              </w:rPr>
            </w:pPr>
            <w:r>
              <w:rPr>
                <w:rFonts w:hint="eastAsia" w:ascii="宋体" w:hAnsi="宋体" w:eastAsia="宋体" w:cs="Times New Roman"/>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lang w:eastAsia="zh-CN"/>
              </w:rPr>
              <w:t>多导神经节律（睡眠）分析软件</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kern w:val="0"/>
                <w:sz w:val="24"/>
                <w:szCs w:val="24"/>
              </w:rPr>
              <w:t>详见谈判文件附件21</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套</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cs="Times New Roman" w:asciiTheme="minorEastAsia" w:hAnsiTheme="minorEastAsia"/>
                <w:szCs w:val="21"/>
              </w:rPr>
              <w:t>合同签订后</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z w:val="24"/>
                <w:szCs w:val="24"/>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sz w:val="24"/>
                <w:szCs w:val="24"/>
              </w:rPr>
            </w:pPr>
            <w:r>
              <w:rPr>
                <w:rFonts w:hint="eastAsia" w:ascii="宋体" w:hAnsi="宋体" w:eastAsia="宋体" w:cs="Times New Roman"/>
                <w:snapToGrid w:val="0"/>
                <w:kern w:val="0"/>
                <w:sz w:val="24"/>
                <w:szCs w:val="24"/>
              </w:rPr>
              <w:t>说明</w:t>
            </w:r>
          </w:p>
        </w:tc>
        <w:tc>
          <w:tcPr>
            <w:tcW w:w="838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Times New Roman"/>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 xml:space="preserve"> 报价应包括所有货物供应、运输、安装、培训、售后服务等价格。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202</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lang w:val="en-US" w:eastAsia="zh-CN"/>
        </w:rPr>
        <w:t>01</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05</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 xml:space="preserve"> 01</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 xml:space="preserve"> 12</w:t>
      </w:r>
      <w:r>
        <w:rPr>
          <w:rFonts w:hint="eastAsia" w:ascii="宋体" w:hAnsi="宋体" w:eastAsia="宋体" w:cs="Times New Roman"/>
          <w:kern w:val="0"/>
          <w:sz w:val="24"/>
          <w:szCs w:val="24"/>
        </w:rPr>
        <w:t>日（08:00—11:30，1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0—17:30）（北京时间、节假日除外）。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软件生产企业营业执照（进口产品需提供国内总代理营业执照）；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软件生产企业对代理公司参与报价的授权书（进口产品需提供原产厂家对中国总代的中英文授权书复印件或同步翻译件）。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2"/>
          <w:rFonts w:asciiTheme="minorEastAsia" w:hAnsiTheme="minorEastAsia"/>
          <w:b/>
          <w:color w:val="auto"/>
          <w:kern w:val="0"/>
          <w:sz w:val="24"/>
          <w:szCs w:val="24"/>
          <w:u w:val="none"/>
        </w:rPr>
        <w:t>www.zhaobiao.cn</w:t>
      </w:r>
      <w:r>
        <w:rPr>
          <w:rStyle w:val="22"/>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spacing w:after="289"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 xml:space="preserve"> 202</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01</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05</w:t>
      </w:r>
      <w:r>
        <w:rPr>
          <w:rFonts w:hint="eastAsia" w:ascii="宋体" w:hAnsi="宋体" w:eastAsia="宋体" w:cs="Times New Roman"/>
          <w:kern w:val="0"/>
          <w:sz w:val="24"/>
          <w:szCs w:val="24"/>
        </w:rPr>
        <w:t>日</w:t>
      </w:r>
    </w:p>
    <w:p>
      <w:pPr>
        <w:autoSpaceDE w:val="0"/>
        <w:autoSpaceDN w:val="0"/>
        <w:adjustRightInd w:val="0"/>
        <w:spacing w:line="440" w:lineRule="exact"/>
        <w:rPr>
          <w:rFonts w:hint="default" w:ascii="宋体" w:hAnsi="宋体" w:eastAsia="宋体" w:cs="Times New Roman"/>
          <w:kern w:val="0"/>
          <w:sz w:val="24"/>
          <w:szCs w:val="24"/>
          <w:lang w:val="en-US" w:eastAsia="zh-CN"/>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435540979"/>
      <w:bookmarkStart w:id="6" w:name="_Toc390713967"/>
      <w:bookmarkStart w:id="7" w:name="_Toc43485652"/>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8"/>
        <w:tblW w:w="5000" w:type="pct"/>
        <w:jc w:val="center"/>
        <w:tblLayout w:type="autofit"/>
        <w:tblCellMar>
          <w:top w:w="0" w:type="dxa"/>
          <w:left w:w="108" w:type="dxa"/>
          <w:bottom w:w="0" w:type="dxa"/>
          <w:right w:w="108" w:type="dxa"/>
        </w:tblCellMar>
      </w:tblPr>
      <w:tblGrid>
        <w:gridCol w:w="814"/>
        <w:gridCol w:w="1985"/>
        <w:gridCol w:w="1056"/>
        <w:gridCol w:w="2565"/>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包号</w:t>
            </w:r>
          </w:p>
        </w:tc>
        <w:tc>
          <w:tcPr>
            <w:tcW w:w="198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物资名称</w:t>
            </w:r>
          </w:p>
        </w:tc>
        <w:tc>
          <w:tcPr>
            <w:tcW w:w="105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规格</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型号</w:t>
            </w:r>
          </w:p>
        </w:tc>
        <w:tc>
          <w:tcPr>
            <w:tcW w:w="25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hint="eastAsia" w:cs="Times New Roman" w:asciiTheme="minorEastAsia" w:hAnsiTheme="minorEastAsia"/>
                <w:kern w:val="0"/>
                <w:sz w:val="24"/>
                <w:szCs w:val="24"/>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计量</w:t>
            </w:r>
          </w:p>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数量</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 w:val="24"/>
                <w:szCs w:val="24"/>
              </w:rPr>
            </w:pPr>
            <w:r>
              <w:rPr>
                <w:rFonts w:ascii="宋体" w:hAnsi="宋体" w:eastAsia="宋体" w:cs="Times New Roman"/>
                <w:kern w:val="0"/>
                <w:sz w:val="24"/>
                <w:szCs w:val="24"/>
              </w:rPr>
              <w:t>备注</w:t>
            </w:r>
          </w:p>
        </w:tc>
      </w:tr>
      <w:tr>
        <w:tblPrEx>
          <w:tblCellMar>
            <w:top w:w="0" w:type="dxa"/>
            <w:left w:w="108" w:type="dxa"/>
            <w:bottom w:w="0" w:type="dxa"/>
            <w:right w:w="108" w:type="dxa"/>
          </w:tblCellMar>
        </w:tblPrEx>
        <w:trPr>
          <w:trHeight w:val="90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985"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多导神经节律（睡眠）分析软件</w:t>
            </w:r>
          </w:p>
        </w:tc>
        <w:tc>
          <w:tcPr>
            <w:tcW w:w="105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w:t>
            </w:r>
          </w:p>
        </w:tc>
        <w:tc>
          <w:tcPr>
            <w:tcW w:w="256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27" w:firstLineChars="98"/>
              <w:jc w:val="left"/>
              <w:rPr>
                <w:rFonts w:ascii="宋体" w:hAnsi="宋体" w:eastAsia="宋体" w:cs="Times New Roman"/>
                <w:kern w:val="0"/>
                <w:sz w:val="24"/>
                <w:szCs w:val="24"/>
              </w:rPr>
            </w:pPr>
            <w:r>
              <w:rPr>
                <w:rFonts w:hint="eastAsia" w:ascii="宋体" w:hAnsi="宋体" w:eastAsia="宋体" w:cs="Times New Roman"/>
                <w:kern w:val="0"/>
                <w:sz w:val="24"/>
                <w:szCs w:val="24"/>
              </w:rPr>
              <w:t>详见谈判文件附件21</w:t>
            </w:r>
          </w:p>
        </w:tc>
        <w:tc>
          <w:tcPr>
            <w:tcW w:w="962"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套</w:t>
            </w:r>
          </w:p>
        </w:tc>
        <w:tc>
          <w:tcPr>
            <w:tcW w:w="851"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宋体" w:hAnsi="宋体" w:eastAsia="宋体" w:cs="Times New Roman"/>
                <w:kern w:val="0"/>
                <w:sz w:val="24"/>
                <w:szCs w:val="24"/>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w:t>
      </w:r>
      <w:r>
        <w:rPr>
          <w:rFonts w:hint="eastAsia" w:cs="Times New Roman" w:asciiTheme="minorEastAsia" w:hAnsiTheme="minorEastAsia"/>
          <w:kern w:val="0"/>
          <w:sz w:val="24"/>
          <w:szCs w:val="24"/>
          <w:u w:val="single"/>
          <w:lang w:val="en-US" w:eastAsia="zh-CN"/>
        </w:rPr>
        <w:t>9</w:t>
      </w:r>
      <w:r>
        <w:rPr>
          <w:rFonts w:hint="eastAsia" w:cs="Times New Roman" w:asciiTheme="minorEastAsia" w:hAnsiTheme="minorEastAsia"/>
          <w:kern w:val="0"/>
          <w:sz w:val="24"/>
          <w:szCs w:val="24"/>
          <w:u w:val="single"/>
        </w:rPr>
        <w:t>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保修期：自验收合格之日起，产品免费保修期至少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产品免费保修期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xml:space="preserve">节假日照常服务)。外地到现场时间： </w:t>
      </w:r>
      <w:r>
        <w:rPr>
          <w:rFonts w:hint="eastAsia" w:cs="Times New Roman" w:asciiTheme="minorEastAsia" w:hAnsiTheme="minorEastAsia"/>
          <w:color w:val="FF0000"/>
          <w:kern w:val="0"/>
          <w:sz w:val="24"/>
          <w:szCs w:val="24"/>
          <w:u w:val="single"/>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240432230"/>
      <w:bookmarkStart w:id="11" w:name="_Toc435540980"/>
      <w:bookmarkStart w:id="12" w:name="_Toc390713968"/>
      <w:bookmarkStart w:id="13" w:name="_Toc43485653"/>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保修期内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rPr>
        <w:t>中国招标</w:t>
      </w:r>
      <w:r>
        <w:rPr>
          <w:rFonts w:cs="Times New Roman" w:asciiTheme="minorEastAsia" w:hAnsiTheme="minorEastAsia"/>
          <w:snapToGrid w:val="0"/>
          <w:kern w:val="0"/>
          <w:sz w:val="24"/>
          <w:szCs w:val="24"/>
        </w:rPr>
        <w:t>网》</w:t>
      </w:r>
      <w:r>
        <w:rPr>
          <w:rFonts w:hint="eastAsia" w:cs="Times New Roman" w:asciiTheme="minorEastAsia" w:hAnsiTheme="minorEastAsia"/>
          <w:snapToGrid w:val="0"/>
          <w:kern w:val="0"/>
          <w:sz w:val="24"/>
          <w:szCs w:val="24"/>
        </w:rPr>
        <w:t>（</w:t>
      </w:r>
      <w:r>
        <w:fldChar w:fldCharType="begin"/>
      </w:r>
      <w:r>
        <w:instrText xml:space="preserve"> HYPERLINK "http://www.zhaobiao.cn" </w:instrText>
      </w:r>
      <w:r>
        <w:fldChar w:fldCharType="separate"/>
      </w:r>
      <w:r>
        <w:rPr>
          <w:rStyle w:val="22"/>
          <w:rFonts w:asciiTheme="minorEastAsia" w:hAnsiTheme="minorEastAsia"/>
          <w:snapToGrid w:val="0"/>
          <w:color w:val="auto"/>
          <w:kern w:val="0"/>
          <w:sz w:val="24"/>
          <w:szCs w:val="24"/>
          <w:u w:val="none"/>
        </w:rPr>
        <w:t>www.zhaobiao.cn</w:t>
      </w:r>
      <w:r>
        <w:rPr>
          <w:rStyle w:val="22"/>
          <w:rFonts w:asciiTheme="minorEastAsia" w:hAnsiTheme="minorEastAsia"/>
          <w:snapToGrid w:val="0"/>
          <w:color w:val="auto"/>
          <w:kern w:val="0"/>
          <w:sz w:val="24"/>
          <w:szCs w:val="24"/>
          <w:u w:val="none"/>
        </w:rPr>
        <w:fldChar w:fldCharType="end"/>
      </w:r>
      <w:r>
        <w:rPr>
          <w:rFonts w:hint="eastAsia" w:cs="Times New Roman" w:asciiTheme="minorEastAsia" w:hAnsiTheme="minorEastAsia"/>
          <w:snapToGrid w:val="0"/>
          <w:kern w:val="0"/>
          <w:sz w:val="24"/>
          <w:szCs w:val="24"/>
        </w:rPr>
        <w:t>）及医院官网（</w:t>
      </w:r>
      <w:r>
        <w:rPr>
          <w:rFonts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rPr>
        <w:t>）</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(10)软件</w:t>
      </w:r>
      <w:r>
        <w:rPr>
          <w:rFonts w:hint="eastAsia" w:cs="Times New Roman" w:asciiTheme="minorEastAsia" w:hAnsiTheme="minorEastAsia"/>
          <w:snapToGrid w:val="0"/>
          <w:kern w:val="0"/>
          <w:sz w:val="24"/>
          <w:szCs w:val="24"/>
          <w:lang w:val="zh-CN"/>
        </w:rPr>
        <w:t>生产厂家售后服务承诺（进口设备由总代提供，附件10</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(12)</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(13)</w:t>
      </w:r>
      <w:r>
        <w:rPr>
          <w:rFonts w:hint="eastAsia" w:cs="Times New Roman" w:asciiTheme="minorEastAsia" w:hAnsiTheme="minorEastAsia"/>
          <w:kern w:val="0"/>
          <w:sz w:val="24"/>
          <w:szCs w:val="24"/>
        </w:rPr>
        <w:t>技术评审表（附件12）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hint="eastAsia" w:cs="Times New Roman" w:asciiTheme="minorEastAsia" w:hAnsiTheme="minorEastAsia"/>
          <w:kern w:val="0"/>
          <w:sz w:val="24"/>
          <w:szCs w:val="24"/>
        </w:rPr>
        <w:t>商务评审表（附件13）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(5)保密承诺书（附件17）</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(9)良好的商业信誉和健全的财务会计制度证明材料：会计师事务所出具的近3年（不足3年以成立日期起算）审计报告主要内容或公司近3年财务报表，至少应包括资产负债表、利润表及现金流量表。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(11)软件生产企业营业执照（进口产品需提供国内总代理营业执照）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(12)软件生产企业对代理公司参与报价的授权书（进口产品需提供原产厂家对中国总代的中英文授权书复印件或同步翻译件。附件20）</w:t>
      </w:r>
    </w:p>
    <w:p>
      <w:pPr>
        <w:adjustRightInd w:val="0"/>
        <w:snapToGrid w:val="0"/>
        <w:spacing w:line="440" w:lineRule="exact"/>
        <w:ind w:firstLine="455" w:firstLineChars="19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(13)报价方认为需要加以说明的其他内容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报价方可以选择性提供其他资格证明文件，包括但不限于质量管理体系认证证书、环境管理体系认证证书、职业健康管理体系认证证书、3C认证、高新技术企业</w:t>
      </w:r>
      <w:r>
        <w:rPr>
          <w:rFonts w:hint="eastAsia" w:asciiTheme="majorEastAsia" w:hAnsiTheme="majorEastAsia" w:eastAsiaTheme="majorEastAsia"/>
          <w:sz w:val="24"/>
          <w:szCs w:val="24"/>
        </w:rPr>
        <w:t>、电子与智能化工程专业资质、</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8"/>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98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6.健全的财务会计制度证明材料：会计师事务所出具的近3年（不足3年以成立日期起算）审计报告主要内容或公司近3年财务报表，至少应包括资产负债表、利润表及现金流量表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软件</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114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软件生产企业对代理公司参与报价的授权书（进口产品需提供原产厂家对中国总代的中英文授权书复印件或同步翻译件）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 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49"/>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tcBorders>
              <w:top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序号</w:t>
            </w:r>
          </w:p>
        </w:tc>
        <w:tc>
          <w:tcPr>
            <w:tcW w:w="85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项目</w:t>
            </w:r>
          </w:p>
        </w:tc>
        <w:tc>
          <w:tcPr>
            <w:tcW w:w="708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评审内容及规则</w:t>
            </w:r>
          </w:p>
        </w:tc>
        <w:tc>
          <w:tcPr>
            <w:tcW w:w="708" w:type="dxa"/>
            <w:tcBorders>
              <w:top w:val="single" w:color="000000" w:sz="4" w:space="0"/>
              <w:left w:val="single" w:color="000000" w:sz="4" w:space="0"/>
              <w:bottom w:val="single" w:color="000000"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标准</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Borders>
              <w:top w:val="single" w:color="000000" w:sz="4" w:space="0"/>
              <w:right w:val="single" w:color="000000" w:sz="4" w:space="0"/>
            </w:tcBorders>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商务评审</w:t>
            </w:r>
          </w:p>
        </w:tc>
        <w:tc>
          <w:tcPr>
            <w:tcW w:w="708" w:type="dxa"/>
            <w:tcBorders>
              <w:top w:val="single" w:color="000000" w:sz="4" w:space="0"/>
              <w:left w:val="single" w:color="000000" w:sz="4" w:space="0"/>
            </w:tcBorders>
            <w:vAlign w:val="center"/>
          </w:tcPr>
          <w:p>
            <w:pPr>
              <w:adjustRightInd w:val="0"/>
              <w:snapToGrid w:val="0"/>
              <w:spacing w:line="300" w:lineRule="auto"/>
              <w:rPr>
                <w:rFonts w:ascii="宋体" w:hAnsi="宋体" w:eastAsia="宋体" w:cs="Times New Roman"/>
                <w:b/>
                <w:bCs/>
                <w:kern w:val="0"/>
                <w:sz w:val="21"/>
                <w:szCs w:val="21"/>
              </w:rPr>
            </w:pPr>
          </w:p>
          <w:p>
            <w:pPr>
              <w:adjustRightInd w:val="0"/>
              <w:snapToGrid w:val="0"/>
              <w:spacing w:line="300" w:lineRule="auto"/>
              <w:rPr>
                <w:rFonts w:ascii="宋体" w:hAnsi="宋体" w:eastAsia="宋体" w:cs="Times New Roman"/>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价  格</w:t>
            </w:r>
          </w:p>
        </w:tc>
        <w:tc>
          <w:tcPr>
            <w:tcW w:w="7088" w:type="dxa"/>
            <w:gridSpan w:val="2"/>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满足招标文件要求且报价最低的为评审基准价</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价格得分=（评审基准价/报价）×标准分值</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业绩</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ascii="宋体" w:hAnsi="宋体" w:eastAsia="宋体" w:cs="Times New Roman"/>
                <w:kern w:val="0"/>
                <w:sz w:val="21"/>
                <w:szCs w:val="21"/>
              </w:rPr>
              <w:t>的销售业绩。以提供的销售合同复印件为准，未盖章或盖章不清晰、总金额或数量不清晰的合同无效。</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业绩得分=（所投产品业绩/基准业绩）×标准分值</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基准业绩=近三年（截止开标时间）所投产品有效合同累计销售最高数量（以有效合同份数计算）</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企业</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规模</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2.根据报价方近三年缴纳社保</w:t>
            </w:r>
            <w:r>
              <w:rPr>
                <w:rFonts w:hint="eastAsia" w:ascii="宋体" w:hAnsi="宋体" w:eastAsia="宋体" w:cs="Times New Roman"/>
                <w:b/>
                <w:kern w:val="0"/>
                <w:sz w:val="21"/>
                <w:szCs w:val="21"/>
                <w:u w:val="single"/>
              </w:rPr>
              <w:t>总金额</w:t>
            </w:r>
            <w:r>
              <w:rPr>
                <w:rFonts w:hint="eastAsia" w:ascii="宋体" w:hAnsi="宋体" w:eastAsia="宋体" w:cs="Times New Roman"/>
                <w:kern w:val="0"/>
                <w:sz w:val="21"/>
                <w:szCs w:val="21"/>
              </w:rPr>
              <w:t>由大至小排名，第一名得1分，依次递减0.2分。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四</w:t>
            </w:r>
          </w:p>
        </w:tc>
        <w:tc>
          <w:tcPr>
            <w:tcW w:w="852"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信  誉</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1.报价方近两年连续获得税务部门颁发的企业纳税信用</w:t>
            </w:r>
            <w:r>
              <w:rPr>
                <w:rFonts w:hint="eastAsia" w:ascii="宋体" w:hAnsi="宋体" w:eastAsia="宋体" w:cs="Times New Roman"/>
                <w:b/>
                <w:kern w:val="0"/>
                <w:sz w:val="21"/>
                <w:szCs w:val="21"/>
                <w:u w:val="single"/>
              </w:rPr>
              <w:t>A级</w:t>
            </w:r>
            <w:r>
              <w:rPr>
                <w:rFonts w:hint="eastAsia" w:ascii="宋体" w:hAnsi="宋体" w:eastAsia="宋体" w:cs="Times New Roman"/>
                <w:kern w:val="0"/>
                <w:sz w:val="21"/>
                <w:szCs w:val="21"/>
              </w:rPr>
              <w:t>评价证书的得0.5分，其他得0分。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852"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2.报价方近一年获得银行颁发的资信（信用）</w:t>
            </w:r>
            <w:r>
              <w:rPr>
                <w:rFonts w:hint="eastAsia" w:ascii="宋体" w:hAnsi="宋体" w:eastAsia="宋体" w:cs="Times New Roman"/>
                <w:b/>
                <w:kern w:val="0"/>
                <w:sz w:val="21"/>
                <w:szCs w:val="21"/>
                <w:u w:val="single"/>
              </w:rPr>
              <w:t>等级</w:t>
            </w:r>
            <w:r>
              <w:rPr>
                <w:rFonts w:hint="eastAsia" w:ascii="宋体" w:hAnsi="宋体" w:eastAsia="宋体" w:cs="Times New Roman"/>
                <w:kern w:val="0"/>
                <w:sz w:val="21"/>
                <w:szCs w:val="21"/>
              </w:rPr>
              <w:t>证明，级别最高的得0.5分，其他得0分。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五</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财务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状况</w:t>
            </w:r>
          </w:p>
        </w:tc>
        <w:tc>
          <w:tcPr>
            <w:tcW w:w="7088" w:type="dxa"/>
            <w:gridSpan w:val="2"/>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六</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报价方</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性质</w:t>
            </w:r>
          </w:p>
        </w:tc>
        <w:tc>
          <w:tcPr>
            <w:tcW w:w="7088" w:type="dxa"/>
            <w:gridSpan w:val="2"/>
            <w:noWrap/>
            <w:vAlign w:val="center"/>
          </w:tcPr>
          <w:p>
            <w:pPr>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报价方是</w:t>
            </w:r>
            <w:r>
              <w:rPr>
                <w:rFonts w:hint="eastAsia" w:ascii="宋体" w:hAnsi="宋体" w:eastAsia="宋体" w:cs="Times New Roman"/>
                <w:b/>
                <w:kern w:val="0"/>
                <w:sz w:val="21"/>
                <w:szCs w:val="21"/>
                <w:u w:val="single"/>
              </w:rPr>
              <w:t>生产企业或进口产品全国（大区）总代理</w:t>
            </w:r>
            <w:r>
              <w:rPr>
                <w:rFonts w:hint="eastAsia" w:ascii="宋体" w:hAnsi="宋体" w:eastAsia="宋体" w:cs="Times New Roman"/>
                <w:kern w:val="0"/>
                <w:sz w:val="21"/>
                <w:szCs w:val="21"/>
              </w:rPr>
              <w:t>的得标准分值，不是的得0分。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七</w:t>
            </w:r>
          </w:p>
        </w:tc>
        <w:tc>
          <w:tcPr>
            <w:tcW w:w="852"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特色</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商务</w:t>
            </w:r>
          </w:p>
        </w:tc>
        <w:tc>
          <w:tcPr>
            <w:tcW w:w="7088" w:type="dxa"/>
            <w:gridSpan w:val="2"/>
            <w:tcBorders>
              <w:top w:val="single" w:color="auto" w:sz="4" w:space="0"/>
            </w:tcBorders>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color w:val="000000" w:themeColor="text1"/>
                <w:kern w:val="0"/>
                <w:sz w:val="21"/>
                <w:szCs w:val="21"/>
              </w:rPr>
              <w:t>投标公司为</w:t>
            </w:r>
            <w:r>
              <w:rPr>
                <w:rFonts w:ascii="宋体" w:hAnsi="宋体" w:eastAsia="宋体" w:cs="Times New Roman"/>
                <w:color w:val="000000" w:themeColor="text1"/>
                <w:kern w:val="0"/>
                <w:sz w:val="21"/>
                <w:szCs w:val="21"/>
              </w:rPr>
              <w:t>上市公司或为所投产品行业标准制定</w:t>
            </w:r>
            <w:r>
              <w:rPr>
                <w:rFonts w:hint="eastAsia" w:ascii="宋体" w:hAnsi="宋体" w:eastAsia="宋体" w:cs="Times New Roman"/>
                <w:color w:val="000000" w:themeColor="text1"/>
                <w:kern w:val="0"/>
                <w:sz w:val="21"/>
                <w:szCs w:val="21"/>
              </w:rPr>
              <w:t>者</w:t>
            </w:r>
            <w:r>
              <w:rPr>
                <w:rFonts w:ascii="宋体" w:hAnsi="宋体" w:eastAsia="宋体" w:cs="Times New Roman"/>
                <w:color w:val="000000" w:themeColor="text1"/>
                <w:kern w:val="0"/>
                <w:sz w:val="21"/>
                <w:szCs w:val="21"/>
              </w:rPr>
              <w:t>得</w:t>
            </w:r>
            <w:r>
              <w:rPr>
                <w:rFonts w:hint="eastAsia" w:ascii="宋体" w:hAnsi="宋体" w:eastAsia="宋体" w:cs="Times New Roman"/>
                <w:color w:val="000000" w:themeColor="text1"/>
                <w:kern w:val="0"/>
                <w:sz w:val="21"/>
                <w:szCs w:val="21"/>
              </w:rPr>
              <w:t>3分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所投</w:t>
            </w:r>
            <w:r>
              <w:rPr>
                <w:rFonts w:ascii="宋体" w:hAnsi="宋体" w:eastAsia="宋体" w:cs="Times New Roman"/>
                <w:color w:val="000000" w:themeColor="text1"/>
                <w:kern w:val="0"/>
                <w:sz w:val="21"/>
                <w:szCs w:val="21"/>
              </w:rPr>
              <w:t>产品</w:t>
            </w:r>
            <w:r>
              <w:rPr>
                <w:rFonts w:hint="eastAsia" w:ascii="宋体" w:hAnsi="宋体" w:eastAsia="宋体" w:cs="Times New Roman"/>
                <w:color w:val="000000" w:themeColor="text1"/>
                <w:kern w:val="0"/>
                <w:sz w:val="21"/>
                <w:szCs w:val="21"/>
              </w:rPr>
              <w:t>标准</w:t>
            </w:r>
            <w:r>
              <w:rPr>
                <w:rFonts w:ascii="宋体" w:hAnsi="宋体" w:eastAsia="宋体" w:cs="Times New Roman"/>
                <w:color w:val="000000" w:themeColor="text1"/>
                <w:kern w:val="0"/>
                <w:sz w:val="21"/>
                <w:szCs w:val="21"/>
              </w:rPr>
              <w:t>达到行业领先水平得</w:t>
            </w:r>
            <w:r>
              <w:rPr>
                <w:rFonts w:hint="eastAsia" w:ascii="宋体" w:hAnsi="宋体" w:eastAsia="宋体" w:cs="Times New Roman"/>
                <w:color w:val="000000" w:themeColor="text1"/>
                <w:kern w:val="0"/>
                <w:sz w:val="21"/>
                <w:szCs w:val="21"/>
              </w:rPr>
              <w:t>2分</w:t>
            </w:r>
            <w:r>
              <w:rPr>
                <w:rFonts w:ascii="宋体" w:hAnsi="宋体" w:eastAsia="宋体" w:cs="Times New Roman"/>
                <w:color w:val="000000" w:themeColor="text1"/>
                <w:kern w:val="0"/>
                <w:sz w:val="21"/>
                <w:szCs w:val="21"/>
              </w:rPr>
              <w:t>，达到区域领先的得</w:t>
            </w:r>
            <w:r>
              <w:rPr>
                <w:rFonts w:hint="eastAsia" w:ascii="宋体" w:hAnsi="宋体" w:eastAsia="宋体" w:cs="Times New Roman"/>
                <w:color w:val="000000" w:themeColor="text1"/>
                <w:kern w:val="0"/>
                <w:sz w:val="21"/>
                <w:szCs w:val="21"/>
              </w:rPr>
              <w:t>1分</w:t>
            </w:r>
            <w:r>
              <w:rPr>
                <w:rFonts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rPr>
              <w:t>（提供证明材料）</w:t>
            </w:r>
          </w:p>
        </w:tc>
        <w:tc>
          <w:tcPr>
            <w:tcW w:w="708" w:type="dxa"/>
            <w:tcBorders>
              <w:top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color w:val="000000" w:themeColor="text1"/>
                <w:kern w:val="0"/>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300" w:lineRule="auto"/>
              <w:jc w:val="center"/>
              <w:rPr>
                <w:rFonts w:ascii="宋体" w:hAnsi="宋体" w:eastAsia="宋体" w:cs="Times New Roman"/>
                <w:b/>
                <w:bCs/>
                <w:kern w:val="0"/>
                <w:sz w:val="21"/>
                <w:szCs w:val="21"/>
              </w:rPr>
            </w:pPr>
            <w:r>
              <w:rPr>
                <w:rFonts w:hint="eastAsia" w:ascii="宋体" w:hAnsi="宋体" w:eastAsia="宋体" w:cs="Times New Roman"/>
                <w:b/>
                <w:bCs/>
                <w:kern w:val="0"/>
                <w:sz w:val="21"/>
                <w:szCs w:val="21"/>
              </w:rPr>
              <w:t>技术评审</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p>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一</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技术</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力量</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（10分）</w:t>
            </w: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1.所投产品具有相应软件著作权或</w:t>
            </w:r>
            <w:r>
              <w:rPr>
                <w:rFonts w:ascii="宋体" w:hAnsi="宋体" w:eastAsia="宋体" w:cs="Times New Roman"/>
                <w:kern w:val="0"/>
                <w:sz w:val="21"/>
                <w:szCs w:val="21"/>
              </w:rPr>
              <w:t>发明专利</w:t>
            </w:r>
            <w:r>
              <w:rPr>
                <w:rFonts w:hint="eastAsia" w:ascii="宋体" w:hAnsi="宋体" w:eastAsia="宋体" w:cs="Times New Roman"/>
                <w:kern w:val="0"/>
                <w:sz w:val="21"/>
                <w:szCs w:val="21"/>
              </w:rPr>
              <w:t>的得标准分，没有得0分。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2.制造商具有IS09001质量管理体系认证证书的得标准分，否则得0分。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noWrap/>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3.制造商具有IS027001信息安全管理体系认证证书的得标准分，否则得0分。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4.开发商为高新技术企业的得标准分，否则得0分。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5.投标人具有计算机信息系统集成1级资质的得2分，2级的得1分，3级得0.5分，3级以下不得分。（提供证明材料）。</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6.开发商</w:t>
            </w:r>
            <w:r>
              <w:rPr>
                <w:rFonts w:hint="eastAsia" w:ascii="宋体" w:hAnsi="宋体" w:eastAsia="宋体" w:cs="Times New Roman"/>
                <w:kern w:val="0"/>
                <w:sz w:val="21"/>
                <w:szCs w:val="21"/>
              </w:rPr>
              <w:t>或</w:t>
            </w:r>
            <w:r>
              <w:rPr>
                <w:rFonts w:ascii="宋体" w:hAnsi="宋体" w:eastAsia="宋体" w:cs="Times New Roman"/>
                <w:kern w:val="0"/>
                <w:sz w:val="21"/>
                <w:szCs w:val="21"/>
              </w:rPr>
              <w:t>投标人具有CMMI5认证证书的得2分，CMMI4认证证书的得1分，CMMI3</w:t>
            </w:r>
            <w:r>
              <w:rPr>
                <w:rFonts w:hint="eastAsia" w:ascii="宋体" w:hAnsi="宋体" w:eastAsia="宋体" w:cs="Times New Roman"/>
                <w:kern w:val="0"/>
                <w:sz w:val="21"/>
                <w:szCs w:val="21"/>
              </w:rPr>
              <w:t>认证</w:t>
            </w:r>
            <w:r>
              <w:rPr>
                <w:rFonts w:ascii="宋体" w:hAnsi="宋体" w:eastAsia="宋体" w:cs="Times New Roman"/>
                <w:kern w:val="0"/>
                <w:sz w:val="21"/>
                <w:szCs w:val="21"/>
              </w:rPr>
              <w:t>证书得0.5分, CMMI3以下得0分。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ascii="宋体" w:hAnsi="宋体" w:eastAsia="宋体" w:cs="Times New Roman"/>
                <w:kern w:val="0"/>
                <w:sz w:val="21"/>
                <w:szCs w:val="21"/>
              </w:rPr>
              <w:t>7</w:t>
            </w:r>
            <w:r>
              <w:rPr>
                <w:rFonts w:hint="eastAsia" w:ascii="宋体" w:hAnsi="宋体" w:eastAsia="宋体" w:cs="Times New Roman"/>
                <w:kern w:val="0"/>
                <w:sz w:val="21"/>
                <w:szCs w:val="21"/>
              </w:rPr>
              <w:t>.所投产品具有行业</w:t>
            </w:r>
            <w:r>
              <w:rPr>
                <w:rFonts w:ascii="宋体" w:hAnsi="宋体" w:eastAsia="宋体" w:cs="Times New Roman"/>
                <w:kern w:val="0"/>
                <w:sz w:val="21"/>
                <w:szCs w:val="21"/>
              </w:rPr>
              <w:t>技术标准、规范、</w:t>
            </w:r>
            <w:r>
              <w:rPr>
                <w:rFonts w:hint="eastAsia" w:ascii="宋体" w:hAnsi="宋体" w:eastAsia="宋体" w:cs="Times New Roman"/>
                <w:kern w:val="0"/>
                <w:sz w:val="21"/>
                <w:szCs w:val="21"/>
              </w:rPr>
              <w:t>认证</w:t>
            </w:r>
            <w:r>
              <w:rPr>
                <w:rFonts w:ascii="宋体" w:hAnsi="宋体" w:eastAsia="宋体" w:cs="Times New Roman"/>
                <w:kern w:val="0"/>
                <w:sz w:val="21"/>
                <w:szCs w:val="21"/>
              </w:rPr>
              <w:t>证书</w:t>
            </w:r>
            <w:r>
              <w:rPr>
                <w:rFonts w:hint="eastAsia" w:ascii="宋体" w:hAnsi="宋体" w:eastAsia="宋体" w:cs="Times New Roman"/>
                <w:kern w:val="0"/>
                <w:sz w:val="21"/>
                <w:szCs w:val="21"/>
              </w:rPr>
              <w:t>、</w:t>
            </w:r>
            <w:r>
              <w:rPr>
                <w:rFonts w:ascii="宋体" w:hAnsi="宋体" w:eastAsia="宋体" w:cs="Times New Roman"/>
                <w:kern w:val="0"/>
                <w:sz w:val="21"/>
                <w:szCs w:val="21"/>
              </w:rPr>
              <w:t>奖项等品质证明材料的，一项加</w:t>
            </w:r>
            <w:r>
              <w:rPr>
                <w:rFonts w:hint="eastAsia" w:ascii="宋体" w:hAnsi="宋体" w:eastAsia="宋体" w:cs="Times New Roman"/>
                <w:kern w:val="0"/>
                <w:sz w:val="21"/>
                <w:szCs w:val="21"/>
              </w:rPr>
              <w:t>0.5分</w:t>
            </w:r>
            <w:r>
              <w:rPr>
                <w:rFonts w:ascii="宋体" w:hAnsi="宋体" w:eastAsia="宋体" w:cs="Times New Roman"/>
                <w:kern w:val="0"/>
                <w:sz w:val="21"/>
                <w:szCs w:val="21"/>
              </w:rPr>
              <w:t>，最多加</w:t>
            </w:r>
            <w:r>
              <w:rPr>
                <w:rFonts w:hint="eastAsia" w:ascii="宋体" w:hAnsi="宋体" w:eastAsia="宋体" w:cs="Times New Roman"/>
                <w:kern w:val="0"/>
                <w:sz w:val="21"/>
                <w:szCs w:val="21"/>
              </w:rPr>
              <w:t>2分</w:t>
            </w:r>
            <w:r>
              <w:rPr>
                <w:rFonts w:ascii="宋体" w:hAnsi="宋体" w:eastAsia="宋体" w:cs="Times New Roman"/>
                <w:kern w:val="0"/>
                <w:sz w:val="21"/>
                <w:szCs w:val="21"/>
              </w:rPr>
              <w:t>。</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0"/>
                <w:szCs w:val="21"/>
              </w:rPr>
            </w:pPr>
          </w:p>
        </w:tc>
        <w:tc>
          <w:tcPr>
            <w:tcW w:w="6946" w:type="dxa"/>
            <w:vAlign w:val="center"/>
          </w:tcPr>
          <w:p>
            <w:pPr>
              <w:adjustRightInd w:val="0"/>
              <w:snapToGrid w:val="0"/>
              <w:spacing w:line="300" w:lineRule="auto"/>
              <w:rPr>
                <w:rFonts w:ascii="宋体" w:hAnsi="宋体" w:eastAsia="宋体" w:cs="Times New Roman"/>
                <w:color w:val="FF0000"/>
                <w:kern w:val="0"/>
                <w:sz w:val="20"/>
                <w:szCs w:val="21"/>
              </w:rPr>
            </w:pPr>
            <w:r>
              <w:rPr>
                <w:rFonts w:ascii="宋体" w:hAnsi="宋体" w:eastAsia="宋体" w:cs="Times New Roman"/>
                <w:kern w:val="0"/>
                <w:sz w:val="21"/>
                <w:szCs w:val="21"/>
              </w:rPr>
              <w:t>8</w:t>
            </w:r>
            <w:r>
              <w:rPr>
                <w:rFonts w:hint="eastAsia" w:ascii="宋体" w:hAnsi="宋体" w:eastAsia="宋体" w:cs="Times New Roman"/>
                <w:kern w:val="0"/>
                <w:sz w:val="21"/>
                <w:szCs w:val="21"/>
              </w:rPr>
              <w:t>.投标人</w:t>
            </w:r>
            <w:r>
              <w:rPr>
                <w:rFonts w:ascii="宋体" w:hAnsi="宋体" w:eastAsia="宋体" w:cs="Times New Roman"/>
                <w:kern w:val="0"/>
                <w:sz w:val="21"/>
                <w:szCs w:val="21"/>
              </w:rPr>
              <w:t>具有</w:t>
            </w:r>
            <w:r>
              <w:rPr>
                <w:rFonts w:hint="eastAsia" w:ascii="宋体" w:hAnsi="宋体" w:eastAsia="宋体" w:cs="Times New Roman"/>
                <w:kern w:val="0"/>
                <w:sz w:val="21"/>
                <w:szCs w:val="21"/>
              </w:rPr>
              <w:t>系统分析师、系统构架师、软件工程、数据库专业开发人员、程序员以及有经验的项目管理和组织能力项目经理，并提供相应的高级</w:t>
            </w:r>
            <w:r>
              <w:rPr>
                <w:rFonts w:ascii="宋体" w:hAnsi="宋体" w:eastAsia="宋体" w:cs="Times New Roman"/>
                <w:kern w:val="0"/>
                <w:sz w:val="21"/>
                <w:szCs w:val="21"/>
              </w:rPr>
              <w:t>职称</w:t>
            </w:r>
            <w:r>
              <w:rPr>
                <w:rFonts w:hint="eastAsia" w:ascii="宋体" w:hAnsi="宋体" w:eastAsia="宋体" w:cs="Times New Roman"/>
                <w:kern w:val="0"/>
                <w:sz w:val="21"/>
                <w:szCs w:val="21"/>
              </w:rPr>
              <w:t>资质。每提供一个证书得</w:t>
            </w:r>
            <w:r>
              <w:rPr>
                <w:rFonts w:ascii="宋体" w:hAnsi="宋体" w:eastAsia="宋体" w:cs="Times New Roman"/>
                <w:kern w:val="0"/>
                <w:sz w:val="21"/>
                <w:szCs w:val="21"/>
              </w:rPr>
              <w:t>0.5分，最多得2分（并提供社保作为支持）</w:t>
            </w:r>
          </w:p>
        </w:tc>
        <w:tc>
          <w:tcPr>
            <w:tcW w:w="708" w:type="dxa"/>
            <w:vAlign w:val="center"/>
          </w:tcPr>
          <w:p>
            <w:pPr>
              <w:adjustRightInd w:val="0"/>
              <w:snapToGrid w:val="0"/>
              <w:spacing w:line="30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二</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产品技术性能指标参数满足偏离情况（30分）</w:t>
            </w: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符合招标文件技术要求的有效起评分为</w:t>
            </w:r>
            <w:r>
              <w:rPr>
                <w:rFonts w:ascii="宋体" w:hAnsi="宋体" w:eastAsia="宋体" w:cs="Times New Roman"/>
                <w:kern w:val="0"/>
                <w:sz w:val="21"/>
                <w:szCs w:val="21"/>
              </w:rPr>
              <w:t>15</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 关键重要技术指标参数（★）、重要指标参数（▲）正偏离，每条加</w:t>
            </w:r>
            <w:r>
              <w:rPr>
                <w:rFonts w:ascii="宋体" w:hAnsi="宋体" w:eastAsia="宋体" w:cs="Times New Roman"/>
                <w:kern w:val="0"/>
                <w:sz w:val="21"/>
                <w:szCs w:val="21"/>
              </w:rPr>
              <w:t>1</w:t>
            </w:r>
            <w:r>
              <w:rPr>
                <w:rFonts w:hint="eastAsia" w:ascii="宋体" w:hAnsi="宋体" w:eastAsia="宋体" w:cs="Times New Roman"/>
                <w:kern w:val="0"/>
                <w:sz w:val="21"/>
                <w:szCs w:val="21"/>
              </w:rPr>
              <w:t>分，最多加</w:t>
            </w:r>
            <w:r>
              <w:rPr>
                <w:rFonts w:ascii="宋体" w:hAnsi="宋体" w:eastAsia="宋体" w:cs="Times New Roman"/>
                <w:kern w:val="0"/>
                <w:sz w:val="21"/>
                <w:szCs w:val="21"/>
              </w:rPr>
              <w:t>10</w:t>
            </w:r>
            <w:r>
              <w:rPr>
                <w:rFonts w:hint="eastAsia" w:ascii="宋体" w:hAnsi="宋体" w:eastAsia="宋体" w:cs="Times New Roman"/>
                <w:kern w:val="0"/>
                <w:sz w:val="21"/>
                <w:szCs w:val="21"/>
              </w:rPr>
              <w:t>分；</w:t>
            </w:r>
          </w:p>
          <w:p>
            <w:pPr>
              <w:adjustRightInd w:val="0"/>
              <w:snapToGrid w:val="0"/>
              <w:spacing w:line="300" w:lineRule="auto"/>
              <w:rPr>
                <w:rFonts w:ascii="宋体" w:hAnsi="宋体" w:eastAsia="宋体" w:cs="Times New Roman"/>
                <w:kern w:val="0"/>
                <w:sz w:val="21"/>
                <w:szCs w:val="21"/>
                <w:lang w:val="zh-CN"/>
              </w:rPr>
            </w:pPr>
            <w:r>
              <w:rPr>
                <w:rFonts w:hint="eastAsia" w:ascii="宋体" w:hAnsi="宋体" w:eastAsia="宋体" w:cs="Times New Roman"/>
                <w:kern w:val="0"/>
                <w:sz w:val="21"/>
                <w:szCs w:val="21"/>
              </w:rPr>
              <w:t>2.</w:t>
            </w:r>
            <w:r>
              <w:rPr>
                <w:rFonts w:hint="eastAsia" w:ascii="宋体" w:hAnsi="宋体" w:eastAsia="宋体" w:cs="Times New Roman"/>
                <w:kern w:val="0"/>
                <w:sz w:val="21"/>
                <w:szCs w:val="21"/>
                <w:lang w:val="zh-CN"/>
              </w:rPr>
              <w:t xml:space="preserve"> 一般技术指标参数正偏离每条加</w:t>
            </w:r>
            <w:r>
              <w:rPr>
                <w:rFonts w:ascii="宋体" w:hAnsi="宋体" w:eastAsia="宋体" w:cs="Times New Roman"/>
                <w:kern w:val="0"/>
                <w:sz w:val="21"/>
                <w:szCs w:val="21"/>
                <w:lang w:val="zh-CN"/>
              </w:rPr>
              <w:t>0.5</w:t>
            </w:r>
            <w:r>
              <w:rPr>
                <w:rFonts w:hint="eastAsia" w:ascii="宋体" w:hAnsi="宋体" w:eastAsia="宋体" w:cs="Times New Roman"/>
                <w:kern w:val="0"/>
                <w:sz w:val="21"/>
                <w:szCs w:val="21"/>
                <w:lang w:val="zh-CN"/>
              </w:rPr>
              <w:t>分，最多加</w:t>
            </w:r>
            <w:r>
              <w:rPr>
                <w:rFonts w:ascii="宋体" w:hAnsi="宋体" w:eastAsia="宋体" w:cs="Times New Roman"/>
                <w:kern w:val="0"/>
                <w:sz w:val="21"/>
                <w:szCs w:val="21"/>
                <w:lang w:val="zh-CN"/>
              </w:rPr>
              <w:t>5</w:t>
            </w:r>
            <w:r>
              <w:rPr>
                <w:rFonts w:hint="eastAsia" w:ascii="宋体" w:hAnsi="宋体" w:eastAsia="宋体" w:cs="Times New Roman"/>
                <w:kern w:val="0"/>
                <w:sz w:val="21"/>
                <w:szCs w:val="21"/>
                <w:lang w:val="zh-CN"/>
              </w:rPr>
              <w:t>分；</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lang w:val="zh-CN"/>
              </w:rPr>
              <w:t>3.</w:t>
            </w:r>
            <w:r>
              <w:rPr>
                <w:rFonts w:hint="eastAsia" w:ascii="宋体" w:hAnsi="宋体" w:eastAsia="宋体" w:cs="Times New Roman"/>
                <w:kern w:val="0"/>
                <w:sz w:val="21"/>
                <w:szCs w:val="21"/>
              </w:rPr>
              <w:t xml:space="preserve"> 重要指标参数（▲）负偏离，每条扣</w:t>
            </w:r>
            <w:r>
              <w:rPr>
                <w:rFonts w:ascii="宋体" w:hAnsi="宋体" w:eastAsia="宋体" w:cs="Times New Roman"/>
                <w:kern w:val="0"/>
                <w:sz w:val="21"/>
                <w:szCs w:val="21"/>
              </w:rPr>
              <w:t>3</w:t>
            </w:r>
            <w:r>
              <w:rPr>
                <w:rFonts w:hint="eastAsia" w:ascii="宋体" w:hAnsi="宋体" w:eastAsia="宋体" w:cs="Times New Roman"/>
                <w:kern w:val="0"/>
                <w:sz w:val="21"/>
                <w:szCs w:val="21"/>
              </w:rPr>
              <w:t>分，扣完为止；</w:t>
            </w:r>
          </w:p>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4.</w:t>
            </w:r>
            <w:r>
              <w:rPr>
                <w:rFonts w:hint="eastAsia" w:ascii="宋体" w:hAnsi="宋体" w:eastAsia="宋体" w:cs="Times New Roman"/>
                <w:kern w:val="0"/>
                <w:sz w:val="21"/>
                <w:szCs w:val="21"/>
                <w:lang w:val="zh-CN"/>
              </w:rPr>
              <w:t xml:space="preserve"> 一般技术指标参数</w:t>
            </w:r>
            <w:r>
              <w:rPr>
                <w:rFonts w:hint="eastAsia" w:ascii="宋体" w:hAnsi="宋体" w:eastAsia="宋体" w:cs="Times New Roman"/>
                <w:kern w:val="0"/>
                <w:sz w:val="21"/>
                <w:szCs w:val="21"/>
              </w:rPr>
              <w:t>负偏离，每条扣</w:t>
            </w:r>
            <w:r>
              <w:rPr>
                <w:rFonts w:ascii="宋体" w:hAnsi="宋体" w:eastAsia="宋体" w:cs="Times New Roman"/>
                <w:kern w:val="0"/>
                <w:sz w:val="21"/>
                <w:szCs w:val="21"/>
              </w:rPr>
              <w:t>1</w:t>
            </w:r>
            <w:r>
              <w:rPr>
                <w:rFonts w:hint="eastAsia" w:ascii="宋体" w:hAnsi="宋体" w:eastAsia="宋体" w:cs="Times New Roman"/>
                <w:kern w:val="0"/>
                <w:sz w:val="21"/>
                <w:szCs w:val="21"/>
              </w:rPr>
              <w:t>分，扣完为止</w:t>
            </w:r>
          </w:p>
        </w:tc>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ascii="宋体" w:hAnsi="宋体" w:eastAsia="宋体" w:cs="Times New Roman"/>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tcBorders>
            <w:shd w:val="clear" w:color="auto" w:fill="auto"/>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产品配置不齐全或性能用途与招标要求不符，“产品技术性能指标参数满足偏离情况”总得分为0分。</w:t>
            </w:r>
          </w:p>
        </w:tc>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三</w:t>
            </w:r>
          </w:p>
        </w:tc>
        <w:tc>
          <w:tcPr>
            <w:tcW w:w="994" w:type="dxa"/>
            <w:gridSpan w:val="2"/>
            <w:vMerge w:val="restart"/>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售后</w:t>
            </w:r>
            <w:r>
              <w:rPr>
                <w:rFonts w:hint="eastAsia" w:ascii="宋体" w:hAnsi="宋体" w:eastAsia="宋体" w:cs="Times New Roman"/>
                <w:kern w:val="0"/>
                <w:sz w:val="21"/>
                <w:szCs w:val="21"/>
              </w:rPr>
              <w:br w:type="textWrapping"/>
            </w:r>
            <w:r>
              <w:rPr>
                <w:rFonts w:hint="eastAsia" w:ascii="宋体" w:hAnsi="宋体" w:eastAsia="宋体" w:cs="Times New Roman"/>
                <w:kern w:val="0"/>
                <w:sz w:val="21"/>
                <w:szCs w:val="21"/>
              </w:rPr>
              <w:t>服务</w:t>
            </w:r>
          </w:p>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（7分）</w:t>
            </w: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免费保修期：在满足招标文件要求的基础上，每增加1年得1分，最多得标准分值，不符合招标文件要求按无效投标处理。（未履行保修承诺的，相关企业将列入黑名单。）</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实施周期：是否提供开发整体系统明确、合理的项目实施周期和进度表。最优得标准分，其余依次递减0.5分，最低得0分。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人员组织保障：根据投标人项目组织实施保障方案评审，最优得标准分，其余依次递减0.5分。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vAlign w:val="center"/>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根据企业服务方式（是否</w:t>
            </w:r>
            <w:r>
              <w:rPr>
                <w:rFonts w:ascii="宋体" w:hAnsi="宋体" w:eastAsia="宋体" w:cs="Times New Roman"/>
                <w:kern w:val="0"/>
                <w:sz w:val="21"/>
                <w:szCs w:val="21"/>
              </w:rPr>
              <w:t>驻场</w:t>
            </w:r>
            <w:r>
              <w:rPr>
                <w:rFonts w:hint="eastAsia" w:ascii="宋体" w:hAnsi="宋体" w:eastAsia="宋体" w:cs="Times New Roman"/>
                <w:kern w:val="0"/>
                <w:sz w:val="21"/>
                <w:szCs w:val="21"/>
              </w:rPr>
              <w:t>）、现场支持、服务费用、服务等级等因素评分，最优得标准分，其余依次递减0.4分，最低得0分。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根据软件运营过程中安全服务和后期技术咨询承诺情况评分，最优得标准分，其余依次递减0.4分，最低得0分。</w:t>
            </w:r>
          </w:p>
        </w:tc>
        <w:tc>
          <w:tcPr>
            <w:tcW w:w="708" w:type="dxa"/>
            <w:tcBorders>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708" w:type="dxa"/>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994" w:type="dxa"/>
            <w:gridSpan w:val="2"/>
            <w:vMerge w:val="continue"/>
            <w:vAlign w:val="center"/>
          </w:tcPr>
          <w:p>
            <w:pPr>
              <w:adjustRightInd w:val="0"/>
              <w:snapToGrid w:val="0"/>
              <w:spacing w:line="300" w:lineRule="auto"/>
              <w:jc w:val="center"/>
              <w:rPr>
                <w:rFonts w:ascii="宋体" w:hAnsi="宋体" w:eastAsia="宋体" w:cs="Times New Roman"/>
                <w:kern w:val="0"/>
                <w:sz w:val="21"/>
                <w:szCs w:val="21"/>
              </w:rPr>
            </w:pPr>
          </w:p>
        </w:tc>
        <w:tc>
          <w:tcPr>
            <w:tcW w:w="6946" w:type="dxa"/>
            <w:tcBorders>
              <w:top w:val="single" w:color="auto" w:sz="4" w:space="0"/>
              <w:bottom w:val="single" w:color="auto" w:sz="4" w:space="0"/>
            </w:tcBorders>
          </w:tcPr>
          <w:p>
            <w:pPr>
              <w:adjustRightInd w:val="0"/>
              <w:snapToGrid w:val="0"/>
              <w:spacing w:line="300" w:lineRule="auto"/>
              <w:rPr>
                <w:rFonts w:ascii="宋体" w:hAnsi="宋体" w:eastAsia="宋体" w:cs="Times New Roman"/>
                <w:kern w:val="0"/>
                <w:sz w:val="21"/>
                <w:szCs w:val="21"/>
              </w:rPr>
            </w:pPr>
            <w:r>
              <w:rPr>
                <w:rFonts w:hint="eastAsia" w:ascii="宋体" w:hAnsi="宋体" w:eastAsia="宋体" w:cs="Times New Roman"/>
                <w:kern w:val="0"/>
                <w:sz w:val="21"/>
                <w:szCs w:val="21"/>
              </w:rPr>
              <w:t>1.近三年企业售后服务未满足用户要求、未按承诺履行义务、被投诉的，每次得-1分。</w:t>
            </w:r>
          </w:p>
        </w:tc>
        <w:tc>
          <w:tcPr>
            <w:tcW w:w="708" w:type="dxa"/>
            <w:tcBorders>
              <w:top w:val="single" w:color="auto" w:sz="4" w:space="0"/>
              <w:bottom w:val="single" w:color="auto" w:sz="4" w:space="0"/>
            </w:tcBorders>
            <w:vAlign w:val="center"/>
          </w:tcPr>
          <w:p>
            <w:pPr>
              <w:adjustRightInd w:val="0"/>
              <w:snapToGrid w:val="0"/>
              <w:spacing w:line="300" w:lineRule="auto"/>
              <w:jc w:val="center"/>
              <w:rPr>
                <w:rFonts w:ascii="宋体" w:hAnsi="宋体" w:eastAsia="宋体" w:cs="Times New Roman"/>
                <w:kern w:val="0"/>
                <w:sz w:val="21"/>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023-6876615</w:t>
      </w:r>
      <w:r>
        <w:rPr>
          <w:rFonts w:hint="eastAsia" w:cs="Times New Roman" w:asciiTheme="minorEastAsia" w:hAnsiTheme="minorEastAsia"/>
          <w:kern w:val="0"/>
          <w:sz w:val="24"/>
          <w:szCs w:val="24"/>
          <w:u w:val="single"/>
          <w:lang w:val="en-US" w:eastAsia="zh-CN"/>
        </w:rPr>
        <w:t>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且通过医院价格审核，确定该项目排名第一的报价方为该项目成交人。</w:t>
      </w:r>
      <w:r>
        <w:rPr>
          <w:rFonts w:hint="eastAsia" w:ascii="宋体" w:hAnsi="宋体" w:eastAsia="宋体" w:cs="宋体"/>
          <w:snapToGrid w:val="0"/>
          <w:kern w:val="0"/>
          <w:sz w:val="24"/>
          <w:szCs w:val="24"/>
        </w:rPr>
        <w:t>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43485654"/>
      <w:bookmarkStart w:id="16" w:name="_Toc37172690"/>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spacing w:line="360" w:lineRule="auto"/>
        <w:ind w:right="1212"/>
        <w:jc w:val="center"/>
        <w:rPr>
          <w:rFonts w:ascii="宋体" w:hAnsi="宋体"/>
          <w:b/>
          <w:bCs/>
          <w:szCs w:val="21"/>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hint="eastAsia" w:ascii="宋体" w:hAnsi="宋体"/>
          <w:b/>
          <w:bCs/>
          <w:szCs w:val="21"/>
        </w:rPr>
        <w:t xml:space="preserve">                   </w:t>
      </w:r>
      <w:r>
        <w:rPr>
          <w:rFonts w:hint="eastAsia" w:ascii="宋体" w:hAnsi="宋体"/>
          <w:sz w:val="18"/>
          <w:szCs w:val="18"/>
        </w:rPr>
        <w:t>合同编号：</w:t>
      </w:r>
      <w:r>
        <w:rPr>
          <w:rFonts w:hint="eastAsia" w:ascii="宋体" w:hAnsi="宋体"/>
          <w:sz w:val="18"/>
          <w:szCs w:val="18"/>
          <w:u w:val="single"/>
        </w:rPr>
        <w:t xml:space="preserve">                  </w:t>
      </w:r>
    </w:p>
    <w:p>
      <w:pPr>
        <w:spacing w:line="360" w:lineRule="auto"/>
        <w:jc w:val="center"/>
        <w:rPr>
          <w:rFonts w:ascii="宋体" w:hAnsi="宋体"/>
          <w:b/>
          <w:bCs/>
          <w:sz w:val="72"/>
          <w:szCs w:val="72"/>
        </w:rPr>
      </w:pPr>
    </w:p>
    <w:p>
      <w:pPr>
        <w:spacing w:line="360" w:lineRule="auto"/>
        <w:jc w:val="center"/>
        <w:rPr>
          <w:rFonts w:ascii="宋体" w:hAnsi="宋体"/>
          <w:b/>
          <w:bCs/>
          <w:sz w:val="72"/>
          <w:szCs w:val="72"/>
        </w:rPr>
      </w:pPr>
      <w:r>
        <w:rPr>
          <w:rFonts w:hint="eastAsia" w:ascii="宋体" w:hAnsi="宋体"/>
          <w:b/>
          <w:bCs/>
          <w:sz w:val="72"/>
          <w:szCs w:val="72"/>
        </w:rPr>
        <w:t>信息类项目合同书</w:t>
      </w:r>
    </w:p>
    <w:p>
      <w:pPr>
        <w:spacing w:line="360" w:lineRule="auto"/>
        <w:ind w:left="700" w:hanging="698" w:hangingChars="99"/>
        <w:jc w:val="center"/>
        <w:rPr>
          <w:rFonts w:ascii="宋体" w:hAnsi="宋体"/>
          <w:b/>
          <w:bCs/>
          <w:sz w:val="72"/>
          <w:szCs w:val="72"/>
        </w:rPr>
      </w:pPr>
    </w:p>
    <w:p>
      <w:pPr>
        <w:spacing w:line="360" w:lineRule="auto"/>
        <w:rPr>
          <w:rFonts w:ascii="宋体" w:hAnsi="宋体"/>
          <w:b/>
          <w:bCs/>
          <w:sz w:val="32"/>
          <w:szCs w:val="32"/>
        </w:rPr>
      </w:pPr>
    </w:p>
    <w:p>
      <w:pPr>
        <w:spacing w:line="360" w:lineRule="auto"/>
        <w:ind w:firstLine="854" w:firstLineChars="280"/>
        <w:rPr>
          <w:rFonts w:ascii="宋体" w:hAnsi="宋体"/>
          <w:b/>
          <w:bCs/>
          <w:sz w:val="32"/>
          <w:szCs w:val="32"/>
        </w:rPr>
      </w:pPr>
      <w:r>
        <w:rPr>
          <w:rFonts w:hint="eastAsia" w:ascii="宋体" w:hAnsi="宋体"/>
          <w:b/>
          <w:bCs/>
          <w:sz w:val="32"/>
          <w:szCs w:val="32"/>
        </w:rPr>
        <w:t xml:space="preserve">项目名称: </w:t>
      </w:r>
    </w:p>
    <w:p>
      <w:pPr>
        <w:spacing w:line="360" w:lineRule="auto"/>
        <w:ind w:firstLine="854" w:firstLineChars="280"/>
        <w:rPr>
          <w:rFonts w:ascii="宋体" w:hAnsi="宋体"/>
          <w:b/>
          <w:bCs/>
          <w:sz w:val="32"/>
          <w:szCs w:val="32"/>
        </w:rPr>
      </w:pPr>
      <w:r>
        <w:rPr>
          <w:rFonts w:hint="eastAsia" w:ascii="宋体" w:hAnsi="宋体"/>
          <w:b/>
          <w:bCs/>
          <w:sz w:val="32"/>
          <w:szCs w:val="32"/>
        </w:rPr>
        <w:t>项目编号:</w:t>
      </w:r>
    </w:p>
    <w:p>
      <w:pPr>
        <w:spacing w:line="360" w:lineRule="auto"/>
        <w:ind w:firstLine="854" w:firstLineChars="280"/>
        <w:rPr>
          <w:rFonts w:ascii="宋体" w:hAnsi="宋体"/>
          <w:b/>
          <w:bCs/>
          <w:sz w:val="32"/>
          <w:szCs w:val="32"/>
          <w:u w:val="single"/>
        </w:rPr>
      </w:pPr>
      <w:r>
        <w:rPr>
          <w:rFonts w:hint="eastAsia" w:ascii="宋体" w:hAnsi="宋体"/>
          <w:b/>
          <w:bCs/>
          <w:sz w:val="32"/>
          <w:szCs w:val="32"/>
        </w:rPr>
        <w:t>甲    方:</w:t>
      </w:r>
    </w:p>
    <w:p>
      <w:pPr>
        <w:spacing w:line="360" w:lineRule="auto"/>
        <w:ind w:firstLine="854" w:firstLineChars="280"/>
        <w:rPr>
          <w:rFonts w:ascii="宋体" w:hAnsi="宋体"/>
          <w:b/>
          <w:bCs/>
          <w:sz w:val="32"/>
          <w:szCs w:val="32"/>
          <w:u w:val="single"/>
        </w:rPr>
      </w:pPr>
      <w:r>
        <w:rPr>
          <w:rFonts w:hint="eastAsia" w:ascii="宋体" w:hAnsi="宋体"/>
          <w:b/>
          <w:bCs/>
          <w:sz w:val="32"/>
          <w:szCs w:val="32"/>
        </w:rPr>
        <w:t>乙    方:</w:t>
      </w:r>
    </w:p>
    <w:p>
      <w:pPr>
        <w:spacing w:line="360" w:lineRule="auto"/>
        <w:rPr>
          <w:rFonts w:ascii="宋体" w:hAnsi="宋体"/>
          <w:b/>
          <w:bCs/>
          <w:sz w:val="32"/>
          <w:szCs w:val="32"/>
        </w:rPr>
      </w:pPr>
    </w:p>
    <w:p>
      <w:pPr>
        <w:spacing w:line="360" w:lineRule="auto"/>
        <w:ind w:firstLine="2989" w:firstLineChars="980"/>
        <w:rPr>
          <w:rFonts w:ascii="宋体" w:hAnsi="宋体"/>
          <w:b/>
          <w:bCs/>
          <w:sz w:val="32"/>
          <w:szCs w:val="32"/>
        </w:rPr>
      </w:pPr>
    </w:p>
    <w:p>
      <w:pPr>
        <w:spacing w:line="360" w:lineRule="auto"/>
        <w:ind w:firstLine="2496" w:firstLineChars="1280"/>
        <w:rPr>
          <w:rFonts w:ascii="宋体" w:hAnsi="宋体"/>
          <w:bCs/>
        </w:rPr>
      </w:pPr>
      <w:r>
        <w:rPr>
          <w:rFonts w:hint="eastAsia" w:ascii="宋体" w:hAnsi="宋体"/>
          <w:bCs/>
        </w:rPr>
        <w:t>签署日期：   年   月   日</w:t>
      </w: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spacing w:line="360" w:lineRule="auto"/>
        <w:ind w:firstLine="2496" w:firstLineChars="1280"/>
        <w:rPr>
          <w:rFonts w:ascii="宋体" w:hAnsi="宋体"/>
          <w:bCs/>
        </w:rPr>
      </w:pPr>
    </w:p>
    <w:p>
      <w:pPr>
        <w:adjustRightInd w:val="0"/>
        <w:snapToGrid w:val="0"/>
        <w:spacing w:line="360" w:lineRule="auto"/>
        <w:jc w:val="left"/>
        <w:rPr>
          <w:sz w:val="24"/>
        </w:rPr>
      </w:pPr>
      <w:r>
        <w:rPr>
          <w:rFonts w:hint="eastAsia"/>
          <w:sz w:val="24"/>
        </w:rPr>
        <w:t>根据《中华人民共和国合同法》的有关规定，就甲方向乙方订购“</w:t>
      </w:r>
      <w:r>
        <w:rPr>
          <w:rFonts w:hint="eastAsia"/>
          <w:sz w:val="24"/>
          <w:u w:val="single"/>
        </w:rPr>
        <w:t xml:space="preserve">             </w:t>
      </w:r>
      <w:r>
        <w:rPr>
          <w:rFonts w:hint="eastAsia"/>
          <w:sz w:val="24"/>
        </w:rPr>
        <w:t>”，甲、乙双方在平等、自愿的基础上，经过充分协商一致，达成如下合同，以便共同遵守：</w:t>
      </w:r>
    </w:p>
    <w:p>
      <w:pPr>
        <w:spacing w:before="206" w:beforeLines="50" w:line="440" w:lineRule="exact"/>
        <w:rPr>
          <w:b/>
          <w:sz w:val="24"/>
        </w:rPr>
      </w:pPr>
      <w:r>
        <w:rPr>
          <w:rFonts w:hint="eastAsia"/>
          <w:b/>
          <w:sz w:val="24"/>
        </w:rPr>
        <w:t>一、产品</w:t>
      </w:r>
      <w:r>
        <w:rPr>
          <w:rFonts w:hint="eastAsia" w:ascii="宋体" w:hAnsi="宋体"/>
          <w:b/>
          <w:color w:val="000000"/>
          <w:sz w:val="24"/>
        </w:rPr>
        <w:t>清单列表</w:t>
      </w:r>
    </w:p>
    <w:tbl>
      <w:tblPr>
        <w:tblStyle w:val="18"/>
        <w:tblW w:w="9574"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984"/>
        <w:gridCol w:w="709"/>
        <w:gridCol w:w="1559"/>
        <w:gridCol w:w="1134"/>
        <w:gridCol w:w="127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614" w:type="dxa"/>
            <w:vAlign w:val="center"/>
          </w:tcPr>
          <w:p>
            <w:pPr>
              <w:spacing w:line="360" w:lineRule="auto"/>
              <w:jc w:val="center"/>
              <w:rPr>
                <w:rFonts w:ascii="宋体" w:hAnsi="宋体"/>
                <w:sz w:val="24"/>
              </w:rPr>
            </w:pPr>
            <w:r>
              <w:rPr>
                <w:rFonts w:hint="eastAsia" w:ascii="宋体" w:hAnsi="宋体"/>
                <w:sz w:val="24"/>
              </w:rPr>
              <w:t>产品</w:t>
            </w:r>
            <w:r>
              <w:rPr>
                <w:rFonts w:ascii="宋体" w:hAnsi="宋体"/>
                <w:sz w:val="24"/>
              </w:rPr>
              <w:t>名称</w:t>
            </w:r>
          </w:p>
        </w:tc>
        <w:tc>
          <w:tcPr>
            <w:tcW w:w="1984" w:type="dxa"/>
            <w:vAlign w:val="center"/>
          </w:tcPr>
          <w:p>
            <w:pPr>
              <w:spacing w:line="360" w:lineRule="auto"/>
              <w:jc w:val="center"/>
              <w:rPr>
                <w:rFonts w:ascii="宋体" w:hAnsi="宋体"/>
                <w:sz w:val="24"/>
              </w:rPr>
            </w:pPr>
            <w:r>
              <w:rPr>
                <w:rFonts w:ascii="宋体" w:hAnsi="宋体"/>
                <w:sz w:val="24"/>
              </w:rPr>
              <w:t>规格型号</w:t>
            </w:r>
          </w:p>
        </w:tc>
        <w:tc>
          <w:tcPr>
            <w:tcW w:w="709" w:type="dxa"/>
            <w:vAlign w:val="center"/>
          </w:tcPr>
          <w:p>
            <w:pPr>
              <w:spacing w:line="360" w:lineRule="auto"/>
              <w:jc w:val="center"/>
              <w:rPr>
                <w:rFonts w:ascii="宋体" w:hAnsi="宋体"/>
                <w:sz w:val="24"/>
              </w:rPr>
            </w:pPr>
            <w:r>
              <w:rPr>
                <w:rFonts w:ascii="宋体" w:hAnsi="宋体"/>
                <w:sz w:val="24"/>
              </w:rPr>
              <w:t>数量</w:t>
            </w:r>
          </w:p>
        </w:tc>
        <w:tc>
          <w:tcPr>
            <w:tcW w:w="1559" w:type="dxa"/>
            <w:vAlign w:val="center"/>
          </w:tcPr>
          <w:p>
            <w:pPr>
              <w:spacing w:line="360" w:lineRule="auto"/>
              <w:jc w:val="center"/>
              <w:rPr>
                <w:rFonts w:ascii="宋体" w:hAnsi="宋体"/>
                <w:sz w:val="24"/>
              </w:rPr>
            </w:pPr>
            <w:r>
              <w:rPr>
                <w:rFonts w:ascii="宋体" w:hAnsi="宋体"/>
                <w:sz w:val="24"/>
              </w:rPr>
              <w:t>单价</w:t>
            </w:r>
          </w:p>
        </w:tc>
        <w:tc>
          <w:tcPr>
            <w:tcW w:w="1134" w:type="dxa"/>
            <w:vAlign w:val="center"/>
          </w:tcPr>
          <w:p>
            <w:pPr>
              <w:spacing w:line="360" w:lineRule="auto"/>
              <w:jc w:val="center"/>
              <w:rPr>
                <w:rFonts w:ascii="宋体" w:hAnsi="宋体"/>
                <w:sz w:val="24"/>
              </w:rPr>
            </w:pPr>
            <w:r>
              <w:rPr>
                <w:rFonts w:ascii="宋体" w:hAnsi="宋体"/>
                <w:sz w:val="24"/>
              </w:rPr>
              <w:t>总价</w:t>
            </w:r>
          </w:p>
        </w:tc>
        <w:tc>
          <w:tcPr>
            <w:tcW w:w="1276" w:type="dxa"/>
            <w:vAlign w:val="center"/>
          </w:tcPr>
          <w:p>
            <w:pPr>
              <w:spacing w:line="360" w:lineRule="auto"/>
              <w:jc w:val="center"/>
              <w:rPr>
                <w:rFonts w:ascii="宋体" w:hAnsi="宋体"/>
                <w:sz w:val="24"/>
              </w:rPr>
            </w:pPr>
            <w:r>
              <w:rPr>
                <w:rFonts w:ascii="宋体" w:hAnsi="宋体"/>
                <w:sz w:val="24"/>
              </w:rPr>
              <w:t>交货时间</w:t>
            </w:r>
          </w:p>
        </w:tc>
        <w:tc>
          <w:tcPr>
            <w:tcW w:w="1298" w:type="dxa"/>
            <w:vAlign w:val="center"/>
          </w:tcPr>
          <w:p>
            <w:pPr>
              <w:spacing w:line="360" w:lineRule="auto"/>
              <w:jc w:val="center"/>
              <w:rPr>
                <w:rFonts w:ascii="宋体" w:hAnsi="宋体"/>
                <w:sz w:val="24"/>
              </w:rPr>
            </w:pPr>
            <w:r>
              <w:rPr>
                <w:rFonts w:ascii="宋体" w:hAnsi="宋体"/>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spacing w:line="360" w:lineRule="auto"/>
              <w:rPr>
                <w:rFonts w:ascii="宋体" w:hAnsi="宋体"/>
                <w:sz w:val="24"/>
              </w:rPr>
            </w:pPr>
          </w:p>
        </w:tc>
        <w:tc>
          <w:tcPr>
            <w:tcW w:w="1984" w:type="dxa"/>
            <w:vAlign w:val="center"/>
          </w:tcPr>
          <w:p>
            <w:pPr>
              <w:spacing w:line="360" w:lineRule="auto"/>
              <w:jc w:val="left"/>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restart"/>
            <w:vAlign w:val="center"/>
          </w:tcPr>
          <w:p>
            <w:pPr>
              <w:spacing w:line="360" w:lineRule="auto"/>
              <w:rPr>
                <w:rFonts w:ascii="宋体" w:hAnsi="宋体"/>
                <w:sz w:val="24"/>
              </w:rPr>
            </w:pPr>
          </w:p>
        </w:tc>
        <w:tc>
          <w:tcPr>
            <w:tcW w:w="1298" w:type="dxa"/>
            <w:vMerge w:val="restart"/>
            <w:vAlign w:val="center"/>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14" w:type="dxa"/>
            <w:vAlign w:val="center"/>
          </w:tcPr>
          <w:p>
            <w:pPr>
              <w:spacing w:line="360" w:lineRule="auto"/>
              <w:rPr>
                <w:rFonts w:ascii="宋体" w:hAnsi="宋体"/>
                <w:sz w:val="24"/>
              </w:rPr>
            </w:pPr>
          </w:p>
        </w:tc>
        <w:tc>
          <w:tcPr>
            <w:tcW w:w="1984" w:type="dxa"/>
            <w:vAlign w:val="center"/>
          </w:tcPr>
          <w:p>
            <w:pPr>
              <w:spacing w:line="360" w:lineRule="auto"/>
              <w:rPr>
                <w:rFonts w:ascii="宋体" w:hAnsi="宋体"/>
                <w:sz w:val="24"/>
              </w:rPr>
            </w:pPr>
          </w:p>
        </w:tc>
        <w:tc>
          <w:tcPr>
            <w:tcW w:w="709" w:type="dxa"/>
            <w:vAlign w:val="center"/>
          </w:tcPr>
          <w:p>
            <w:pPr>
              <w:spacing w:line="360" w:lineRule="auto"/>
              <w:rPr>
                <w:rFonts w:ascii="宋体" w:hAnsi="宋体"/>
                <w:sz w:val="24"/>
              </w:rPr>
            </w:pPr>
          </w:p>
        </w:tc>
        <w:tc>
          <w:tcPr>
            <w:tcW w:w="1559" w:type="dxa"/>
            <w:vAlign w:val="center"/>
          </w:tcPr>
          <w:p>
            <w:pPr>
              <w:spacing w:line="360" w:lineRule="auto"/>
              <w:rPr>
                <w:rFonts w:ascii="宋体" w:hAnsi="宋体"/>
                <w:sz w:val="24"/>
              </w:rPr>
            </w:pPr>
          </w:p>
        </w:tc>
        <w:tc>
          <w:tcPr>
            <w:tcW w:w="1134" w:type="dxa"/>
            <w:vAlign w:val="center"/>
          </w:tcPr>
          <w:p>
            <w:pPr>
              <w:spacing w:line="360" w:lineRule="auto"/>
              <w:rPr>
                <w:rFonts w:ascii="宋体" w:hAnsi="宋体"/>
                <w:sz w:val="24"/>
              </w:rPr>
            </w:pPr>
          </w:p>
        </w:tc>
        <w:tc>
          <w:tcPr>
            <w:tcW w:w="1276" w:type="dxa"/>
            <w:vMerge w:val="continue"/>
            <w:vAlign w:val="center"/>
          </w:tcPr>
          <w:p>
            <w:pPr>
              <w:spacing w:line="360" w:lineRule="auto"/>
              <w:rPr>
                <w:rFonts w:ascii="宋体" w:hAnsi="宋体"/>
                <w:sz w:val="24"/>
              </w:rPr>
            </w:pPr>
          </w:p>
        </w:tc>
        <w:tc>
          <w:tcPr>
            <w:tcW w:w="1298"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574" w:type="dxa"/>
            <w:gridSpan w:val="7"/>
            <w:vAlign w:val="center"/>
          </w:tcPr>
          <w:p>
            <w:pPr>
              <w:spacing w:line="360" w:lineRule="auto"/>
              <w:rPr>
                <w:rFonts w:ascii="宋体" w:hAnsi="宋体"/>
                <w:sz w:val="24"/>
              </w:rPr>
            </w:pPr>
            <w:r>
              <w:rPr>
                <w:rFonts w:ascii="宋体" w:hAnsi="宋体"/>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74" w:type="dxa"/>
            <w:gridSpan w:val="7"/>
            <w:vAlign w:val="center"/>
          </w:tcPr>
          <w:p>
            <w:pPr>
              <w:spacing w:line="360" w:lineRule="auto"/>
              <w:rPr>
                <w:rFonts w:ascii="宋体" w:hAnsi="宋体"/>
                <w:sz w:val="24"/>
              </w:rPr>
            </w:pPr>
            <w:r>
              <w:rPr>
                <w:rFonts w:ascii="宋体" w:hAnsi="宋体"/>
                <w:sz w:val="24"/>
              </w:rPr>
              <w:t xml:space="preserve">合计人民币（大写）：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74" w:type="dxa"/>
            <w:gridSpan w:val="7"/>
            <w:vAlign w:val="center"/>
          </w:tcPr>
          <w:p>
            <w:pPr>
              <w:spacing w:line="360" w:lineRule="auto"/>
              <w:rPr>
                <w:rFonts w:ascii="宋体" w:hAnsi="宋体"/>
                <w:sz w:val="24"/>
              </w:rPr>
            </w:pPr>
            <w:r>
              <w:rPr>
                <w:rFonts w:hint="eastAsia" w:ascii="宋体" w:hAnsi="宋体"/>
                <w:sz w:val="24"/>
              </w:rPr>
              <w:t>备注：具体配置请详见附件</w:t>
            </w:r>
          </w:p>
        </w:tc>
      </w:tr>
    </w:tbl>
    <w:p>
      <w:pPr>
        <w:spacing w:line="440" w:lineRule="exact"/>
        <w:rPr>
          <w:rFonts w:ascii="宋体" w:hAnsi="宋体"/>
          <w:sz w:val="24"/>
        </w:rPr>
      </w:pPr>
    </w:p>
    <w:p>
      <w:pPr>
        <w:spacing w:line="440" w:lineRule="exact"/>
        <w:rPr>
          <w:b/>
          <w:sz w:val="24"/>
        </w:rPr>
      </w:pPr>
      <w:bookmarkStart w:id="19" w:name="_Toc86481558"/>
      <w:r>
        <w:rPr>
          <w:rFonts w:hint="eastAsia"/>
          <w:b/>
          <w:sz w:val="24"/>
        </w:rPr>
        <w:t>二、</w:t>
      </w:r>
      <w:bookmarkEnd w:id="19"/>
      <w:r>
        <w:rPr>
          <w:rFonts w:hint="eastAsia"/>
          <w:b/>
          <w:sz w:val="24"/>
        </w:rPr>
        <w:t>交货期</w:t>
      </w:r>
    </w:p>
    <w:p>
      <w:pPr>
        <w:adjustRightInd w:val="0"/>
        <w:snapToGrid w:val="0"/>
        <w:spacing w:line="360" w:lineRule="auto"/>
        <w:ind w:firstLine="540"/>
        <w:rPr>
          <w:rFonts w:ascii="宋体" w:hAnsi="宋体"/>
          <w:sz w:val="24"/>
        </w:rPr>
      </w:pPr>
      <w:r>
        <w:rPr>
          <w:rFonts w:hint="eastAsia" w:ascii="宋体" w:hAnsi="宋体"/>
          <w:sz w:val="24"/>
        </w:rPr>
        <w:t>合同签订后</w:t>
      </w:r>
      <w:r>
        <w:rPr>
          <w:rFonts w:hint="eastAsia" w:ascii="宋体" w:hAnsi="宋体"/>
          <w:sz w:val="24"/>
          <w:u w:val="single"/>
        </w:rPr>
        <w:t xml:space="preserve">          </w:t>
      </w:r>
      <w:r>
        <w:rPr>
          <w:rFonts w:hint="eastAsia" w:ascii="宋体" w:hAnsi="宋体"/>
          <w:sz w:val="24"/>
        </w:rPr>
        <w:t>天内完成</w:t>
      </w:r>
      <w:r>
        <w:rPr>
          <w:rFonts w:ascii="宋体" w:hAnsi="宋体"/>
          <w:sz w:val="24"/>
        </w:rPr>
        <w:t>交货并完成安装调试</w:t>
      </w:r>
      <w:r>
        <w:rPr>
          <w:rFonts w:hint="eastAsia" w:ascii="宋体" w:hAnsi="宋体"/>
          <w:sz w:val="24"/>
        </w:rPr>
        <w:t>。</w:t>
      </w:r>
    </w:p>
    <w:p>
      <w:pPr>
        <w:adjustRightInd w:val="0"/>
        <w:snapToGrid w:val="0"/>
        <w:spacing w:line="360" w:lineRule="auto"/>
        <w:ind w:firstLine="540"/>
        <w:rPr>
          <w:rFonts w:ascii="宋体" w:hAnsi="宋体"/>
          <w:sz w:val="24"/>
        </w:rPr>
      </w:pPr>
    </w:p>
    <w:p>
      <w:pPr>
        <w:spacing w:line="440" w:lineRule="exact"/>
        <w:rPr>
          <w:b/>
          <w:sz w:val="24"/>
        </w:rPr>
      </w:pPr>
      <w:bookmarkStart w:id="20" w:name="_Toc86481561"/>
      <w:r>
        <w:rPr>
          <w:rFonts w:hint="eastAsia"/>
          <w:b/>
          <w:sz w:val="24"/>
        </w:rPr>
        <w:t>三、</w:t>
      </w:r>
      <w:bookmarkEnd w:id="20"/>
      <w:r>
        <w:rPr>
          <w:rFonts w:hint="eastAsia"/>
          <w:b/>
          <w:sz w:val="24"/>
        </w:rPr>
        <w:t>原厂质保期</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r>
        <w:rPr>
          <w:rFonts w:hint="eastAsia" w:ascii="宋体" w:hAnsi="宋体" w:eastAsia="宋体"/>
          <w:kern w:val="2"/>
          <w:sz w:val="24"/>
          <w:szCs w:val="24"/>
        </w:rPr>
        <w:t>质保期：</w:t>
      </w:r>
      <w:r>
        <w:rPr>
          <w:rFonts w:hint="eastAsia" w:ascii="宋体" w:hAnsi="宋体" w:eastAsia="宋体"/>
          <w:kern w:val="2"/>
          <w:sz w:val="24"/>
          <w:szCs w:val="24"/>
          <w:u w:val="single"/>
        </w:rPr>
        <w:t xml:space="preserve">             </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u w:val="single"/>
        </w:rPr>
      </w:pPr>
    </w:p>
    <w:p>
      <w:pPr>
        <w:spacing w:line="440" w:lineRule="exact"/>
        <w:rPr>
          <w:b/>
          <w:sz w:val="24"/>
        </w:rPr>
      </w:pPr>
      <w:bookmarkStart w:id="21" w:name="_Toc86481563"/>
      <w:r>
        <w:rPr>
          <w:rFonts w:hint="eastAsia"/>
          <w:b/>
          <w:sz w:val="24"/>
        </w:rPr>
        <w:t>四、</w:t>
      </w:r>
      <w:bookmarkEnd w:id="21"/>
      <w:r>
        <w:rPr>
          <w:rFonts w:hint="eastAsia"/>
          <w:b/>
          <w:sz w:val="24"/>
        </w:rPr>
        <w:t>验收</w:t>
      </w:r>
    </w:p>
    <w:p>
      <w:pPr>
        <w:pStyle w:val="16"/>
        <w:tabs>
          <w:tab w:val="left" w:pos="645"/>
          <w:tab w:val="clear" w:pos="916"/>
        </w:tabs>
        <w:adjustRightInd w:val="0"/>
        <w:snapToGrid w:val="0"/>
        <w:spacing w:line="360" w:lineRule="auto"/>
        <w:ind w:firstLine="450" w:firstLineChars="200"/>
        <w:rPr>
          <w:rFonts w:ascii="宋体" w:hAnsi="宋体" w:eastAsia="宋体"/>
          <w:kern w:val="2"/>
          <w:sz w:val="24"/>
          <w:szCs w:val="24"/>
        </w:rPr>
      </w:pPr>
      <w:r>
        <w:rPr>
          <w:rFonts w:hint="eastAsia" w:ascii="宋体" w:hAnsi="宋体" w:eastAsia="宋体"/>
          <w:kern w:val="2"/>
          <w:sz w:val="24"/>
          <w:szCs w:val="24"/>
        </w:rPr>
        <w:t>安装调试完成</w:t>
      </w:r>
      <w:r>
        <w:rPr>
          <w:rFonts w:hint="eastAsia" w:ascii="宋体" w:hAnsi="宋体" w:eastAsia="宋体"/>
          <w:kern w:val="2"/>
          <w:sz w:val="24"/>
          <w:szCs w:val="24"/>
          <w:u w:val="single"/>
        </w:rPr>
        <w:t>10</w:t>
      </w:r>
      <w:r>
        <w:rPr>
          <w:rFonts w:hint="eastAsia" w:ascii="宋体" w:hAnsi="宋体" w:eastAsia="宋体"/>
          <w:kern w:val="2"/>
          <w:sz w:val="24"/>
          <w:szCs w:val="24"/>
        </w:rPr>
        <w:t>日后甲方组织相关人员进行验收，验收报告由甲方签字，乙方需出具相关硬件技术资料、文档给甲方。</w:t>
      </w:r>
    </w:p>
    <w:p>
      <w:pPr>
        <w:spacing w:line="440" w:lineRule="exact"/>
        <w:rPr>
          <w:b/>
          <w:sz w:val="24"/>
        </w:rPr>
      </w:pPr>
      <w:bookmarkStart w:id="22" w:name="_Toc39653413"/>
      <w:bookmarkStart w:id="23" w:name="_Toc39653189"/>
      <w:r>
        <w:rPr>
          <w:rFonts w:hint="eastAsia"/>
          <w:b/>
          <w:sz w:val="24"/>
        </w:rPr>
        <w:t>五、付款方式</w:t>
      </w:r>
      <w:bookmarkEnd w:id="22"/>
      <w:bookmarkEnd w:id="23"/>
    </w:p>
    <w:p>
      <w:pPr>
        <w:adjustRightInd w:val="0"/>
        <w:snapToGrid w:val="0"/>
        <w:spacing w:line="360" w:lineRule="auto"/>
        <w:ind w:firstLine="450" w:firstLineChars="200"/>
        <w:rPr>
          <w:rFonts w:ascii="宋体" w:hAnsi="宋体"/>
          <w:sz w:val="24"/>
        </w:rPr>
      </w:pPr>
      <w:r>
        <w:rPr>
          <w:rFonts w:hint="eastAsia" w:ascii="宋体" w:hAnsi="宋体"/>
          <w:sz w:val="24"/>
        </w:rPr>
        <w:t>甲方验收合格后，依据验收表和发票，甲方在两个月内向乙方支付合同总额的95%，即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，余5%即</w:t>
      </w:r>
      <w:r>
        <w:rPr>
          <w:rFonts w:hint="eastAsia" w:ascii="宋体" w:hAnsi="宋体"/>
          <w:sz w:val="24"/>
          <w:u w:val="single"/>
        </w:rPr>
        <w:t xml:space="preserve">           万元</w:t>
      </w:r>
      <w:r>
        <w:rPr>
          <w:rFonts w:hint="eastAsia" w:ascii="宋体" w:hAnsi="宋体"/>
          <w:sz w:val="24"/>
        </w:rPr>
        <w:t>，大写</w:t>
      </w:r>
      <w:r>
        <w:rPr>
          <w:rFonts w:hint="eastAsia" w:ascii="宋体" w:hAnsi="宋体"/>
          <w:sz w:val="24"/>
          <w:u w:val="single"/>
        </w:rPr>
        <w:t>人民币               元整</w:t>
      </w:r>
      <w:r>
        <w:rPr>
          <w:rFonts w:hint="eastAsia" w:ascii="宋体" w:hAnsi="宋体"/>
          <w:sz w:val="24"/>
        </w:rPr>
        <w:t>，作为质保金质保期满后支付。</w:t>
      </w:r>
    </w:p>
    <w:p>
      <w:pPr>
        <w:adjustRightInd w:val="0"/>
        <w:snapToGrid w:val="0"/>
        <w:spacing w:line="360" w:lineRule="auto"/>
        <w:rPr>
          <w:rFonts w:ascii="宋体" w:hAnsi="宋体"/>
          <w:sz w:val="24"/>
        </w:rPr>
      </w:pPr>
    </w:p>
    <w:p>
      <w:pPr>
        <w:spacing w:line="440" w:lineRule="exact"/>
        <w:rPr>
          <w:b/>
          <w:sz w:val="24"/>
        </w:rPr>
      </w:pPr>
      <w:bookmarkStart w:id="24" w:name="_Toc39653190"/>
      <w:bookmarkStart w:id="25" w:name="_Toc39653414"/>
      <w:r>
        <w:rPr>
          <w:rFonts w:hint="eastAsia"/>
          <w:b/>
          <w:sz w:val="24"/>
        </w:rPr>
        <w:t>六、售后服务</w:t>
      </w:r>
      <w:bookmarkEnd w:id="24"/>
      <w:bookmarkEnd w:id="25"/>
    </w:p>
    <w:p>
      <w:pPr>
        <w:adjustRightInd w:val="0"/>
        <w:snapToGrid w:val="0"/>
        <w:spacing w:line="360" w:lineRule="auto"/>
        <w:ind w:firstLine="450" w:firstLineChars="200"/>
        <w:rPr>
          <w:rFonts w:ascii="宋体" w:hAnsi="宋体"/>
          <w:sz w:val="24"/>
        </w:rPr>
      </w:pPr>
      <w:r>
        <w:rPr>
          <w:rFonts w:hint="eastAsia" w:ascii="宋体" w:hAnsi="宋体"/>
          <w:sz w:val="24"/>
        </w:rPr>
        <w:t>免费保修按原厂商保修条款执行，保修日期从 验收之日 起计算，质保期限为          年。保修期内出现质量问题，由乙方负责免费维修。</w:t>
      </w:r>
    </w:p>
    <w:p>
      <w:pPr>
        <w:adjustRightInd w:val="0"/>
        <w:snapToGrid w:val="0"/>
        <w:spacing w:line="360" w:lineRule="auto"/>
        <w:ind w:firstLine="450" w:firstLineChars="200"/>
        <w:rPr>
          <w:rFonts w:ascii="宋体" w:hAnsi="宋体"/>
          <w:sz w:val="24"/>
        </w:rPr>
      </w:pPr>
      <w:r>
        <w:rPr>
          <w:rFonts w:hint="eastAsia" w:ascii="宋体" w:hAnsi="宋体"/>
          <w:sz w:val="24"/>
        </w:rPr>
        <w:t>质保期内出现质量问题，乙方在接到通知后</w:t>
      </w:r>
      <w:r>
        <w:rPr>
          <w:rFonts w:hint="eastAsia" w:ascii="宋体" w:hAnsi="宋体"/>
          <w:sz w:val="24"/>
          <w:u w:val="single"/>
        </w:rPr>
        <w:t xml:space="preserve">        </w:t>
      </w:r>
      <w:r>
        <w:rPr>
          <w:rFonts w:hint="eastAsia" w:ascii="宋体" w:hAnsi="宋体"/>
          <w:sz w:val="24"/>
        </w:rPr>
        <w:t>内响应，</w:t>
      </w:r>
      <w:r>
        <w:rPr>
          <w:rFonts w:hint="eastAsia" w:ascii="宋体" w:hAnsi="宋体"/>
          <w:sz w:val="24"/>
          <w:u w:val="single"/>
        </w:rPr>
        <w:t xml:space="preserve">      </w:t>
      </w:r>
      <w:r>
        <w:rPr>
          <w:rFonts w:hint="eastAsia" w:ascii="宋体" w:hAnsi="宋体"/>
          <w:sz w:val="24"/>
        </w:rPr>
        <w:t>小时内到场，乙方负责维修或更换，并承担修理调换的费用(含保修期内所更换零部件费用)，人为损坏不在保修范围内。</w:t>
      </w:r>
    </w:p>
    <w:p>
      <w:pPr>
        <w:adjustRightInd w:val="0"/>
        <w:snapToGrid w:val="0"/>
        <w:spacing w:line="360" w:lineRule="auto"/>
        <w:rPr>
          <w:rFonts w:ascii="宋体" w:hAnsi="宋体"/>
          <w:color w:val="000000"/>
          <w:sz w:val="24"/>
        </w:rPr>
      </w:pPr>
    </w:p>
    <w:p>
      <w:pPr>
        <w:spacing w:line="440" w:lineRule="exact"/>
        <w:rPr>
          <w:b/>
          <w:sz w:val="24"/>
        </w:rPr>
      </w:pPr>
      <w:bookmarkStart w:id="26" w:name="_Toc39653191"/>
      <w:bookmarkStart w:id="27" w:name="_Toc39653415"/>
      <w:r>
        <w:rPr>
          <w:rFonts w:hint="eastAsia"/>
          <w:b/>
          <w:sz w:val="24"/>
        </w:rPr>
        <w:t>七、双方的权利和义务</w:t>
      </w:r>
      <w:bookmarkEnd w:id="26"/>
      <w:bookmarkEnd w:id="27"/>
    </w:p>
    <w:p>
      <w:pPr>
        <w:adjustRightInd w:val="0"/>
        <w:snapToGrid w:val="0"/>
        <w:spacing w:line="360" w:lineRule="auto"/>
        <w:ind w:firstLine="450" w:firstLineChars="200"/>
        <w:rPr>
          <w:rFonts w:ascii="宋体" w:hAnsi="宋体"/>
          <w:sz w:val="24"/>
        </w:rPr>
      </w:pPr>
      <w:r>
        <w:rPr>
          <w:rFonts w:hint="eastAsia" w:ascii="宋体" w:hAnsi="宋体"/>
          <w:sz w:val="24"/>
        </w:rPr>
        <w:t>1.双方一致同意：在甲方未支付货款的95%之前，本合同项下产品的所有权归乙方所有；</w:t>
      </w:r>
    </w:p>
    <w:p>
      <w:pPr>
        <w:adjustRightInd w:val="0"/>
        <w:snapToGrid w:val="0"/>
        <w:spacing w:line="360" w:lineRule="auto"/>
        <w:ind w:firstLine="450" w:firstLineChars="200"/>
        <w:rPr>
          <w:rFonts w:ascii="宋体" w:hAnsi="宋体"/>
          <w:sz w:val="24"/>
        </w:rPr>
      </w:pPr>
      <w:r>
        <w:rPr>
          <w:rFonts w:hint="eastAsia" w:ascii="宋体" w:hAnsi="宋体"/>
          <w:sz w:val="24"/>
        </w:rPr>
        <w:t>2.产品的运输及保险全部由乙方负责。乙方须采取适于安全、准时完成本合同项下义务的运输措施，将产品运至甲方指定的到货地点；</w:t>
      </w:r>
    </w:p>
    <w:p>
      <w:pPr>
        <w:adjustRightInd w:val="0"/>
        <w:snapToGrid w:val="0"/>
        <w:spacing w:line="360" w:lineRule="auto"/>
        <w:ind w:firstLine="450" w:firstLineChars="200"/>
        <w:rPr>
          <w:rFonts w:ascii="宋体" w:hAnsi="宋体"/>
          <w:sz w:val="24"/>
        </w:rPr>
      </w:pPr>
      <w:r>
        <w:rPr>
          <w:rFonts w:hint="eastAsia" w:ascii="宋体" w:hAnsi="宋体"/>
          <w:sz w:val="24"/>
        </w:rPr>
        <w:t>3.双方一致同意：本合同项下产品毁损、灭失的风险，在乙方交付产品后，由甲方承担。</w:t>
      </w:r>
    </w:p>
    <w:p>
      <w:pPr>
        <w:pStyle w:val="16"/>
        <w:adjustRightInd w:val="0"/>
        <w:snapToGrid w:val="0"/>
        <w:spacing w:line="360" w:lineRule="auto"/>
        <w:ind w:firstLine="450" w:firstLineChars="200"/>
        <w:rPr>
          <w:rFonts w:ascii="宋体" w:hAnsi="宋体" w:eastAsia="宋体"/>
          <w:b/>
          <w:color w:val="000000"/>
          <w:sz w:val="24"/>
          <w:szCs w:val="24"/>
        </w:rPr>
      </w:pPr>
    </w:p>
    <w:p>
      <w:pPr>
        <w:spacing w:line="440" w:lineRule="exact"/>
        <w:rPr>
          <w:b/>
          <w:sz w:val="24"/>
        </w:rPr>
      </w:pPr>
      <w:bookmarkStart w:id="28" w:name="_Toc39653416"/>
      <w:bookmarkStart w:id="29" w:name="_Toc39653192"/>
      <w:r>
        <w:rPr>
          <w:rFonts w:hint="eastAsia"/>
          <w:b/>
          <w:sz w:val="24"/>
        </w:rPr>
        <w:t>八、违约责任</w:t>
      </w:r>
      <w:bookmarkEnd w:id="28"/>
      <w:bookmarkEnd w:id="29"/>
    </w:p>
    <w:p>
      <w:pPr>
        <w:adjustRightInd w:val="0"/>
        <w:snapToGrid w:val="0"/>
        <w:spacing w:line="360" w:lineRule="auto"/>
        <w:ind w:firstLine="450" w:firstLineChars="200"/>
        <w:rPr>
          <w:rFonts w:ascii="宋体" w:hAnsi="宋体"/>
          <w:sz w:val="24"/>
        </w:rPr>
      </w:pPr>
      <w:r>
        <w:rPr>
          <w:rFonts w:hint="eastAsia" w:ascii="宋体" w:hAnsi="宋体"/>
          <w:sz w:val="24"/>
        </w:rPr>
        <w:t>本合同生效后，除不可抗外力影响，双方均不得任意理由终止合同。如单方违约，违约方应承担违约金为本合同的20%。</w:t>
      </w:r>
    </w:p>
    <w:p>
      <w:pPr>
        <w:pStyle w:val="16"/>
        <w:adjustRightInd w:val="0"/>
        <w:snapToGrid w:val="0"/>
        <w:spacing w:line="360" w:lineRule="auto"/>
        <w:rPr>
          <w:rFonts w:ascii="宋体" w:hAnsi="宋体" w:eastAsia="宋体"/>
          <w:color w:val="000000"/>
          <w:sz w:val="24"/>
          <w:szCs w:val="24"/>
        </w:rPr>
      </w:pPr>
      <w:r>
        <w:rPr>
          <w:rFonts w:ascii="宋体" w:hAnsi="宋体" w:eastAsia="宋体"/>
          <w:color w:val="000000"/>
          <w:sz w:val="24"/>
          <w:szCs w:val="24"/>
        </w:rPr>
        <w:t xml:space="preserve"> </w:t>
      </w:r>
    </w:p>
    <w:p>
      <w:pPr>
        <w:spacing w:line="440" w:lineRule="exact"/>
        <w:rPr>
          <w:b/>
          <w:sz w:val="24"/>
        </w:rPr>
      </w:pPr>
      <w:bookmarkStart w:id="30" w:name="_Toc39653417"/>
      <w:bookmarkStart w:id="31" w:name="_Toc39653193"/>
      <w:r>
        <w:rPr>
          <w:rFonts w:hint="eastAsia"/>
          <w:b/>
          <w:sz w:val="24"/>
        </w:rPr>
        <w:t>九、合同争议解决方式</w:t>
      </w:r>
      <w:bookmarkEnd w:id="30"/>
      <w:bookmarkEnd w:id="31"/>
    </w:p>
    <w:p>
      <w:pPr>
        <w:adjustRightInd w:val="0"/>
        <w:snapToGrid w:val="0"/>
        <w:spacing w:line="360" w:lineRule="auto"/>
        <w:ind w:firstLine="450" w:firstLineChars="200"/>
        <w:rPr>
          <w:rFonts w:ascii="宋体" w:hAnsi="宋体"/>
          <w:sz w:val="24"/>
        </w:rPr>
      </w:pPr>
      <w:r>
        <w:rPr>
          <w:rFonts w:hint="eastAsia" w:ascii="宋体" w:hAnsi="宋体"/>
          <w:sz w:val="24"/>
        </w:rPr>
        <w:t>在合同履行期间，如发生争议，双方协商解决，协商不成的，可向甲方项目所在地人民法院提起诉讼。</w:t>
      </w:r>
    </w:p>
    <w:p>
      <w:pPr>
        <w:pStyle w:val="16"/>
        <w:tabs>
          <w:tab w:val="clear" w:pos="916"/>
        </w:tabs>
        <w:adjustRightInd w:val="0"/>
        <w:snapToGrid w:val="0"/>
        <w:spacing w:line="360" w:lineRule="auto"/>
        <w:ind w:firstLine="570"/>
        <w:rPr>
          <w:rFonts w:ascii="宋体" w:hAnsi="宋体" w:eastAsia="宋体"/>
          <w:color w:val="000000"/>
          <w:sz w:val="24"/>
          <w:szCs w:val="24"/>
        </w:rPr>
      </w:pPr>
    </w:p>
    <w:p>
      <w:pPr>
        <w:spacing w:line="440" w:lineRule="exact"/>
        <w:rPr>
          <w:b/>
          <w:sz w:val="24"/>
        </w:rPr>
      </w:pPr>
      <w:bookmarkStart w:id="32" w:name="_Toc39653194"/>
      <w:bookmarkStart w:id="33" w:name="_Toc39653418"/>
      <w:r>
        <w:rPr>
          <w:rFonts w:hint="eastAsia"/>
          <w:b/>
          <w:sz w:val="24"/>
        </w:rPr>
        <w:t>十、合同组成与生效</w:t>
      </w:r>
      <w:bookmarkEnd w:id="32"/>
      <w:bookmarkEnd w:id="33"/>
    </w:p>
    <w:p>
      <w:pPr>
        <w:adjustRightInd w:val="0"/>
        <w:snapToGrid w:val="0"/>
        <w:spacing w:line="360" w:lineRule="auto"/>
        <w:ind w:firstLine="450" w:firstLineChars="200"/>
        <w:rPr>
          <w:rFonts w:ascii="宋体" w:hAnsi="宋体"/>
          <w:sz w:val="24"/>
        </w:rPr>
      </w:pPr>
      <w:r>
        <w:rPr>
          <w:rFonts w:hint="eastAsia" w:ascii="宋体" w:hAnsi="宋体"/>
          <w:sz w:val="24"/>
        </w:rPr>
        <w:t>从合同生效日开始起算，本合同壹式肆份，甲方执叁份，乙方执壹份，签字并加盖公章后生效，希共同遵照执行。谈判、报价文件及其补遗文件和承诺是本合同不可分割的部分，具有同等法律效力。</w:t>
      </w: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p>
      <w:pPr>
        <w:adjustRightInd w:val="0"/>
        <w:snapToGrid w:val="0"/>
        <w:spacing w:line="360" w:lineRule="auto"/>
        <w:ind w:firstLine="450" w:firstLineChars="200"/>
        <w:rPr>
          <w:rFonts w:ascii="宋体" w:hAnsi="宋体"/>
          <w:sz w:val="24"/>
        </w:rPr>
      </w:pPr>
    </w:p>
    <w:tbl>
      <w:tblPr>
        <w:tblStyle w:val="18"/>
        <w:tblW w:w="8460" w:type="dxa"/>
        <w:tblInd w:w="710" w:type="dxa"/>
        <w:tblLayout w:type="fixed"/>
        <w:tblCellMar>
          <w:top w:w="0" w:type="dxa"/>
          <w:left w:w="108" w:type="dxa"/>
          <w:bottom w:w="0" w:type="dxa"/>
          <w:right w:w="108" w:type="dxa"/>
        </w:tblCellMar>
      </w:tblPr>
      <w:tblGrid>
        <w:gridCol w:w="4256"/>
        <w:gridCol w:w="4204"/>
      </w:tblGrid>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r>
              <w:rPr>
                <w:rFonts w:hint="eastAsia" w:ascii="黑体" w:hAnsi="宋体" w:eastAsia="黑体"/>
                <w:b/>
                <w:szCs w:val="21"/>
              </w:rPr>
              <w:t>甲方：陆军军医大学第一附属医院</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c>
          <w:tcPr>
            <w:tcW w:w="4204" w:type="dxa"/>
          </w:tcPr>
          <w:p>
            <w:pPr>
              <w:spacing w:line="360" w:lineRule="atLeast"/>
              <w:rPr>
                <w:rFonts w:ascii="黑体" w:hAnsi="宋体" w:eastAsia="黑体"/>
                <w:b/>
                <w:szCs w:val="21"/>
              </w:rPr>
            </w:pPr>
            <w:r>
              <w:rPr>
                <w:rFonts w:hint="eastAsia" w:ascii="黑体" w:hAnsi="宋体" w:eastAsia="黑体"/>
                <w:b/>
                <w:szCs w:val="21"/>
              </w:rPr>
              <w:t>乙方：</w:t>
            </w:r>
            <w:r>
              <w:rPr>
                <w:rFonts w:ascii="黑体" w:hAnsi="宋体" w:eastAsia="黑体"/>
                <w:b/>
                <w:szCs w:val="21"/>
              </w:rPr>
              <w:t xml:space="preserve"> </w:t>
            </w:r>
          </w:p>
          <w:p>
            <w:pPr>
              <w:spacing w:line="360" w:lineRule="auto"/>
              <w:ind w:firstLine="390" w:firstLineChars="200"/>
              <w:rPr>
                <w:rFonts w:ascii="黑体" w:hAnsi="宋体" w:eastAsia="黑体"/>
                <w:b/>
                <w:szCs w:val="21"/>
              </w:rPr>
            </w:pPr>
            <w:r>
              <w:rPr>
                <w:rFonts w:hint="eastAsia" w:ascii="黑体" w:hAnsi="宋体" w:eastAsia="黑体"/>
                <w:b/>
                <w:szCs w:val="21"/>
              </w:rPr>
              <w:t>（盖章）</w:t>
            </w:r>
          </w:p>
        </w:tc>
      </w:tr>
      <w:tr>
        <w:tblPrEx>
          <w:tblCellMar>
            <w:top w:w="0" w:type="dxa"/>
            <w:left w:w="108" w:type="dxa"/>
            <w:bottom w:w="0" w:type="dxa"/>
            <w:right w:w="108" w:type="dxa"/>
          </w:tblCellMar>
        </w:tblPrEx>
        <w:trPr>
          <w:trHeight w:val="1354" w:hRule="atLeast"/>
        </w:trPr>
        <w:tc>
          <w:tcPr>
            <w:tcW w:w="4256" w:type="dxa"/>
          </w:tcPr>
          <w:p>
            <w:pPr>
              <w:spacing w:line="360" w:lineRule="auto"/>
              <w:rPr>
                <w:rFonts w:ascii="黑体" w:hAnsi="宋体" w:eastAsia="黑体"/>
                <w:b/>
                <w:szCs w:val="21"/>
              </w:rPr>
            </w:pPr>
            <w:r>
              <w:rPr>
                <w:rFonts w:hint="eastAsia" w:ascii="黑体" w:hAnsi="宋体" w:eastAsia="黑体"/>
                <w:b/>
                <w:szCs w:val="21"/>
              </w:rPr>
              <w:t>地址:重庆市沙坪坝区高滩岩正街30号</w:t>
            </w:r>
          </w:p>
          <w:p>
            <w:pPr>
              <w:spacing w:line="360" w:lineRule="auto"/>
              <w:rPr>
                <w:rFonts w:ascii="黑体" w:hAnsi="宋体" w:eastAsia="黑体"/>
                <w:b/>
                <w:szCs w:val="21"/>
              </w:rPr>
            </w:pPr>
            <w:r>
              <w:rPr>
                <w:rFonts w:hint="eastAsia" w:ascii="黑体" w:hAnsi="宋体" w:eastAsia="黑体"/>
                <w:b/>
                <w:szCs w:val="21"/>
              </w:rPr>
              <w:t>开户银行：中国银行长江路支行</w:t>
            </w:r>
          </w:p>
          <w:p>
            <w:pPr>
              <w:spacing w:line="360" w:lineRule="auto"/>
              <w:rPr>
                <w:rFonts w:ascii="黑体" w:hAnsi="宋体" w:eastAsia="黑体"/>
                <w:b/>
                <w:szCs w:val="21"/>
              </w:rPr>
            </w:pPr>
            <w:r>
              <w:rPr>
                <w:rFonts w:hint="eastAsia" w:ascii="黑体" w:hAnsi="宋体" w:eastAsia="黑体"/>
                <w:b/>
                <w:szCs w:val="21"/>
              </w:rPr>
              <w:t>账号：113007546980</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 xml:space="preserve">法人委托代理人：  </w:t>
            </w:r>
          </w:p>
        </w:tc>
        <w:tc>
          <w:tcPr>
            <w:tcW w:w="4204" w:type="dxa"/>
          </w:tcPr>
          <w:p>
            <w:pPr>
              <w:spacing w:line="360" w:lineRule="auto"/>
              <w:rPr>
                <w:rFonts w:ascii="黑体" w:hAnsi="宋体" w:eastAsia="黑体"/>
                <w:b/>
                <w:szCs w:val="21"/>
              </w:rPr>
            </w:pPr>
            <w:r>
              <w:rPr>
                <w:rFonts w:hint="eastAsia" w:ascii="黑体" w:hAnsi="宋体" w:eastAsia="黑体"/>
                <w:b/>
                <w:szCs w:val="21"/>
              </w:rPr>
              <w:t>地址：</w:t>
            </w:r>
          </w:p>
          <w:p>
            <w:pPr>
              <w:spacing w:line="360" w:lineRule="auto"/>
              <w:rPr>
                <w:rFonts w:ascii="黑体" w:hAnsi="宋体" w:eastAsia="黑体"/>
                <w:b/>
                <w:szCs w:val="21"/>
              </w:rPr>
            </w:pPr>
            <w:r>
              <w:rPr>
                <w:rFonts w:hint="eastAsia" w:ascii="黑体" w:hAnsi="宋体" w:eastAsia="黑体"/>
                <w:b/>
                <w:szCs w:val="21"/>
              </w:rPr>
              <w:t>开户银行：</w:t>
            </w:r>
            <w:r>
              <w:rPr>
                <w:rFonts w:ascii="黑体" w:hAnsi="宋体" w:eastAsia="黑体"/>
                <w:b/>
                <w:szCs w:val="21"/>
              </w:rPr>
              <w:t xml:space="preserve"> </w:t>
            </w:r>
          </w:p>
          <w:p>
            <w:pPr>
              <w:spacing w:line="360" w:lineRule="auto"/>
              <w:rPr>
                <w:rFonts w:ascii="黑体" w:hAnsi="宋体" w:eastAsia="黑体"/>
                <w:b/>
                <w:szCs w:val="21"/>
              </w:rPr>
            </w:pPr>
            <w:r>
              <w:rPr>
                <w:rFonts w:hint="eastAsia" w:ascii="黑体" w:hAnsi="宋体" w:eastAsia="黑体"/>
                <w:b/>
                <w:szCs w:val="21"/>
              </w:rPr>
              <w:t>账号：</w:t>
            </w:r>
          </w:p>
          <w:p>
            <w:pPr>
              <w:spacing w:line="360" w:lineRule="auto"/>
              <w:rPr>
                <w:rFonts w:ascii="黑体" w:hAnsi="宋体" w:eastAsia="黑体"/>
                <w:b/>
                <w:szCs w:val="21"/>
              </w:rPr>
            </w:pPr>
            <w:r>
              <w:rPr>
                <w:rFonts w:hint="eastAsia" w:ascii="黑体" w:hAnsi="宋体" w:eastAsia="黑体"/>
                <w:b/>
                <w:szCs w:val="21"/>
              </w:rPr>
              <w:t>法定代表人：</w:t>
            </w:r>
          </w:p>
          <w:p>
            <w:pPr>
              <w:spacing w:line="360" w:lineRule="auto"/>
              <w:rPr>
                <w:rFonts w:ascii="黑体" w:hAnsi="宋体" w:eastAsia="黑体"/>
                <w:b/>
                <w:szCs w:val="21"/>
              </w:rPr>
            </w:pPr>
            <w:r>
              <w:rPr>
                <w:rFonts w:hint="eastAsia" w:ascii="黑体" w:hAnsi="宋体" w:eastAsia="黑体"/>
                <w:b/>
                <w:szCs w:val="21"/>
              </w:rPr>
              <w:t>委托代理人：</w:t>
            </w:r>
          </w:p>
        </w:tc>
      </w:tr>
      <w:tr>
        <w:tblPrEx>
          <w:tblCellMar>
            <w:top w:w="0" w:type="dxa"/>
            <w:left w:w="108" w:type="dxa"/>
            <w:bottom w:w="0" w:type="dxa"/>
            <w:right w:w="108" w:type="dxa"/>
          </w:tblCellMar>
        </w:tblPrEx>
        <w:trPr>
          <w:trHeight w:val="677" w:hRule="atLeast"/>
        </w:trPr>
        <w:tc>
          <w:tcPr>
            <w:tcW w:w="4256" w:type="dxa"/>
          </w:tcPr>
          <w:p>
            <w:pPr>
              <w:spacing w:line="360" w:lineRule="auto"/>
              <w:rPr>
                <w:rFonts w:ascii="黑体" w:hAnsi="宋体" w:eastAsia="黑体"/>
                <w:b/>
                <w:szCs w:val="21"/>
              </w:rPr>
            </w:pPr>
          </w:p>
        </w:tc>
        <w:tc>
          <w:tcPr>
            <w:tcW w:w="4204" w:type="dxa"/>
          </w:tcPr>
          <w:p>
            <w:pPr>
              <w:spacing w:line="360" w:lineRule="auto"/>
              <w:ind w:left="975" w:leftChars="150" w:hanging="683" w:hangingChars="350"/>
              <w:rPr>
                <w:rFonts w:ascii="黑体" w:hAnsi="宋体" w:eastAsia="黑体"/>
                <w:b/>
                <w:szCs w:val="21"/>
              </w:rPr>
            </w:pPr>
          </w:p>
        </w:tc>
      </w:tr>
      <w:tr>
        <w:tblPrEx>
          <w:tblCellMar>
            <w:top w:w="0" w:type="dxa"/>
            <w:left w:w="108" w:type="dxa"/>
            <w:bottom w:w="0" w:type="dxa"/>
            <w:right w:w="108" w:type="dxa"/>
          </w:tblCellMar>
        </w:tblPrEx>
        <w:trPr>
          <w:trHeight w:val="338" w:hRule="atLeast"/>
        </w:trPr>
        <w:tc>
          <w:tcPr>
            <w:tcW w:w="4256" w:type="dxa"/>
          </w:tcPr>
          <w:p>
            <w:pPr>
              <w:spacing w:line="360" w:lineRule="auto"/>
              <w:rPr>
                <w:rFonts w:ascii="黑体" w:hAnsi="宋体" w:eastAsia="黑体"/>
                <w:b/>
                <w:szCs w:val="21"/>
              </w:rPr>
            </w:pPr>
            <w:r>
              <w:rPr>
                <w:rFonts w:hint="eastAsia" w:ascii="黑体" w:hAnsi="宋体" w:eastAsia="黑体"/>
                <w:b/>
                <w:szCs w:val="21"/>
              </w:rPr>
              <w:t>电话：023-68766150</w:t>
            </w:r>
          </w:p>
        </w:tc>
        <w:tc>
          <w:tcPr>
            <w:tcW w:w="4204" w:type="dxa"/>
          </w:tcPr>
          <w:p>
            <w:pPr>
              <w:spacing w:line="360" w:lineRule="auto"/>
              <w:rPr>
                <w:rFonts w:ascii="黑体" w:hAnsi="宋体" w:eastAsia="黑体"/>
                <w:b/>
                <w:szCs w:val="21"/>
              </w:rPr>
            </w:pPr>
            <w:r>
              <w:rPr>
                <w:rFonts w:hint="eastAsia" w:ascii="黑体" w:hAnsi="宋体" w:eastAsia="黑体"/>
                <w:b/>
                <w:szCs w:val="21"/>
              </w:rPr>
              <w:t>电话：</w:t>
            </w:r>
          </w:p>
        </w:tc>
      </w:tr>
    </w:tbl>
    <w:p>
      <w:pPr>
        <w:spacing w:line="360" w:lineRule="exact"/>
        <w:rPr>
          <w:rFonts w:ascii="宋体" w:hAnsi="宋体"/>
          <w:u w:val="single"/>
        </w:rPr>
      </w:pPr>
    </w:p>
    <w:p>
      <w:pPr>
        <w:spacing w:line="360" w:lineRule="exact"/>
        <w:rPr>
          <w:rFonts w:ascii="宋体" w:hAnsi="宋体"/>
          <w:u w:val="single"/>
        </w:rPr>
      </w:pPr>
    </w:p>
    <w:p>
      <w:pPr>
        <w:spacing w:line="360" w:lineRule="exact"/>
        <w:ind w:firstLine="585" w:firstLineChars="300"/>
        <w:rPr>
          <w:rFonts w:ascii="宋体" w:hAnsi="宋体"/>
          <w:b/>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440" w:lineRule="exact"/>
        <w:ind w:firstLine="450" w:firstLineChars="200"/>
        <w:rPr>
          <w:rFonts w:cs="Times New Roman" w:asciiTheme="minorEastAsia" w:hAnsiTheme="minorEastAsia"/>
          <w:kern w:val="0"/>
          <w:sz w:val="24"/>
          <w:szCs w:val="24"/>
        </w:rPr>
      </w:pPr>
    </w:p>
    <w:p>
      <w:pPr>
        <w:adjustRightInd w:val="0"/>
        <w:snapToGrid w:val="0"/>
        <w:jc w:val="cente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功能清单</w:t>
      </w:r>
    </w:p>
    <w:p>
      <w:pP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内容自拟，以实际产品功能为主，格式不限</w:t>
      </w:r>
    </w:p>
    <w:p>
      <w:pPr>
        <w:rPr>
          <w:rFonts w:ascii="黑体" w:hAnsi="Times New Roman" w:eastAsia="黑体" w:cs="Times New Roman"/>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1906" w:h="16838"/>
          <w:pgMar w:top="1134" w:right="567" w:bottom="1134" w:left="1021"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34" w:name="_Toc43485655"/>
      <w:bookmarkStart w:id="35" w:name="_Toc435540982"/>
      <w:bookmarkStart w:id="36" w:name="_Toc240432233"/>
      <w:bookmarkStart w:id="37" w:name="_Toc285612604"/>
      <w:bookmarkStart w:id="38" w:name="_Toc390713970"/>
      <w:bookmarkStart w:id="39" w:name="_Toc37172691"/>
      <w:r>
        <w:rPr>
          <w:rFonts w:hint="eastAsia" w:ascii="黑体" w:hAnsi="黑体" w:eastAsia="黑体" w:cs="Times New Roman"/>
          <w:kern w:val="0"/>
          <w:sz w:val="32"/>
          <w:szCs w:val="32"/>
        </w:rPr>
        <w:t>第五部分  附件/报价文件格式</w:t>
      </w:r>
      <w:bookmarkEnd w:id="34"/>
      <w:bookmarkEnd w:id="35"/>
      <w:bookmarkEnd w:id="36"/>
      <w:bookmarkEnd w:id="37"/>
      <w:bookmarkEnd w:id="38"/>
      <w:bookmarkEnd w:id="39"/>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40"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40"/>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8"/>
        <w:tblW w:w="5000" w:type="pct"/>
        <w:jc w:val="center"/>
        <w:tblLayout w:type="autofit"/>
        <w:tblCellMar>
          <w:top w:w="0" w:type="dxa"/>
          <w:left w:w="0" w:type="dxa"/>
          <w:bottom w:w="0" w:type="dxa"/>
          <w:right w:w="0" w:type="dxa"/>
        </w:tblCellMar>
      </w:tblPr>
      <w:tblGrid>
        <w:gridCol w:w="648"/>
        <w:gridCol w:w="2666"/>
        <w:gridCol w:w="677"/>
        <w:gridCol w:w="1007"/>
        <w:gridCol w:w="2563"/>
        <w:gridCol w:w="1324"/>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666"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67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1007"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256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666"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67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007"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256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222" w:type="pct"/>
        <w:jc w:val="center"/>
        <w:tblLayout w:type="autofit"/>
        <w:tblCellMar>
          <w:top w:w="0" w:type="dxa"/>
          <w:left w:w="108" w:type="dxa"/>
          <w:bottom w:w="0" w:type="dxa"/>
          <w:right w:w="108" w:type="dxa"/>
        </w:tblCellMar>
      </w:tblPr>
      <w:tblGrid>
        <w:gridCol w:w="813"/>
        <w:gridCol w:w="2939"/>
        <w:gridCol w:w="2470"/>
        <w:gridCol w:w="3242"/>
      </w:tblGrid>
      <w:tr>
        <w:tblPrEx>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324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执行标准（国标/行业标准等）</w:t>
            </w: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3"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3242"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相关软件著作权证书或发明专利</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IS09001质量管理体系认证证书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IS027001信息安全管理体系认证证书</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高新技术企业证书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5   </w:t>
            </w:r>
          </w:p>
        </w:tc>
        <w:tc>
          <w:tcPr>
            <w:tcW w:w="3648" w:type="dxa"/>
            <w:tcBorders>
              <w:top w:val="nil"/>
              <w:left w:val="nil"/>
              <w:bottom w:val="single" w:color="auto" w:sz="4" w:space="0"/>
              <w:right w:val="single" w:color="auto" w:sz="4" w:space="0"/>
            </w:tcBorders>
            <w:noWrap/>
          </w:tcPr>
          <w:p>
            <w:pPr>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计算机信息系统集成资质证书</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CMMI</w:t>
            </w:r>
            <w:r>
              <w:rPr>
                <w:rFonts w:hint="eastAsia"/>
              </w:rPr>
              <w:t>认证证书</w:t>
            </w:r>
            <w:r>
              <w:tab/>
            </w:r>
            <w:r>
              <w:tab/>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7</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Theme="majorEastAsia" w:hAnsiTheme="majorEastAsia" w:eastAsiaTheme="majorEastAsia"/>
                <w:szCs w:val="21"/>
              </w:rPr>
              <w:t>业</w:t>
            </w:r>
            <w:r>
              <w:rPr>
                <w:rFonts w:asciiTheme="majorEastAsia" w:hAnsiTheme="majorEastAsia" w:eastAsiaTheme="majorEastAsia"/>
                <w:szCs w:val="21"/>
              </w:rPr>
              <w:t>技术标准、规范、</w:t>
            </w:r>
            <w:r>
              <w:rPr>
                <w:rFonts w:hint="eastAsia" w:asciiTheme="majorEastAsia" w:hAnsiTheme="majorEastAsia" w:eastAsiaTheme="majorEastAsia"/>
                <w:szCs w:val="21"/>
              </w:rPr>
              <w:t>认证</w:t>
            </w:r>
            <w:r>
              <w:rPr>
                <w:rFonts w:asciiTheme="majorEastAsia" w:hAnsiTheme="majorEastAsia" w:eastAsiaTheme="majorEastAsia"/>
                <w:szCs w:val="21"/>
              </w:rPr>
              <w:t>证书</w:t>
            </w:r>
            <w:r>
              <w:rPr>
                <w:rFonts w:hint="eastAsia" w:asciiTheme="majorEastAsia" w:hAnsiTheme="majorEastAsia" w:eastAsiaTheme="majorEastAsia"/>
                <w:szCs w:val="21"/>
              </w:rPr>
              <w:t>、</w:t>
            </w:r>
            <w:r>
              <w:rPr>
                <w:rFonts w:asciiTheme="majorEastAsia" w:hAnsiTheme="majorEastAsia" w:eastAsiaTheme="majorEastAsia"/>
                <w:szCs w:val="21"/>
              </w:rPr>
              <w:t>奖项等品质证明材料</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3648" w:type="dxa"/>
            <w:tcBorders>
              <w:top w:val="single" w:color="auto" w:sz="4" w:space="0"/>
              <w:left w:val="nil"/>
              <w:bottom w:val="single" w:color="auto" w:sz="4" w:space="0"/>
              <w:right w:val="single" w:color="auto" w:sz="4" w:space="0"/>
            </w:tcBorders>
            <w:noWrap/>
          </w:tcPr>
          <w:p>
            <w:pPr>
              <w:tabs>
                <w:tab w:val="left" w:pos="1608"/>
                <w:tab w:val="left" w:pos="1809"/>
              </w:tabs>
              <w:adjustRightInd w:val="0"/>
              <w:snapToGrid w:val="0"/>
              <w:spacing w:line="440" w:lineRule="exact"/>
              <w:rPr>
                <w:rFonts w:asciiTheme="majorEastAsia" w:hAnsiTheme="majorEastAsia" w:eastAsiaTheme="majorEastAsia"/>
                <w:szCs w:val="21"/>
              </w:rPr>
            </w:pPr>
            <w:r>
              <w:rPr>
                <w:rFonts w:hint="eastAsia" w:ascii="宋体" w:hAnsi="宋体"/>
                <w:szCs w:val="21"/>
              </w:rPr>
              <w:t>系统分析师、系统构架师、软件工程、数据库专业开发人员、程序员以及有经验的项目管理和组织能力项目经理，并提供相应的高级</w:t>
            </w:r>
            <w:r>
              <w:rPr>
                <w:rFonts w:ascii="宋体" w:hAnsi="宋体"/>
                <w:szCs w:val="21"/>
              </w:rPr>
              <w:t>职称</w:t>
            </w:r>
            <w:r>
              <w:rPr>
                <w:rFonts w:hint="eastAsia" w:ascii="宋体" w:hAnsi="宋体"/>
                <w:szCs w:val="21"/>
              </w:rPr>
              <w:t>资质</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实施周期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人员组织保障</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到位维修响应</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企业服务方式、现场支持、服务费用、服务等级等</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asciiTheme="minorEastAsia" w:hAnsiTheme="minorEastAsia"/>
                <w:szCs w:val="21"/>
              </w:rPr>
            </w:pPr>
            <w:r>
              <w:rPr>
                <w:rFonts w:hint="eastAsia" w:asciiTheme="minorEastAsia" w:hAnsiTheme="minorEastAsia"/>
                <w:szCs w:val="21"/>
              </w:rPr>
              <w:t>软件运营过程中安全服务和后期技术咨询承诺</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8"/>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附件14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5</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1、授权书的格式不限，但必须具有授权单位与授权人的公章/签章，授权销售区域，授权期限（起止日期）等主要内容。</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2、进口产品需提供原厂对中国总代的中英文授权，并提供中国总代至各级销售授权书。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rPr>
          <w:rFonts w:hint="eastAsia" w:ascii="黑体" w:hAnsi="黑体" w:eastAsia="黑体" w:cs="Times New Roman"/>
          <w:kern w:val="0"/>
          <w:sz w:val="32"/>
          <w:szCs w:val="32"/>
          <w:lang w:val="en-US" w:eastAsia="zh-CN"/>
        </w:rPr>
      </w:pPr>
      <w:r>
        <w:rPr>
          <w:rFonts w:hint="eastAsia" w:ascii="黑体" w:hAnsi="黑体" w:eastAsia="黑体" w:cs="Times New Roman"/>
          <w:kern w:val="0"/>
          <w:sz w:val="32"/>
          <w:szCs w:val="32"/>
        </w:rPr>
        <w:t>附件2</w:t>
      </w:r>
      <w:r>
        <w:rPr>
          <w:rFonts w:hint="eastAsia" w:ascii="黑体" w:hAnsi="黑体" w:eastAsia="黑体" w:cs="Times New Roman"/>
          <w:kern w:val="0"/>
          <w:sz w:val="32"/>
          <w:szCs w:val="32"/>
          <w:lang w:val="en-US" w:eastAsia="zh-CN"/>
        </w:rPr>
        <w:t>1</w:t>
      </w:r>
    </w:p>
    <w:p>
      <w:pPr>
        <w:jc w:val="center"/>
        <w:rPr>
          <w:rFonts w:hint="eastAsia" w:ascii="黑体" w:hAnsi="黑体" w:eastAsia="黑体" w:cs="Times New Roman"/>
          <w:kern w:val="0"/>
          <w:sz w:val="32"/>
          <w:szCs w:val="32"/>
          <w:lang w:val="en-US" w:eastAsia="zh-CN"/>
        </w:rPr>
      </w:pPr>
      <w:r>
        <w:rPr>
          <w:rFonts w:hint="eastAsia" w:ascii="黑体" w:hAnsi="黑体" w:eastAsia="黑体" w:cs="Times New Roman"/>
          <w:kern w:val="0"/>
          <w:sz w:val="32"/>
          <w:szCs w:val="32"/>
        </w:rPr>
        <w:t>技术指标参数要求明细</w:t>
      </w:r>
    </w:p>
    <w:tbl>
      <w:tblPr>
        <w:tblStyle w:val="18"/>
        <w:tblW w:w="8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160"/>
        <w:gridCol w:w="392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908"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序号</w:t>
            </w:r>
          </w:p>
        </w:tc>
        <w:tc>
          <w:tcPr>
            <w:tcW w:w="216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技术和性能参数名称</w:t>
            </w:r>
          </w:p>
        </w:tc>
        <w:tc>
          <w:tcPr>
            <w:tcW w:w="3924"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技术参数和性能要求</w:t>
            </w:r>
          </w:p>
        </w:tc>
        <w:tc>
          <w:tcPr>
            <w:tcW w:w="1092"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08"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1</w:t>
            </w:r>
          </w:p>
        </w:tc>
        <w:tc>
          <w:tcPr>
            <w:tcW w:w="216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设备使用需求</w:t>
            </w:r>
          </w:p>
        </w:tc>
        <w:tc>
          <w:tcPr>
            <w:tcW w:w="3924"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b/>
                <w:bCs/>
                <w:kern w:val="0"/>
                <w:szCs w:val="21"/>
              </w:rPr>
            </w:pPr>
          </w:p>
        </w:tc>
        <w:tc>
          <w:tcPr>
            <w:tcW w:w="1092"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设备用途</w:t>
            </w:r>
          </w:p>
        </w:tc>
        <w:tc>
          <w:tcPr>
            <w:tcW w:w="3924"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ascii="宋体" w:hAnsi="宋体" w:cs="宋体"/>
                <w:color w:val="000000"/>
                <w:kern w:val="0"/>
                <w:szCs w:val="21"/>
              </w:rPr>
            </w:pPr>
            <w:r>
              <w:rPr>
                <w:rFonts w:hint="eastAsia" w:ascii="宋体" w:hAnsi="宋体" w:cs="宋体"/>
                <w:color w:val="000000"/>
                <w:kern w:val="0"/>
                <w:szCs w:val="21"/>
              </w:rPr>
              <w:t>用于睡眠呼吸暂停综合症、心脑血管、神经精神方面等患者的检查</w:t>
            </w:r>
          </w:p>
        </w:tc>
        <w:tc>
          <w:tcPr>
            <w:tcW w:w="1092"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8"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1.2</w:t>
            </w:r>
          </w:p>
        </w:tc>
        <w:tc>
          <w:tcPr>
            <w:tcW w:w="2160" w:type="dxa"/>
            <w:shd w:val="clear" w:color="000000" w:fill="auto"/>
            <w:vAlign w:val="center"/>
          </w:tcPr>
          <w:p>
            <w:pPr>
              <w:widowControl/>
              <w:jc w:val="center"/>
              <w:rPr>
                <w:rFonts w:cs="Times New Roman" w:asciiTheme="majorEastAsia" w:hAnsiTheme="majorEastAsia" w:eastAsiaTheme="majorEastAsia"/>
                <w:color w:val="000000"/>
                <w:kern w:val="0"/>
                <w:szCs w:val="21"/>
              </w:rPr>
            </w:pPr>
            <w:r>
              <w:rPr>
                <w:rFonts w:cs="Times New Roman" w:asciiTheme="majorEastAsia" w:hAnsiTheme="majorEastAsia" w:eastAsiaTheme="majorEastAsia"/>
                <w:color w:val="000000"/>
                <w:kern w:val="0"/>
                <w:szCs w:val="21"/>
              </w:rPr>
              <w:t>实验对象</w:t>
            </w:r>
          </w:p>
        </w:tc>
        <w:tc>
          <w:tcPr>
            <w:tcW w:w="3924" w:type="dxa"/>
            <w:shd w:val="clear" w:color="000000" w:fill="auto"/>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ascii="宋体" w:hAnsi="宋体" w:cs="宋体"/>
                <w:color w:val="000000"/>
                <w:kern w:val="0"/>
                <w:szCs w:val="21"/>
              </w:rPr>
            </w:pPr>
            <w:r>
              <w:rPr>
                <w:rFonts w:hint="eastAsia" w:ascii="宋体" w:hAnsi="宋体" w:cs="宋体"/>
                <w:color w:val="000000"/>
                <w:kern w:val="0"/>
                <w:szCs w:val="21"/>
              </w:rPr>
              <w:t>深度昏迷和手术患者</w:t>
            </w:r>
          </w:p>
        </w:tc>
        <w:tc>
          <w:tcPr>
            <w:tcW w:w="1092" w:type="dxa"/>
            <w:shd w:val="clear" w:color="000000" w:fill="auto"/>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8"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bCs/>
                <w:kern w:val="0"/>
                <w:szCs w:val="21"/>
              </w:rPr>
              <w:t>1.3</w:t>
            </w:r>
          </w:p>
        </w:tc>
        <w:tc>
          <w:tcPr>
            <w:tcW w:w="2160" w:type="dxa"/>
            <w:shd w:val="clear" w:color="000000" w:fill="auto"/>
            <w:vAlign w:val="center"/>
          </w:tcPr>
          <w:p>
            <w:pPr>
              <w:widowControl/>
              <w:jc w:val="center"/>
              <w:rPr>
                <w:rFonts w:cs="Times New Roman" w:asciiTheme="majorEastAsia" w:hAnsiTheme="majorEastAsia" w:eastAsiaTheme="majorEastAsia"/>
                <w:color w:val="000000"/>
                <w:kern w:val="0"/>
                <w:szCs w:val="21"/>
              </w:rPr>
            </w:pPr>
            <w:r>
              <w:rPr>
                <w:rFonts w:cs="Times New Roman" w:asciiTheme="majorEastAsia" w:hAnsiTheme="majorEastAsia" w:eastAsiaTheme="majorEastAsia"/>
                <w:bCs/>
                <w:kern w:val="0"/>
                <w:szCs w:val="21"/>
              </w:rPr>
              <w:t>特殊功能需求</w:t>
            </w:r>
          </w:p>
        </w:tc>
        <w:tc>
          <w:tcPr>
            <w:tcW w:w="3924" w:type="dxa"/>
            <w:shd w:val="clear" w:color="000000" w:fill="auto"/>
            <w:vAlign w:val="center"/>
          </w:tcPr>
          <w:p>
            <w:pPr>
              <w:keepNext w:val="0"/>
              <w:keepLines w:val="0"/>
              <w:pageBreakBefore w:val="0"/>
              <w:kinsoku/>
              <w:wordWrap/>
              <w:overflowPunct/>
              <w:topLinePunct w:val="0"/>
              <w:autoSpaceDE/>
              <w:autoSpaceDN/>
              <w:bidi w:val="0"/>
              <w:adjustRightInd w:val="0"/>
              <w:snapToGrid w:val="0"/>
              <w:spacing w:before="156" w:beforeLines="50" w:line="440" w:lineRule="exact"/>
              <w:jc w:val="left"/>
              <w:textAlignment w:val="auto"/>
              <w:rPr>
                <w:rFonts w:cs="Times New Roman" w:asciiTheme="majorEastAsia" w:hAnsiTheme="majorEastAsia" w:eastAsiaTheme="majorEastAsia"/>
                <w:szCs w:val="21"/>
              </w:rPr>
            </w:pPr>
          </w:p>
        </w:tc>
        <w:tc>
          <w:tcPr>
            <w:tcW w:w="1092" w:type="dxa"/>
            <w:shd w:val="clear" w:color="000000" w:fill="auto"/>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8"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2</w:t>
            </w:r>
          </w:p>
        </w:tc>
        <w:tc>
          <w:tcPr>
            <w:tcW w:w="216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主要技术参数</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（一行只写一个参数）</w:t>
            </w:r>
          </w:p>
        </w:tc>
        <w:tc>
          <w:tcPr>
            <w:tcW w:w="3924"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p>
        </w:tc>
        <w:tc>
          <w:tcPr>
            <w:tcW w:w="1092"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p>
        </w:tc>
        <w:tc>
          <w:tcPr>
            <w:tcW w:w="3924" w:type="dxa"/>
            <w:vAlign w:val="center"/>
          </w:tcPr>
          <w:p>
            <w:pPr>
              <w:keepNext w:val="0"/>
              <w:keepLines w:val="0"/>
              <w:pageBreakBefore w:val="0"/>
              <w:kinsoku/>
              <w:wordWrap/>
              <w:overflowPunct/>
              <w:topLinePunct w:val="0"/>
              <w:autoSpaceDE/>
              <w:autoSpaceDN/>
              <w:bidi w:val="0"/>
              <w:spacing w:line="440" w:lineRule="exact"/>
              <w:jc w:val="left"/>
              <w:textAlignment w:val="auto"/>
              <w:rPr>
                <w:szCs w:val="21"/>
              </w:rPr>
            </w:pPr>
            <w:r>
              <w:rPr>
                <w:rFonts w:hint="eastAsia"/>
                <w:szCs w:val="21"/>
              </w:rPr>
              <w:t>数据处理呈现能力：高频信号（如：EEG，ECG，EMG，EOG）与低频信号（如血氧、口鼻气流、体位、腿动等）可以分别采用≥12种不同扫描速度同屏显示，便于医生直观的进行睡眠分析。</w:t>
            </w:r>
          </w:p>
        </w:tc>
        <w:tc>
          <w:tcPr>
            <w:tcW w:w="1092" w:type="dxa"/>
            <w:vAlign w:val="center"/>
          </w:tcPr>
          <w:p>
            <w:pPr>
              <w:spacing w:line="276"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2.2</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★参数2</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异常参数预警功能：如血氧过低、脉率异常、呼吸机面罩漏气、呼吸机压力阈值、经皮CO2阈值、呼末CO2阈值等可声光报警。</w:t>
            </w:r>
          </w:p>
        </w:tc>
        <w:tc>
          <w:tcPr>
            <w:tcW w:w="1092" w:type="dxa"/>
            <w:vAlign w:val="center"/>
          </w:tcPr>
          <w:p>
            <w:pPr>
              <w:spacing w:line="276"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2.3</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★参数3</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可兼容多种规格睡眠数据，不与硬件绑定：数据可转成欧洲标准数据EDF格式输出、MATLAB 格式输出、ASCII 格式输出。睡眠分期、呼吸事件分析结果可以输出ASCII或TXT文件，便于导入分析结果用于科研</w:t>
            </w:r>
          </w:p>
        </w:tc>
        <w:tc>
          <w:tcPr>
            <w:tcW w:w="1092" w:type="dxa"/>
            <w:vAlign w:val="center"/>
          </w:tcPr>
          <w:p>
            <w:pPr>
              <w:spacing w:line="276"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2.4</w:t>
            </w:r>
          </w:p>
        </w:tc>
        <w:tc>
          <w:tcPr>
            <w:tcW w:w="216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参数4</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具备教学模式：不同医生可对同一病例进行分析，分析结果可进行匹配对比，软件能自动标记不同之处，并提供链接快速跳转相应原始数据界面，实现教学模式</w:t>
            </w:r>
          </w:p>
        </w:tc>
        <w:tc>
          <w:tcPr>
            <w:tcW w:w="1092" w:type="dxa"/>
            <w:vAlign w:val="center"/>
          </w:tcPr>
          <w:p>
            <w:pPr>
              <w:widowControl/>
              <w:spacing w:line="276"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2.5</w:t>
            </w:r>
          </w:p>
        </w:tc>
        <w:tc>
          <w:tcPr>
            <w:tcW w:w="2160"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参数5</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睡眠软件符合最新的AASM标准，R&amp;K和AASM互相转换，具有全中文操作界面、全中文报告，并具有婴幼儿、儿童、成人三种分析模式</w:t>
            </w:r>
          </w:p>
        </w:tc>
        <w:tc>
          <w:tcPr>
            <w:tcW w:w="1092" w:type="dxa"/>
            <w:vAlign w:val="center"/>
          </w:tcPr>
          <w:p>
            <w:pPr>
              <w:widowControl/>
              <w:spacing w:line="276"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2.6</w:t>
            </w:r>
          </w:p>
        </w:tc>
        <w:tc>
          <w:tcPr>
            <w:tcW w:w="2160"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▲参数6</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CAP分析并可出具报告、REM密度分析并可出具报告、RERA分析上气道呼吸努力相关性微觉醒并可出具报告</w:t>
            </w:r>
          </w:p>
        </w:tc>
        <w:tc>
          <w:tcPr>
            <w:tcW w:w="1092" w:type="dxa"/>
            <w:vAlign w:val="center"/>
          </w:tcPr>
          <w:p>
            <w:pPr>
              <w:widowControl/>
              <w:spacing w:line="276"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2.7</w:t>
            </w:r>
          </w:p>
        </w:tc>
        <w:tc>
          <w:tcPr>
            <w:tcW w:w="2160"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参数7</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软件具备在记录病人数据的同时可对数据进行实时自动或手动分析；软件具备自动分析和人工分析两种方式</w:t>
            </w:r>
          </w:p>
        </w:tc>
        <w:tc>
          <w:tcPr>
            <w:tcW w:w="1092" w:type="dxa"/>
            <w:vAlign w:val="center"/>
          </w:tcPr>
          <w:p>
            <w:pPr>
              <w:widowControl/>
              <w:spacing w:line="276"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8</w:t>
            </w:r>
          </w:p>
        </w:tc>
        <w:tc>
          <w:tcPr>
            <w:tcW w:w="2160"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8</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采用开放式通道设置，可任意增加信号导联</w:t>
            </w:r>
          </w:p>
        </w:tc>
        <w:tc>
          <w:tcPr>
            <w:tcW w:w="109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9</w:t>
            </w:r>
          </w:p>
        </w:tc>
        <w:tc>
          <w:tcPr>
            <w:tcW w:w="216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9</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睡眠分期回放分析功能：以色标标记睡眠各期纺锤波Spindles，K复合波，Delta波，REM期的反相眼球运动等。为医生进行睡眠分期提供帮助，并可进行远程呼吸机压力滴定、多发小睡试验（MSLT）和清醒维持试验（MWT）</w:t>
            </w:r>
          </w:p>
        </w:tc>
        <w:tc>
          <w:tcPr>
            <w:tcW w:w="1092" w:type="dxa"/>
            <w:vAlign w:val="center"/>
          </w:tcPr>
          <w:p>
            <w:pPr>
              <w:widowControl/>
              <w:spacing w:line="276" w:lineRule="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10</w:t>
            </w:r>
          </w:p>
        </w:tc>
        <w:tc>
          <w:tcPr>
            <w:tcW w:w="216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10</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学术研究数据管理功能：复制数据、移动数据、删除数据、剪辑数据、合并片段数据、刻录数据、导入EDF数据等功能</w:t>
            </w:r>
          </w:p>
        </w:tc>
        <w:tc>
          <w:tcPr>
            <w:tcW w:w="1092" w:type="dxa"/>
            <w:vAlign w:val="center"/>
          </w:tcPr>
          <w:p>
            <w:pPr>
              <w:widowControl/>
              <w:spacing w:line="276" w:lineRule="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11</w:t>
            </w:r>
          </w:p>
        </w:tc>
        <w:tc>
          <w:tcPr>
            <w:tcW w:w="216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11</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采用Word可读的中英文报告格式，使用者可根据需要进行任意编辑，可以产生整夜、分夜报告，得到诊断和治疗情况</w:t>
            </w:r>
          </w:p>
        </w:tc>
        <w:tc>
          <w:tcPr>
            <w:tcW w:w="1092" w:type="dxa"/>
            <w:vAlign w:val="center"/>
          </w:tcPr>
          <w:p>
            <w:pPr>
              <w:widowControl/>
              <w:spacing w:line="276" w:lineRule="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2</w:t>
            </w:r>
          </w:p>
        </w:tc>
        <w:tc>
          <w:tcPr>
            <w:tcW w:w="2160"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2</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Cs w:val="21"/>
              </w:rPr>
            </w:pPr>
            <w:r>
              <w:rPr>
                <w:rFonts w:hint="eastAsia"/>
                <w:szCs w:val="21"/>
              </w:rPr>
              <w:t>数据采集和回顾时，可实时添加或改变灯光状态等事件</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3</w:t>
            </w:r>
          </w:p>
        </w:tc>
        <w:tc>
          <w:tcPr>
            <w:tcW w:w="2160"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3</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highlight w:val="yellow"/>
              </w:rPr>
            </w:pPr>
            <w:r>
              <w:rPr>
                <w:rFonts w:hint="eastAsia"/>
                <w:szCs w:val="21"/>
              </w:rPr>
              <w:t>睡眠紊乱事件自动分析软件：呼吸事件、血氧饱和度、自发性微觉醒、运动相关性微觉醒、呼吸相关性微觉醒、PLM腿动、鼾声及其他自定义事件</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8" w:type="dxa"/>
          </w:tcPr>
          <w:p>
            <w:pPr>
              <w:jc w:val="center"/>
              <w:rPr>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4</w:t>
            </w:r>
          </w:p>
        </w:tc>
        <w:tc>
          <w:tcPr>
            <w:tcW w:w="2160" w:type="dxa"/>
          </w:tcPr>
          <w:p>
            <w:pPr>
              <w:jc w:val="center"/>
              <w:rPr>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4</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每帧都有纺锤波、Delta波等的自动数量统计图</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8" w:type="dxa"/>
          </w:tcPr>
          <w:p>
            <w:pPr>
              <w:jc w:val="center"/>
              <w:rPr>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5</w:t>
            </w:r>
          </w:p>
        </w:tc>
        <w:tc>
          <w:tcPr>
            <w:tcW w:w="2160" w:type="dxa"/>
          </w:tcPr>
          <w:p>
            <w:pPr>
              <w:jc w:val="center"/>
              <w:rPr>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5</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具备RBD特殊事件分析软件，可以分析REM期肌张力增高程度，并可出具报告，给帕金森等神经科方面的疾病提供帮助</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8" w:type="dxa"/>
          </w:tcPr>
          <w:p>
            <w:pPr>
              <w:jc w:val="center"/>
              <w:rPr>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6</w:t>
            </w:r>
          </w:p>
        </w:tc>
        <w:tc>
          <w:tcPr>
            <w:tcW w:w="2160" w:type="dxa"/>
          </w:tcPr>
          <w:p>
            <w:pPr>
              <w:jc w:val="center"/>
              <w:rPr>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6</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FFT脑能量分析软件，可以对整夜脑电分析也可以片段分析，统计不同脑波的频域范围，并提供数值分析报告</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8" w:type="dxa"/>
          </w:tcPr>
          <w:p>
            <w:pPr>
              <w:jc w:val="center"/>
              <w:rPr>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7</w:t>
            </w:r>
          </w:p>
        </w:tc>
        <w:tc>
          <w:tcPr>
            <w:tcW w:w="2160" w:type="dxa"/>
          </w:tcPr>
          <w:p>
            <w:pPr>
              <w:jc w:val="center"/>
              <w:rPr>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7</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具备呼吸流速-容量环，监测上呼吸道阻力；具备胸腹相位二维图，帮助判断胸腹呼吸努力程度和矛盾呼吸</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8" w:type="dxa"/>
          </w:tcPr>
          <w:p>
            <w:pPr>
              <w:jc w:val="center"/>
              <w:rPr>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8</w:t>
            </w:r>
          </w:p>
        </w:tc>
        <w:tc>
          <w:tcPr>
            <w:tcW w:w="2160" w:type="dxa"/>
          </w:tcPr>
          <w:p>
            <w:pPr>
              <w:jc w:val="center"/>
              <w:rPr>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8</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软件具备连续小波频谱转换图查看功能、快速傅里叶变换直方图查看功能</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8" w:type="dxa"/>
          </w:tcPr>
          <w:p>
            <w:pPr>
              <w:jc w:val="center"/>
              <w:rPr>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9</w:t>
            </w:r>
          </w:p>
        </w:tc>
        <w:tc>
          <w:tcPr>
            <w:tcW w:w="2160" w:type="dxa"/>
          </w:tcPr>
          <w:p>
            <w:pPr>
              <w:jc w:val="center"/>
              <w:rPr>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9</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具备PTT（脉搏传输时间）功能反映睡眠呼吸事件发生时的血压变化趋势，并能判断血压与呼吸事件相关性</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8" w:type="dxa"/>
          </w:tcPr>
          <w:p>
            <w:pPr>
              <w:jc w:val="center"/>
              <w:rPr>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20</w:t>
            </w:r>
          </w:p>
        </w:tc>
        <w:tc>
          <w:tcPr>
            <w:tcW w:w="2160" w:type="dxa"/>
          </w:tcPr>
          <w:p>
            <w:pPr>
              <w:jc w:val="center"/>
              <w:rPr>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20</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专业PSG多导睡眠采集分析能力：睡眠分期、呼吸事件、心血管事件分析、体位分析、腿动分析、微觉醒事件分析、异态睡眠分析等</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8"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3</w:t>
            </w:r>
          </w:p>
        </w:tc>
        <w:tc>
          <w:tcPr>
            <w:tcW w:w="2160" w:type="dxa"/>
            <w:vAlign w:val="center"/>
          </w:tcPr>
          <w:p>
            <w:pPr>
              <w:widowControl/>
              <w:ind w:firstLine="201" w:firstLineChars="100"/>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配置需求</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（一行只写一个配置）</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配置1</w:t>
            </w:r>
          </w:p>
        </w:tc>
        <w:tc>
          <w:tcPr>
            <w:tcW w:w="3924" w:type="dxa"/>
            <w:vAlign w:val="center"/>
          </w:tcPr>
          <w:p>
            <w:pPr>
              <w:pStyle w:val="52"/>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软件包，包括：</w:t>
            </w:r>
          </w:p>
          <w:p>
            <w:pPr>
              <w:pStyle w:val="52"/>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数据采集软件；</w:t>
            </w:r>
          </w:p>
          <w:p>
            <w:pPr>
              <w:pStyle w:val="52"/>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数据分析软件，包括回放、自动及手动分析、用户自定义报告等；</w:t>
            </w:r>
          </w:p>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ascii="宋体" w:hAnsi="宋体"/>
                <w:color w:val="000000"/>
                <w:szCs w:val="21"/>
              </w:rPr>
              <w:t>数据管理软件；</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8"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4</w:t>
            </w:r>
          </w:p>
        </w:tc>
        <w:tc>
          <w:tcPr>
            <w:tcW w:w="216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售后服务</w:t>
            </w:r>
          </w:p>
        </w:tc>
        <w:tc>
          <w:tcPr>
            <w:tcW w:w="3924"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p>
        </w:tc>
        <w:tc>
          <w:tcPr>
            <w:tcW w:w="1092" w:type="dxa"/>
            <w:vAlign w:val="center"/>
          </w:tcPr>
          <w:p>
            <w:pPr>
              <w:widowControl/>
              <w:spacing w:line="276" w:lineRule="auto"/>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保修年限</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≥3年</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4.2</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出现故障回应时间</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维修到达现场时间≤ 6小时（本地）</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维修到达现场时间≤24小时（外地）</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4.3</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维修支持</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配件供应时间≥10年</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4.4</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耗材及零配件</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提供耗材及主要零配件目录（含报价）</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4.5</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维修资料</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提供详细操作手册、维修保养手册、安装手册等</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4.6</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维修工具</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提供维修专用工具1套</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4.7</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预防性维修</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/定期维护保养</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保修期内提供定期维护保养服务</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4.8</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维修密码支持</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开放</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4.9</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升级</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终身免费软件升级</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4.10</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使用培训</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8"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工程师培训</w:t>
            </w:r>
          </w:p>
        </w:tc>
        <w:tc>
          <w:tcPr>
            <w:tcW w:w="392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092" w:type="dxa"/>
            <w:vAlign w:val="center"/>
          </w:tcPr>
          <w:p>
            <w:pPr>
              <w:widowControl/>
              <w:spacing w:line="276" w:lineRule="auto"/>
              <w:jc w:val="center"/>
              <w:rPr>
                <w:rFonts w:cs="Times New Roman" w:asciiTheme="majorEastAsia" w:hAnsiTheme="majorEastAsia" w:eastAsiaTheme="majorEastAsia"/>
                <w:kern w:val="0"/>
                <w:szCs w:val="21"/>
              </w:rPr>
            </w:pPr>
          </w:p>
        </w:tc>
      </w:tr>
    </w:tbl>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jc w:val="both"/>
        <w:rPr>
          <w:rFonts w:ascii="黑体" w:hAnsi="黑体" w:eastAsia="黑体" w:cs="Times New Roman"/>
          <w:kern w:val="0"/>
          <w:sz w:val="32"/>
          <w:szCs w:val="32"/>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2</w:t>
    </w:r>
    <w:r>
      <w:rPr>
        <w:rStyle w:val="21"/>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4</w:t>
    </w:r>
    <w:r>
      <w:rPr>
        <w:rStyle w:val="21"/>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1"/>
        <w:sz w:val="24"/>
        <w:szCs w:val="24"/>
      </w:rPr>
      <w:fldChar w:fldCharType="begin"/>
    </w:r>
    <w:r>
      <w:rPr>
        <w:rStyle w:val="21"/>
        <w:sz w:val="24"/>
        <w:szCs w:val="24"/>
      </w:rPr>
      <w:instrText xml:space="preserve"> PAGE </w:instrText>
    </w:r>
    <w:r>
      <w:rPr>
        <w:rStyle w:val="21"/>
        <w:sz w:val="24"/>
        <w:szCs w:val="24"/>
      </w:rPr>
      <w:fldChar w:fldCharType="separate"/>
    </w:r>
    <w:r>
      <w:rPr>
        <w:rStyle w:val="21"/>
        <w:sz w:val="24"/>
        <w:szCs w:val="24"/>
      </w:rPr>
      <w:t>61</w:t>
    </w:r>
    <w:r>
      <w:rPr>
        <w:rStyle w:val="21"/>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97"/>
  <w:drawingGridVerticalSpacing w:val="2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12CB7"/>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0F68D1"/>
    <w:rsid w:val="00101A4E"/>
    <w:rsid w:val="001146EE"/>
    <w:rsid w:val="0011544D"/>
    <w:rsid w:val="001175A3"/>
    <w:rsid w:val="00126E2A"/>
    <w:rsid w:val="0013520A"/>
    <w:rsid w:val="001355D4"/>
    <w:rsid w:val="00140433"/>
    <w:rsid w:val="00141DF3"/>
    <w:rsid w:val="00146B8C"/>
    <w:rsid w:val="00151352"/>
    <w:rsid w:val="00151D52"/>
    <w:rsid w:val="00153547"/>
    <w:rsid w:val="00154A37"/>
    <w:rsid w:val="00156746"/>
    <w:rsid w:val="00162BA1"/>
    <w:rsid w:val="00165CC1"/>
    <w:rsid w:val="00167E17"/>
    <w:rsid w:val="00172231"/>
    <w:rsid w:val="00172F73"/>
    <w:rsid w:val="00174EC9"/>
    <w:rsid w:val="00187861"/>
    <w:rsid w:val="001A083F"/>
    <w:rsid w:val="001A14C3"/>
    <w:rsid w:val="001A345F"/>
    <w:rsid w:val="001A4FD9"/>
    <w:rsid w:val="001B14E3"/>
    <w:rsid w:val="001B7705"/>
    <w:rsid w:val="001C1503"/>
    <w:rsid w:val="001D0023"/>
    <w:rsid w:val="001D1B14"/>
    <w:rsid w:val="001D1F7F"/>
    <w:rsid w:val="001E3296"/>
    <w:rsid w:val="001E34F3"/>
    <w:rsid w:val="001E460B"/>
    <w:rsid w:val="00214820"/>
    <w:rsid w:val="00224E5F"/>
    <w:rsid w:val="00226556"/>
    <w:rsid w:val="00230849"/>
    <w:rsid w:val="002425C9"/>
    <w:rsid w:val="002474B3"/>
    <w:rsid w:val="00262C6B"/>
    <w:rsid w:val="00265A44"/>
    <w:rsid w:val="002666B4"/>
    <w:rsid w:val="002A09F2"/>
    <w:rsid w:val="002A2C39"/>
    <w:rsid w:val="002A65C6"/>
    <w:rsid w:val="002B125A"/>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174CE"/>
    <w:rsid w:val="00320218"/>
    <w:rsid w:val="003222A0"/>
    <w:rsid w:val="00326B80"/>
    <w:rsid w:val="003316B1"/>
    <w:rsid w:val="003407DF"/>
    <w:rsid w:val="00341885"/>
    <w:rsid w:val="003470EC"/>
    <w:rsid w:val="00354E1F"/>
    <w:rsid w:val="00360C37"/>
    <w:rsid w:val="00362AD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945ED"/>
    <w:rsid w:val="004B0444"/>
    <w:rsid w:val="004B75DB"/>
    <w:rsid w:val="004C0035"/>
    <w:rsid w:val="004C3916"/>
    <w:rsid w:val="004E0DFC"/>
    <w:rsid w:val="004E0F38"/>
    <w:rsid w:val="004E18EC"/>
    <w:rsid w:val="004E35E3"/>
    <w:rsid w:val="004E6AEB"/>
    <w:rsid w:val="004F142D"/>
    <w:rsid w:val="004F5E12"/>
    <w:rsid w:val="00503A7C"/>
    <w:rsid w:val="00511818"/>
    <w:rsid w:val="005161B6"/>
    <w:rsid w:val="005222C3"/>
    <w:rsid w:val="00522CA7"/>
    <w:rsid w:val="00531671"/>
    <w:rsid w:val="00532B1E"/>
    <w:rsid w:val="00533850"/>
    <w:rsid w:val="00554F2D"/>
    <w:rsid w:val="00560BBB"/>
    <w:rsid w:val="00563E2F"/>
    <w:rsid w:val="00564319"/>
    <w:rsid w:val="00564B59"/>
    <w:rsid w:val="00576044"/>
    <w:rsid w:val="00577AD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0E72"/>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07A4"/>
    <w:rsid w:val="006B1285"/>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D5FA0"/>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17F"/>
    <w:rsid w:val="00977600"/>
    <w:rsid w:val="00977E68"/>
    <w:rsid w:val="00993AD3"/>
    <w:rsid w:val="009942A5"/>
    <w:rsid w:val="009959AD"/>
    <w:rsid w:val="00997FA3"/>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692D"/>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022D"/>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3BE6"/>
    <w:rsid w:val="00E04BC0"/>
    <w:rsid w:val="00E12058"/>
    <w:rsid w:val="00E20928"/>
    <w:rsid w:val="00E267CB"/>
    <w:rsid w:val="00E26DAD"/>
    <w:rsid w:val="00E3174A"/>
    <w:rsid w:val="00E33E19"/>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EE3397"/>
    <w:rsid w:val="00F00713"/>
    <w:rsid w:val="00F01F2D"/>
    <w:rsid w:val="00F02BBD"/>
    <w:rsid w:val="00F11CF3"/>
    <w:rsid w:val="00F24887"/>
    <w:rsid w:val="00F2646C"/>
    <w:rsid w:val="00F32C5F"/>
    <w:rsid w:val="00F34E54"/>
    <w:rsid w:val="00F42021"/>
    <w:rsid w:val="00F54271"/>
    <w:rsid w:val="00F54CD2"/>
    <w:rsid w:val="00F5553D"/>
    <w:rsid w:val="00F55708"/>
    <w:rsid w:val="00F61B44"/>
    <w:rsid w:val="00F74336"/>
    <w:rsid w:val="00F75355"/>
    <w:rsid w:val="00F76A38"/>
    <w:rsid w:val="00F77CF0"/>
    <w:rsid w:val="00F94D11"/>
    <w:rsid w:val="00FA2F89"/>
    <w:rsid w:val="00FA4E4F"/>
    <w:rsid w:val="00FB2E1B"/>
    <w:rsid w:val="00FB5116"/>
    <w:rsid w:val="00FB5E65"/>
    <w:rsid w:val="00FC15F7"/>
    <w:rsid w:val="00FC33D8"/>
    <w:rsid w:val="00FD5363"/>
    <w:rsid w:val="00FE133A"/>
    <w:rsid w:val="00FE2A78"/>
    <w:rsid w:val="00FF5ABB"/>
    <w:rsid w:val="00FF768E"/>
    <w:rsid w:val="01674E44"/>
    <w:rsid w:val="04590D0F"/>
    <w:rsid w:val="08B62128"/>
    <w:rsid w:val="09A40D29"/>
    <w:rsid w:val="0A5C1B94"/>
    <w:rsid w:val="102B434F"/>
    <w:rsid w:val="106273D0"/>
    <w:rsid w:val="11281D1B"/>
    <w:rsid w:val="150328F4"/>
    <w:rsid w:val="15791DDE"/>
    <w:rsid w:val="16574DE8"/>
    <w:rsid w:val="18B37193"/>
    <w:rsid w:val="1C4D154A"/>
    <w:rsid w:val="1DC925CD"/>
    <w:rsid w:val="208845A8"/>
    <w:rsid w:val="21A14F0A"/>
    <w:rsid w:val="21FC654C"/>
    <w:rsid w:val="254356CF"/>
    <w:rsid w:val="26415119"/>
    <w:rsid w:val="277A6B57"/>
    <w:rsid w:val="2A2C062B"/>
    <w:rsid w:val="2ACC255E"/>
    <w:rsid w:val="2B4D0578"/>
    <w:rsid w:val="2CE71628"/>
    <w:rsid w:val="301853D7"/>
    <w:rsid w:val="32FE10CF"/>
    <w:rsid w:val="33465FDB"/>
    <w:rsid w:val="35544FFB"/>
    <w:rsid w:val="363B1536"/>
    <w:rsid w:val="3A52120A"/>
    <w:rsid w:val="3D6B490A"/>
    <w:rsid w:val="3DBC68DF"/>
    <w:rsid w:val="3E073EB6"/>
    <w:rsid w:val="3EDF2D88"/>
    <w:rsid w:val="3F4241CE"/>
    <w:rsid w:val="420B02F0"/>
    <w:rsid w:val="447F6927"/>
    <w:rsid w:val="46972AE6"/>
    <w:rsid w:val="46CD7973"/>
    <w:rsid w:val="47706F58"/>
    <w:rsid w:val="491515EC"/>
    <w:rsid w:val="494C3B7B"/>
    <w:rsid w:val="49CE7E9F"/>
    <w:rsid w:val="4A5E6FD0"/>
    <w:rsid w:val="4ACB072D"/>
    <w:rsid w:val="4FCA1AE7"/>
    <w:rsid w:val="4FEA32B1"/>
    <w:rsid w:val="515E7843"/>
    <w:rsid w:val="53D5535F"/>
    <w:rsid w:val="54330C7D"/>
    <w:rsid w:val="550E0A2A"/>
    <w:rsid w:val="5658221F"/>
    <w:rsid w:val="57D70A86"/>
    <w:rsid w:val="5B60725E"/>
    <w:rsid w:val="5BEC46B5"/>
    <w:rsid w:val="5D9F3BE2"/>
    <w:rsid w:val="5E363DA4"/>
    <w:rsid w:val="5ED372CF"/>
    <w:rsid w:val="63B044E8"/>
    <w:rsid w:val="63E02776"/>
    <w:rsid w:val="68737816"/>
    <w:rsid w:val="68B37A76"/>
    <w:rsid w:val="6E8678FA"/>
    <w:rsid w:val="6F342A46"/>
    <w:rsid w:val="70292344"/>
    <w:rsid w:val="70C826E4"/>
    <w:rsid w:val="72A75B9D"/>
    <w:rsid w:val="788126D0"/>
    <w:rsid w:val="7A74460C"/>
    <w:rsid w:val="7A9D3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4"/>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5"/>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30"/>
    <w:qFormat/>
    <w:uiPriority w:val="0"/>
    <w:rPr>
      <w:rFonts w:ascii="Times New Roman" w:hAnsi="Times New Roman" w:eastAsia="宋体" w:cs="Times New Roman"/>
      <w:kern w:val="0"/>
      <w:szCs w:val="24"/>
    </w:rPr>
  </w:style>
  <w:style w:type="paragraph" w:styleId="7">
    <w:name w:val="Body Text Indent"/>
    <w:basedOn w:val="1"/>
    <w:link w:val="29"/>
    <w:qFormat/>
    <w:uiPriority w:val="0"/>
    <w:pPr>
      <w:ind w:firstLine="555"/>
    </w:pPr>
    <w:rPr>
      <w:rFonts w:ascii="Times New Roman" w:hAnsi="Times New Roman" w:eastAsia="宋体" w:cs="Times New Roman"/>
      <w:kern w:val="0"/>
      <w:sz w:val="24"/>
      <w:szCs w:val="24"/>
    </w:rPr>
  </w:style>
  <w:style w:type="paragraph" w:styleId="8">
    <w:name w:val="Plain Text"/>
    <w:basedOn w:val="1"/>
    <w:link w:val="36"/>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8"/>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7"/>
    <w:semiHidden/>
    <w:qFormat/>
    <w:uiPriority w:val="0"/>
    <w:rPr>
      <w:rFonts w:ascii="Times New Roman" w:hAnsi="Times New Roman" w:eastAsia="宋体" w:cs="Times New Roman"/>
      <w:kern w:val="0"/>
      <w:sz w:val="18"/>
      <w:szCs w:val="18"/>
    </w:rPr>
  </w:style>
  <w:style w:type="paragraph" w:styleId="12">
    <w:name w:val="footer"/>
    <w:basedOn w:val="1"/>
    <w:link w:val="2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1"/>
    <w:qFormat/>
    <w:uiPriority w:val="0"/>
    <w:pPr>
      <w:jc w:val="center"/>
    </w:pPr>
    <w:rPr>
      <w:rFonts w:ascii="Times New Roman" w:hAnsi="Times New Roman" w:eastAsia="宋体" w:cs="Times New Roman"/>
      <w:kern w:val="0"/>
      <w:szCs w:val="24"/>
    </w:rPr>
  </w:style>
  <w:style w:type="paragraph" w:styleId="16">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17">
    <w:name w:val="index 1"/>
    <w:basedOn w:val="1"/>
    <w:next w:val="1"/>
    <w:semiHidden/>
    <w:qFormat/>
    <w:uiPriority w:val="0"/>
    <w:rPr>
      <w:rFonts w:ascii="Times New Roman" w:hAnsi="Times New Roman" w:eastAsia="宋体" w:cs="Times New Roman"/>
      <w:kern w:val="0"/>
      <w:sz w:val="24"/>
      <w:szCs w:val="24"/>
    </w:rPr>
  </w:style>
  <w:style w:type="table" w:styleId="19">
    <w:name w:val="Table Grid"/>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page number"/>
    <w:basedOn w:val="20"/>
    <w:qFormat/>
    <w:uiPriority w:val="0"/>
    <w:rPr>
      <w:rFonts w:cs="Times New Roman"/>
    </w:rPr>
  </w:style>
  <w:style w:type="character" w:styleId="22">
    <w:name w:val="Hyperlink"/>
    <w:basedOn w:val="20"/>
    <w:qFormat/>
    <w:uiPriority w:val="99"/>
    <w:rPr>
      <w:rFonts w:cs="Times New Roman"/>
      <w:color w:val="0000FF"/>
      <w:u w:val="single"/>
    </w:rPr>
  </w:style>
  <w:style w:type="character" w:customStyle="1" w:styleId="23">
    <w:name w:val="标题 1 Char"/>
    <w:basedOn w:val="20"/>
    <w:link w:val="2"/>
    <w:qFormat/>
    <w:uiPriority w:val="0"/>
    <w:rPr>
      <w:rFonts w:ascii="Times New Roman" w:hAnsi="Times New Roman" w:eastAsia="宋体" w:cs="Times New Roman"/>
      <w:b/>
      <w:bCs/>
      <w:kern w:val="44"/>
      <w:sz w:val="44"/>
      <w:szCs w:val="44"/>
    </w:rPr>
  </w:style>
  <w:style w:type="character" w:customStyle="1" w:styleId="24">
    <w:name w:val="标题 2 Char"/>
    <w:basedOn w:val="20"/>
    <w:link w:val="3"/>
    <w:qFormat/>
    <w:uiPriority w:val="0"/>
    <w:rPr>
      <w:rFonts w:ascii="Arial" w:hAnsi="Arial" w:eastAsia="黑体" w:cs="Times New Roman"/>
      <w:b/>
      <w:kern w:val="0"/>
      <w:sz w:val="32"/>
      <w:szCs w:val="20"/>
    </w:rPr>
  </w:style>
  <w:style w:type="character" w:customStyle="1" w:styleId="25">
    <w:name w:val="页眉 Char"/>
    <w:basedOn w:val="20"/>
    <w:link w:val="13"/>
    <w:qFormat/>
    <w:uiPriority w:val="0"/>
    <w:rPr>
      <w:rFonts w:ascii="Times New Roman" w:hAnsi="Times New Roman" w:eastAsia="宋体" w:cs="Times New Roman"/>
      <w:kern w:val="0"/>
      <w:sz w:val="18"/>
      <w:szCs w:val="18"/>
    </w:rPr>
  </w:style>
  <w:style w:type="character" w:customStyle="1" w:styleId="26">
    <w:name w:val="页脚 Char"/>
    <w:basedOn w:val="20"/>
    <w:link w:val="12"/>
    <w:qFormat/>
    <w:uiPriority w:val="0"/>
    <w:rPr>
      <w:rFonts w:ascii="Times New Roman" w:hAnsi="Times New Roman" w:eastAsia="宋体" w:cs="Times New Roman"/>
      <w:kern w:val="0"/>
      <w:sz w:val="18"/>
      <w:szCs w:val="18"/>
    </w:rPr>
  </w:style>
  <w:style w:type="paragraph" w:customStyle="1" w:styleId="27">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8">
    <w:name w:val="正文文本缩进 2 Char"/>
    <w:basedOn w:val="20"/>
    <w:link w:val="10"/>
    <w:qFormat/>
    <w:uiPriority w:val="0"/>
    <w:rPr>
      <w:rFonts w:ascii="Times New Roman" w:hAnsi="Times New Roman" w:eastAsia="宋体" w:cs="Times New Roman"/>
      <w:kern w:val="0"/>
      <w:sz w:val="24"/>
      <w:szCs w:val="24"/>
    </w:rPr>
  </w:style>
  <w:style w:type="character" w:customStyle="1" w:styleId="29">
    <w:name w:val="正文文本缩进 Char"/>
    <w:basedOn w:val="20"/>
    <w:link w:val="7"/>
    <w:qFormat/>
    <w:uiPriority w:val="0"/>
    <w:rPr>
      <w:rFonts w:ascii="Times New Roman" w:hAnsi="Times New Roman" w:eastAsia="宋体" w:cs="Times New Roman"/>
      <w:kern w:val="0"/>
      <w:sz w:val="24"/>
      <w:szCs w:val="24"/>
    </w:rPr>
  </w:style>
  <w:style w:type="character" w:customStyle="1" w:styleId="30">
    <w:name w:val="正文文本 Char"/>
    <w:basedOn w:val="20"/>
    <w:link w:val="6"/>
    <w:qFormat/>
    <w:uiPriority w:val="0"/>
    <w:rPr>
      <w:rFonts w:ascii="Times New Roman" w:hAnsi="Times New Roman" w:eastAsia="宋体" w:cs="Times New Roman"/>
      <w:kern w:val="0"/>
      <w:szCs w:val="24"/>
    </w:rPr>
  </w:style>
  <w:style w:type="character" w:customStyle="1" w:styleId="31">
    <w:name w:val="正文文本 2 Char"/>
    <w:basedOn w:val="20"/>
    <w:link w:val="15"/>
    <w:qFormat/>
    <w:uiPriority w:val="0"/>
    <w:rPr>
      <w:rFonts w:ascii="Times New Roman" w:hAnsi="Times New Roman" w:eastAsia="宋体" w:cs="Times New Roman"/>
      <w:kern w:val="0"/>
      <w:szCs w:val="24"/>
    </w:rPr>
  </w:style>
  <w:style w:type="paragraph" w:customStyle="1" w:styleId="32">
    <w:name w:val="样式1"/>
    <w:basedOn w:val="2"/>
    <w:qFormat/>
    <w:uiPriority w:val="0"/>
    <w:pPr>
      <w:spacing w:line="640" w:lineRule="exact"/>
      <w:jc w:val="center"/>
    </w:pPr>
    <w:rPr>
      <w:rFonts w:ascii="方正小标宋简体" w:hAnsi="华文中宋" w:eastAsia="方正小标宋简体"/>
      <w:b w:val="0"/>
    </w:rPr>
  </w:style>
  <w:style w:type="paragraph" w:customStyle="1" w:styleId="33">
    <w:name w:val="样式2"/>
    <w:basedOn w:val="2"/>
    <w:qFormat/>
    <w:uiPriority w:val="0"/>
    <w:pPr>
      <w:spacing w:line="640" w:lineRule="exact"/>
      <w:jc w:val="center"/>
    </w:pPr>
    <w:rPr>
      <w:rFonts w:ascii="方正小标宋简体" w:hAnsi="华文中宋" w:eastAsia="方正小标宋简体"/>
      <w:b w:val="0"/>
    </w:rPr>
  </w:style>
  <w:style w:type="paragraph" w:customStyle="1" w:styleId="34">
    <w:name w:val="样式3"/>
    <w:basedOn w:val="2"/>
    <w:qFormat/>
    <w:uiPriority w:val="0"/>
    <w:pPr>
      <w:spacing w:line="640" w:lineRule="exact"/>
      <w:jc w:val="center"/>
    </w:pPr>
    <w:rPr>
      <w:rFonts w:ascii="方正小标宋简体" w:hAnsi="华文中宋" w:eastAsia="方正小标宋简体"/>
      <w:b w:val="0"/>
    </w:rPr>
  </w:style>
  <w:style w:type="character" w:customStyle="1" w:styleId="35">
    <w:name w:val="文档结构图 Char"/>
    <w:basedOn w:val="20"/>
    <w:link w:val="5"/>
    <w:semiHidden/>
    <w:qFormat/>
    <w:uiPriority w:val="0"/>
    <w:rPr>
      <w:rFonts w:ascii="Times New Roman" w:hAnsi="Times New Roman" w:eastAsia="宋体" w:cs="Times New Roman"/>
      <w:kern w:val="0"/>
      <w:sz w:val="24"/>
      <w:szCs w:val="24"/>
      <w:shd w:val="clear" w:color="auto" w:fill="000080"/>
    </w:rPr>
  </w:style>
  <w:style w:type="character" w:customStyle="1" w:styleId="36">
    <w:name w:val="纯文本 Char"/>
    <w:basedOn w:val="20"/>
    <w:link w:val="8"/>
    <w:qFormat/>
    <w:uiPriority w:val="0"/>
    <w:rPr>
      <w:rFonts w:ascii="宋体" w:hAnsi="Courier New" w:eastAsia="宋体" w:cs="Courier New"/>
      <w:sz w:val="24"/>
      <w:szCs w:val="21"/>
    </w:rPr>
  </w:style>
  <w:style w:type="character" w:customStyle="1" w:styleId="37">
    <w:name w:val="批注框文本 Char"/>
    <w:basedOn w:val="20"/>
    <w:link w:val="11"/>
    <w:semiHidden/>
    <w:qFormat/>
    <w:uiPriority w:val="0"/>
    <w:rPr>
      <w:rFonts w:ascii="Times New Roman" w:hAnsi="Times New Roman" w:eastAsia="宋体" w:cs="Times New Roman"/>
      <w:kern w:val="0"/>
      <w:sz w:val="18"/>
      <w:szCs w:val="18"/>
    </w:rPr>
  </w:style>
  <w:style w:type="paragraph" w:customStyle="1" w:styleId="38">
    <w:name w:val="列出段落1"/>
    <w:basedOn w:val="1"/>
    <w:link w:val="42"/>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9">
    <w:name w:val="1111111199999"/>
    <w:basedOn w:val="1"/>
    <w:link w:val="40"/>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0">
    <w:name w:val="1111111199999 Char"/>
    <w:link w:val="39"/>
    <w:qFormat/>
    <w:locked/>
    <w:uiPriority w:val="0"/>
    <w:rPr>
      <w:rFonts w:ascii="Times New Roman" w:hAnsi="Times New Roman" w:eastAsia="宋体" w:cs="Times New Roman"/>
      <w:kern w:val="0"/>
      <w:szCs w:val="20"/>
    </w:rPr>
  </w:style>
  <w:style w:type="character" w:customStyle="1" w:styleId="41">
    <w:name w:val="apple-style-span"/>
    <w:qFormat/>
    <w:uiPriority w:val="0"/>
  </w:style>
  <w:style w:type="character" w:customStyle="1" w:styleId="42">
    <w:name w:val="List Paragraph Char"/>
    <w:link w:val="38"/>
    <w:qFormat/>
    <w:locked/>
    <w:uiPriority w:val="0"/>
    <w:rPr>
      <w:rFonts w:ascii="Calibri" w:hAnsi="Calibri" w:eastAsia="宋体" w:cs="Times New Roman"/>
      <w:kern w:val="0"/>
      <w:sz w:val="22"/>
      <w:szCs w:val="20"/>
      <w:lang w:eastAsia="en-US"/>
    </w:rPr>
  </w:style>
  <w:style w:type="paragraph" w:customStyle="1" w:styleId="43">
    <w:name w:val="Char Char Char Char"/>
    <w:basedOn w:val="1"/>
    <w:qFormat/>
    <w:uiPriority w:val="0"/>
    <w:rPr>
      <w:rFonts w:ascii="Times New Roman" w:hAnsi="Times New Roman" w:eastAsia="宋体" w:cs="Times New Roman"/>
      <w:sz w:val="24"/>
      <w:szCs w:val="36"/>
    </w:rPr>
  </w:style>
  <w:style w:type="character" w:customStyle="1" w:styleId="44">
    <w:name w:val="Char Char4"/>
    <w:qFormat/>
    <w:locked/>
    <w:uiPriority w:val="0"/>
    <w:rPr>
      <w:rFonts w:ascii="宋体" w:hAnsi="Courier New" w:eastAsia="宋体"/>
      <w:kern w:val="2"/>
      <w:sz w:val="21"/>
      <w:lang w:bidi="ar-SA"/>
    </w:rPr>
  </w:style>
  <w:style w:type="character" w:customStyle="1" w:styleId="45">
    <w:name w:val="样式 (中文) 仿宋_GB2312 三号"/>
    <w:basedOn w:val="20"/>
    <w:qFormat/>
    <w:uiPriority w:val="0"/>
    <w:rPr>
      <w:rFonts w:hint="eastAsia" w:ascii="仿宋_GB2312" w:eastAsia="仿宋_GB2312"/>
      <w:sz w:val="32"/>
    </w:rPr>
  </w:style>
  <w:style w:type="character" w:customStyle="1" w:styleId="46">
    <w:name w:val="Char Char3"/>
    <w:basedOn w:val="20"/>
    <w:qFormat/>
    <w:locked/>
    <w:uiPriority w:val="0"/>
    <w:rPr>
      <w:rFonts w:ascii="宋体" w:hAnsi="宋体" w:eastAsia="宋体"/>
      <w:sz w:val="18"/>
      <w:szCs w:val="18"/>
      <w:lang w:val="en-US" w:eastAsia="zh-CN" w:bidi="ar-SA"/>
    </w:rPr>
  </w:style>
  <w:style w:type="character" w:customStyle="1" w:styleId="47">
    <w:name w:val="HTML 预设格式 Char"/>
    <w:basedOn w:val="20"/>
    <w:link w:val="16"/>
    <w:qFormat/>
    <w:uiPriority w:val="0"/>
    <w:rPr>
      <w:rFonts w:ascii="黑体" w:hAnsi="Courier New" w:eastAsia="黑体" w:cs="Times New Roman"/>
      <w:kern w:val="0"/>
      <w:sz w:val="20"/>
      <w:szCs w:val="20"/>
    </w:rPr>
  </w:style>
  <w:style w:type="character" w:customStyle="1" w:styleId="48">
    <w:name w:val="日期 Char"/>
    <w:basedOn w:val="20"/>
    <w:link w:val="9"/>
    <w:semiHidden/>
    <w:qFormat/>
    <w:uiPriority w:val="99"/>
  </w:style>
  <w:style w:type="table" w:customStyle="1" w:styleId="49">
    <w:name w:val="网格型2"/>
    <w:basedOn w:val="18"/>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61"/>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51">
    <w:name w:val="网格型51"/>
    <w:basedOn w:val="18"/>
    <w:unhideWhenUsed/>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1FE71-D521-44BB-A6C3-33AFAC14E2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4468</Words>
  <Characters>25469</Characters>
  <Lines>212</Lines>
  <Paragraphs>59</Paragraphs>
  <TotalTime>1</TotalTime>
  <ScaleCrop>false</ScaleCrop>
  <LinksUpToDate>false</LinksUpToDate>
  <CharactersWithSpaces>29878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2020-12-29T09:40:00Z</cp:lastPrinted>
  <dcterms:modified xsi:type="dcterms:W3CDTF">2021-01-05T08:53:51Z</dcterms:modified>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