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小型垂直电泳槽</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2021-JL13(03)-W30064</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小型垂直电泳槽</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2021-JL13(03)-W30064</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小型垂直电泳槽</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2021-JL13(03)-W30064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小型垂直电泳槽</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bookmarkStart w:id="26" w:name="_GoBack"/>
            <w:bookmarkEnd w:id="26"/>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37780284"/>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小型垂直电泳槽</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85612601"/>
      <w:bookmarkStart w:id="11" w:name="_Toc240432230"/>
      <w:bookmarkStart w:id="12" w:name="_Toc37780285"/>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240432233"/>
      <w:bookmarkStart w:id="21" w:name="_Toc37172691"/>
      <w:bookmarkStart w:id="22" w:name="_Toc285612604"/>
      <w:bookmarkStart w:id="23" w:name="_Toc37780287"/>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rPr>
        <w:t>小型垂直电泳槽</w:t>
      </w:r>
      <w:r>
        <w:rPr>
          <w:rFonts w:hint="eastAsia" w:ascii="方正小标宋简体" w:hAnsi="宋体" w:eastAsia="方正小标宋简体" w:cs="宋体"/>
          <w:bCs/>
          <w:kern w:val="0"/>
          <w:sz w:val="40"/>
          <w:szCs w:val="44"/>
          <w:lang w:eastAsia="zh-CN"/>
        </w:rPr>
        <w:t>技术要求</w:t>
      </w:r>
    </w:p>
    <w:tbl>
      <w:tblPr>
        <w:tblStyle w:val="17"/>
        <w:tblW w:w="8738" w:type="dxa"/>
        <w:jc w:val="center"/>
        <w:tblLayout w:type="fixed"/>
        <w:tblCellMar>
          <w:top w:w="0" w:type="dxa"/>
          <w:left w:w="0" w:type="dxa"/>
          <w:bottom w:w="0" w:type="dxa"/>
          <w:right w:w="0" w:type="dxa"/>
        </w:tblCellMar>
      </w:tblPr>
      <w:tblGrid>
        <w:gridCol w:w="970"/>
        <w:gridCol w:w="1581"/>
        <w:gridCol w:w="5402"/>
        <w:gridCol w:w="785"/>
      </w:tblGrid>
      <w:tr>
        <w:tblPrEx>
          <w:tblCellMar>
            <w:top w:w="0" w:type="dxa"/>
            <w:left w:w="0" w:type="dxa"/>
            <w:bottom w:w="0" w:type="dxa"/>
            <w:right w:w="0" w:type="dxa"/>
          </w:tblCellMar>
        </w:tblPrEx>
        <w:trPr>
          <w:trHeight w:val="557" w:hRule="atLeast"/>
          <w:tblHeader/>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hint="eastAsia" w:cs="宋体" w:asciiTheme="minorEastAsia" w:hAnsiTheme="minorEastAsia"/>
                <w:b/>
                <w:color w:val="000000"/>
                <w:kern w:val="0"/>
                <w:sz w:val="20"/>
                <w:szCs w:val="20"/>
                <w:lang w:bidi="ar"/>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kern w:val="0"/>
                <w:sz w:val="20"/>
                <w:szCs w:val="20"/>
                <w:lang w:bidi="ar"/>
              </w:rPr>
            </w:pPr>
            <w:r>
              <w:rPr>
                <w:rFonts w:hint="eastAsia" w:cs="宋体" w:asciiTheme="minorEastAsia" w:hAnsiTheme="minorEastAsia"/>
                <w:b/>
                <w:color w:val="000000"/>
                <w:kern w:val="0"/>
                <w:sz w:val="20"/>
                <w:szCs w:val="20"/>
                <w:lang w:bidi="ar"/>
              </w:rPr>
              <w:t>技术和性能参数</w:t>
            </w:r>
          </w:p>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hint="eastAsia" w:cs="宋体" w:asciiTheme="minorEastAsia" w:hAnsiTheme="minorEastAsia"/>
                <w:b/>
                <w:color w:val="000000"/>
                <w:kern w:val="0"/>
                <w:sz w:val="20"/>
                <w:szCs w:val="20"/>
                <w:lang w:bidi="ar"/>
              </w:rPr>
              <w:t>名称</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hint="eastAsia" w:cs="宋体" w:asciiTheme="minorEastAsia" w:hAnsiTheme="minorEastAsia"/>
                <w:b/>
                <w:color w:val="000000"/>
                <w:kern w:val="0"/>
                <w:sz w:val="20"/>
                <w:szCs w:val="20"/>
                <w:lang w:bidi="ar"/>
              </w:rPr>
              <w:t>技术参数和性能要求</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hint="eastAsia" w:cs="宋体" w:asciiTheme="minorEastAsia" w:hAnsiTheme="minorEastAsia"/>
                <w:b/>
                <w:color w:val="000000"/>
                <w:kern w:val="0"/>
                <w:sz w:val="20"/>
                <w:szCs w:val="20"/>
                <w:lang w:bidi="ar"/>
              </w:rPr>
              <w:t>备注</w:t>
            </w: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hint="eastAsia" w:cs="宋体" w:asciiTheme="minorEastAsia" w:hAnsiTheme="minorEastAsia"/>
                <w:b/>
                <w:color w:val="000000"/>
                <w:kern w:val="0"/>
                <w:sz w:val="20"/>
                <w:szCs w:val="20"/>
                <w:lang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hint="eastAsia" w:cs="宋体" w:asciiTheme="minorEastAsia" w:hAnsiTheme="minorEastAsia"/>
                <w:b/>
                <w:color w:val="000000"/>
                <w:kern w:val="0"/>
                <w:sz w:val="20"/>
                <w:szCs w:val="20"/>
                <w:lang w:bidi="ar"/>
              </w:rPr>
              <w:t>设备使用需求</w:t>
            </w:r>
          </w:p>
        </w:tc>
        <w:tc>
          <w:tcPr>
            <w:tcW w:w="54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cs="宋体" w:asciiTheme="minorEastAsia" w:hAnsiTheme="minorEastAsia"/>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1.1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设备用途</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主要用于蛋白质凝胶电泳分离</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1.2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实验对象</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蛋白样品</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1.3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特殊功能需求</w:t>
            </w:r>
          </w:p>
        </w:tc>
        <w:tc>
          <w:tcPr>
            <w:tcW w:w="54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240" w:lineRule="atLeast"/>
              <w:jc w:val="left"/>
              <w:rPr>
                <w:rFonts w:cs="宋体" w:asciiTheme="minorEastAsia" w:hAnsiTheme="minorEastAsia"/>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829"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hint="eastAsia" w:cs="宋体" w:asciiTheme="minorEastAsia" w:hAnsiTheme="minorEastAsia"/>
                <w:b/>
                <w:color w:val="000000"/>
                <w:kern w:val="0"/>
                <w:sz w:val="20"/>
                <w:szCs w:val="20"/>
                <w:lang w:bidi="ar"/>
              </w:rPr>
              <w:t>2</w:t>
            </w:r>
          </w:p>
        </w:tc>
        <w:tc>
          <w:tcPr>
            <w:tcW w:w="15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asciiTheme="minorEastAsia" w:hAnsiTheme="minorEastAsia"/>
                <w:b/>
                <w:bCs/>
                <w:kern w:val="0"/>
                <w:sz w:val="20"/>
                <w:szCs w:val="20"/>
              </w:rPr>
              <w:t>主要技术参数</w:t>
            </w:r>
            <w:r>
              <w:rPr>
                <w:rFonts w:asciiTheme="minorEastAsia" w:hAnsiTheme="minorEastAsia"/>
                <w:b/>
                <w:bCs/>
                <w:kern w:val="0"/>
                <w:sz w:val="20"/>
                <w:szCs w:val="20"/>
              </w:rPr>
              <w:br w:type="textWrapping"/>
            </w:r>
            <w:r>
              <w:rPr>
                <w:rFonts w:asciiTheme="minorEastAsia" w:hAnsiTheme="minorEastAsia"/>
                <w:b/>
                <w:bCs/>
                <w:kern w:val="0"/>
                <w:sz w:val="20"/>
                <w:szCs w:val="20"/>
              </w:rPr>
              <w:t>（一行只写一个参数）</w:t>
            </w:r>
          </w:p>
        </w:tc>
        <w:tc>
          <w:tcPr>
            <w:tcW w:w="54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240" w:lineRule="atLeast"/>
              <w:jc w:val="left"/>
              <w:rPr>
                <w:rFonts w:cs="宋体" w:asciiTheme="minorEastAsia" w:hAnsiTheme="minorEastAsia"/>
                <w:color w:val="000000"/>
                <w:sz w:val="20"/>
                <w:szCs w:val="20"/>
              </w:rPr>
            </w:pPr>
          </w:p>
        </w:tc>
        <w:tc>
          <w:tcPr>
            <w:tcW w:w="785"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2.1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★参数1</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具有上样引导装置</w:t>
            </w:r>
          </w:p>
        </w:tc>
        <w:tc>
          <w:tcPr>
            <w:tcW w:w="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693"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2.2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★参数2</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1次实验至少可放置2电泳模块，且至少可同时进行2块10 x 8cm凝胶电泳</w:t>
            </w:r>
          </w:p>
        </w:tc>
        <w:tc>
          <w:tcPr>
            <w:tcW w:w="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2.3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★参数3</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长玻璃板必须具有永久固定的封边垫条</w:t>
            </w:r>
          </w:p>
        </w:tc>
        <w:tc>
          <w:tcPr>
            <w:tcW w:w="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2.4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▲参数4</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至少配置2个带有简单凸轮的制胶框</w:t>
            </w:r>
          </w:p>
        </w:tc>
        <w:tc>
          <w:tcPr>
            <w:tcW w:w="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2.5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▲参数5</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梳子类型包括：5孔、9孔、10孔、15孔，5孔梳子最大上样量≥150ul，9孔/10孔梳子最大上样量≥65ul，15孔梳子最大上样量≥40ul</w:t>
            </w:r>
          </w:p>
        </w:tc>
        <w:tc>
          <w:tcPr>
            <w:tcW w:w="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693"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2.6</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▲参数6</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可配、IPG梳子、制备型2-D梳子，IPG梳子最大上样量≥720ul，制备型2-D梳子最大上样量≥30ul（参考孔）≥680ul（上样孔）</w:t>
            </w:r>
          </w:p>
        </w:tc>
        <w:tc>
          <w:tcPr>
            <w:tcW w:w="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2.7</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▲参数7</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缓冲液总用量：≤700 ml（2块胶），≤1000 ml（4块胶）</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2.8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参数8</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凝胶厚度选择：0.75mm，1mm，1.5mm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693"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2.9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参数9</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灌胶架上的弹簧杠杆可再橡胶衬垫上形成良好的密封性，无需用琼脂糖密封</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2.10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参数10</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电泳槽为注塑一次成形</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829"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hint="eastAsia" w:cs="宋体" w:asciiTheme="minorEastAsia" w:hAnsiTheme="minorEastAsia"/>
                <w:b/>
                <w:color w:val="000000"/>
                <w:kern w:val="0"/>
                <w:sz w:val="20"/>
                <w:szCs w:val="20"/>
                <w:lang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asciiTheme="minorEastAsia" w:hAnsiTheme="minorEastAsia"/>
                <w:b/>
                <w:bCs/>
                <w:kern w:val="0"/>
                <w:sz w:val="20"/>
                <w:szCs w:val="20"/>
              </w:rPr>
              <w:t>配置需求</w:t>
            </w:r>
            <w:r>
              <w:rPr>
                <w:rFonts w:asciiTheme="minorEastAsia" w:hAnsiTheme="minorEastAsia"/>
                <w:b/>
                <w:bCs/>
                <w:kern w:val="0"/>
                <w:sz w:val="20"/>
                <w:szCs w:val="20"/>
              </w:rPr>
              <w:br w:type="textWrapping"/>
            </w:r>
            <w:r>
              <w:rPr>
                <w:rFonts w:asciiTheme="minorEastAsia" w:hAnsiTheme="minorEastAsia"/>
                <w:b/>
                <w:bCs/>
                <w:kern w:val="0"/>
                <w:sz w:val="20"/>
                <w:szCs w:val="20"/>
              </w:rPr>
              <w:t>（一行只写一个配置）</w:t>
            </w:r>
          </w:p>
        </w:tc>
        <w:tc>
          <w:tcPr>
            <w:tcW w:w="54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240" w:lineRule="atLeast"/>
              <w:jc w:val="left"/>
              <w:rPr>
                <w:rFonts w:cs="宋体" w:asciiTheme="minorEastAsia" w:hAnsiTheme="minorEastAsia"/>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3.1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配置1</w:t>
            </w:r>
          </w:p>
        </w:tc>
        <w:tc>
          <w:tcPr>
            <w:tcW w:w="54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小型垂直电泳槽1套</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3.2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配置2</w:t>
            </w:r>
          </w:p>
        </w:tc>
        <w:tc>
          <w:tcPr>
            <w:tcW w:w="54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灌胶架1个</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3.3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配置3</w:t>
            </w:r>
          </w:p>
        </w:tc>
        <w:tc>
          <w:tcPr>
            <w:tcW w:w="54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制胶框2个，含2个软橡胶密封衬垫</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3.5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配置4</w:t>
            </w:r>
          </w:p>
        </w:tc>
        <w:tc>
          <w:tcPr>
            <w:tcW w:w="54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上样引导装置1个</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3.6</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配置5</w:t>
            </w:r>
          </w:p>
        </w:tc>
        <w:tc>
          <w:tcPr>
            <w:tcW w:w="54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内外玻板各1盒（5块/盒，封边垫条厚度0.75mm或者1mm)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3.7</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配置6</w:t>
            </w:r>
          </w:p>
        </w:tc>
        <w:tc>
          <w:tcPr>
            <w:tcW w:w="54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10孔梳子5把( 厚度0.75 mm或者1mm)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hint="eastAsia" w:cs="宋体" w:asciiTheme="minorEastAsia" w:hAnsiTheme="minorEastAsia"/>
                <w:b/>
                <w:color w:val="000000"/>
                <w:kern w:val="0"/>
                <w:sz w:val="20"/>
                <w:szCs w:val="20"/>
                <w:lang w:bidi="ar"/>
              </w:rPr>
              <w:t>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 w:val="20"/>
                <w:szCs w:val="20"/>
              </w:rPr>
            </w:pPr>
            <w:r>
              <w:rPr>
                <w:rFonts w:hint="eastAsia" w:cs="宋体" w:asciiTheme="minorEastAsia" w:hAnsiTheme="minorEastAsia"/>
                <w:b/>
                <w:color w:val="000000"/>
                <w:kern w:val="0"/>
                <w:sz w:val="20"/>
                <w:szCs w:val="20"/>
                <w:lang w:bidi="ar"/>
              </w:rPr>
              <w:t>售后服务</w:t>
            </w:r>
          </w:p>
        </w:tc>
        <w:tc>
          <w:tcPr>
            <w:tcW w:w="54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240" w:lineRule="atLeast"/>
              <w:jc w:val="left"/>
              <w:rPr>
                <w:rFonts w:cs="宋体" w:asciiTheme="minorEastAsia" w:hAnsiTheme="minorEastAsia"/>
                <w:color w:val="000000"/>
                <w:sz w:val="20"/>
                <w:szCs w:val="20"/>
              </w:rPr>
            </w:pP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保修年限</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≥3年</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693"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4.2</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出现故障回应时间</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维修到达现场时间≤ 6小时（本地）</w:t>
            </w:r>
            <w:r>
              <w:rPr>
                <w:rFonts w:hint="eastAsia" w:cs="宋体" w:asciiTheme="minorEastAsia" w:hAnsiTheme="minorEastAsia"/>
                <w:color w:val="000000"/>
                <w:kern w:val="0"/>
                <w:sz w:val="20"/>
                <w:szCs w:val="20"/>
                <w:lang w:bidi="ar"/>
              </w:rPr>
              <w:br w:type="textWrapping"/>
            </w:r>
            <w:r>
              <w:rPr>
                <w:rFonts w:hint="eastAsia" w:cs="宋体" w:asciiTheme="minorEastAsia" w:hAnsiTheme="minorEastAsia"/>
                <w:color w:val="000000"/>
                <w:kern w:val="0"/>
                <w:sz w:val="20"/>
                <w:szCs w:val="20"/>
                <w:lang w:bidi="ar"/>
              </w:rPr>
              <w:t>维修到达现场时间≤24小时（外地）</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4.3</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维修支持</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配件供应时间≥10年</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4.4</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耗材及零配件</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提供耗材及主要零配件目录（含报价）</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4.5</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维修资料</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提供详细操作手册、维修保养手册、安装手册等</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4.6</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维修工具</w:t>
            </w:r>
          </w:p>
        </w:tc>
        <w:tc>
          <w:tcPr>
            <w:tcW w:w="5402"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提供维修专用工具1套</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557"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4.7</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预防性维修/定期维护保养</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保修期内提供定期维护保养服务</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4.8</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维修密码支持</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开放</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升级</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终身免费软件升级</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使用培训</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支持</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r>
        <w:tblPrEx>
          <w:tblCellMar>
            <w:top w:w="0" w:type="dxa"/>
            <w:left w:w="0" w:type="dxa"/>
            <w:bottom w:w="0" w:type="dxa"/>
            <w:right w:w="0" w:type="dxa"/>
          </w:tblCellMar>
        </w:tblPrEx>
        <w:trPr>
          <w:trHeight w:val="426"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4.11</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工程师培训</w:t>
            </w:r>
          </w:p>
        </w:tc>
        <w:tc>
          <w:tcPr>
            <w:tcW w:w="5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lang w:bidi="ar"/>
              </w:rPr>
              <w:t>支持</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rPr>
                <w:rFonts w:cs="宋体" w:asciiTheme="minorEastAsia" w:hAnsiTheme="minorEastAsia"/>
                <w:color w:val="000000"/>
                <w:sz w:val="20"/>
                <w:szCs w:val="20"/>
              </w:rPr>
            </w:pPr>
          </w:p>
        </w:tc>
      </w:tr>
    </w:tbl>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20C69CA"/>
    <w:rsid w:val="16771E6C"/>
    <w:rsid w:val="1F1C3038"/>
    <w:rsid w:val="3BB30E33"/>
    <w:rsid w:val="48ED6FEB"/>
    <w:rsid w:val="54507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2021-02-10T07:29:12Z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